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BA87F0" w14:textId="77777777" w:rsidR="006E574C" w:rsidRPr="006453D9" w:rsidRDefault="006E574C" w:rsidP="006E574C">
      <w:pPr>
        <w:pStyle w:val="MDPI11articletype"/>
      </w:pPr>
      <w:r w:rsidRPr="006453D9">
        <w:t>Article</w:t>
      </w:r>
    </w:p>
    <w:p w14:paraId="1CFDFE92" w14:textId="77777777" w:rsidR="006E574C" w:rsidRPr="003B1AF1" w:rsidRDefault="00CD3E5C" w:rsidP="006E574C">
      <w:pPr>
        <w:pStyle w:val="MDPI12title"/>
      </w:pPr>
      <w:r w:rsidRPr="00CD3E5C">
        <w:t>Effect of the type of heterostructures on photostimulated alte</w:t>
      </w:r>
      <w:r w:rsidRPr="00CD3E5C">
        <w:t>r</w:t>
      </w:r>
      <w:r w:rsidRPr="00CD3E5C">
        <w:t>ation of the surface hydrophilicity: TiO</w:t>
      </w:r>
      <w:r w:rsidRPr="00505DF6">
        <w:rPr>
          <w:vertAlign w:val="subscript"/>
        </w:rPr>
        <w:t>2</w:t>
      </w:r>
      <w:r w:rsidRPr="00CD3E5C">
        <w:t>/BiVO</w:t>
      </w:r>
      <w:r w:rsidRPr="00505DF6">
        <w:rPr>
          <w:vertAlign w:val="subscript"/>
        </w:rPr>
        <w:t>4</w:t>
      </w:r>
      <w:r w:rsidRPr="00CD3E5C">
        <w:t xml:space="preserve"> vs. </w:t>
      </w:r>
      <w:proofErr w:type="spellStart"/>
      <w:r w:rsidRPr="00CD3E5C">
        <w:t>ZnO</w:t>
      </w:r>
      <w:proofErr w:type="spellEnd"/>
      <w:r w:rsidRPr="00CD3E5C">
        <w:t>/BiVO</w:t>
      </w:r>
      <w:r w:rsidRPr="00505DF6">
        <w:rPr>
          <w:vertAlign w:val="subscript"/>
        </w:rPr>
        <w:t>4</w:t>
      </w:r>
      <w:r w:rsidRPr="00CD3E5C">
        <w:t xml:space="preserve"> planar heterostructured coatings</w:t>
      </w:r>
    </w:p>
    <w:p w14:paraId="571BEE98" w14:textId="77777777" w:rsidR="00A144EF" w:rsidRDefault="00CD3E5C" w:rsidP="006E574C">
      <w:pPr>
        <w:pStyle w:val="MDPI13authornames"/>
      </w:pPr>
      <w:r w:rsidRPr="00CD3E5C">
        <w:t xml:space="preserve">Maria V. </w:t>
      </w:r>
      <w:proofErr w:type="spellStart"/>
      <w:r w:rsidRPr="00CD3E5C">
        <w:t>Maevskaya</w:t>
      </w:r>
      <w:proofErr w:type="spellEnd"/>
      <w:r w:rsidRPr="00CD3E5C">
        <w:t xml:space="preserve"> </w:t>
      </w:r>
      <w:r w:rsidR="006E574C" w:rsidRPr="001F31D1">
        <w:rPr>
          <w:vertAlign w:val="superscript"/>
        </w:rPr>
        <w:t>1</w:t>
      </w:r>
      <w:r w:rsidR="006E574C" w:rsidRPr="00D945EC">
        <w:t xml:space="preserve">, </w:t>
      </w:r>
      <w:r>
        <w:t xml:space="preserve">Aida V. </w:t>
      </w:r>
      <w:proofErr w:type="spellStart"/>
      <w:r>
        <w:t>Rudakova</w:t>
      </w:r>
      <w:proofErr w:type="spellEnd"/>
      <w:r w:rsidR="006E574C" w:rsidRPr="00D945EC">
        <w:t xml:space="preserve"> </w:t>
      </w:r>
      <w:r>
        <w:rPr>
          <w:vertAlign w:val="superscript"/>
        </w:rPr>
        <w:t>1</w:t>
      </w:r>
      <w:r>
        <w:t xml:space="preserve">, </w:t>
      </w:r>
      <w:r w:rsidR="00521E12" w:rsidRPr="00521E12">
        <w:t xml:space="preserve">Alexandra V. </w:t>
      </w:r>
      <w:proofErr w:type="spellStart"/>
      <w:r w:rsidR="00521E12" w:rsidRPr="00521E12">
        <w:t>Koroleva</w:t>
      </w:r>
      <w:proofErr w:type="spellEnd"/>
      <w:r w:rsidR="00521E12">
        <w:t xml:space="preserve"> </w:t>
      </w:r>
      <w:r w:rsidR="00521E12" w:rsidRPr="00521E12">
        <w:rPr>
          <w:vertAlign w:val="superscript"/>
        </w:rPr>
        <w:t>2</w:t>
      </w:r>
      <w:r w:rsidR="00521E12">
        <w:t xml:space="preserve">, </w:t>
      </w:r>
      <w:proofErr w:type="spellStart"/>
      <w:r w:rsidRPr="00CD3E5C">
        <w:t>Aleksandr</w:t>
      </w:r>
      <w:proofErr w:type="spellEnd"/>
      <w:r w:rsidRPr="00CD3E5C">
        <w:t xml:space="preserve"> S</w:t>
      </w:r>
      <w:r>
        <w:t>.</w:t>
      </w:r>
      <w:r w:rsidRPr="00CD3E5C">
        <w:t xml:space="preserve"> </w:t>
      </w:r>
      <w:proofErr w:type="spellStart"/>
      <w:r w:rsidRPr="00CD3E5C">
        <w:t>Sakhatskii</w:t>
      </w:r>
      <w:proofErr w:type="spellEnd"/>
      <w:r>
        <w:t xml:space="preserve"> </w:t>
      </w:r>
      <w:r w:rsidRPr="00CD3E5C">
        <w:rPr>
          <w:vertAlign w:val="superscript"/>
        </w:rPr>
        <w:t>3</w:t>
      </w:r>
      <w:r>
        <w:t>,</w:t>
      </w:r>
      <w:r w:rsidR="00B83DAF">
        <w:t xml:space="preserve"> Alexei </w:t>
      </w:r>
      <w:r w:rsidR="00B83DAF" w:rsidRPr="00B83DAF">
        <w:t>V. Emeline</w:t>
      </w:r>
      <w:r>
        <w:t xml:space="preserve"> </w:t>
      </w:r>
      <w:r w:rsidR="00B83DAF" w:rsidRPr="00B83DAF">
        <w:rPr>
          <w:vertAlign w:val="superscript"/>
        </w:rPr>
        <w:t>1</w:t>
      </w:r>
      <w:r w:rsidR="00B83DAF">
        <w:t xml:space="preserve"> </w:t>
      </w:r>
      <w:r w:rsidR="006E574C" w:rsidRPr="00D945EC">
        <w:t xml:space="preserve">and </w:t>
      </w:r>
      <w:proofErr w:type="spellStart"/>
      <w:r w:rsidR="00B83DAF">
        <w:t>Detlef</w:t>
      </w:r>
      <w:proofErr w:type="spellEnd"/>
      <w:r w:rsidR="00B83DAF">
        <w:t xml:space="preserve"> W.</w:t>
      </w:r>
      <w:r w:rsidR="006E574C" w:rsidRPr="00D945EC">
        <w:t xml:space="preserve"> </w:t>
      </w:r>
      <w:proofErr w:type="spellStart"/>
      <w:r w:rsidR="00B83DAF">
        <w:t>Bahnemann</w:t>
      </w:r>
      <w:proofErr w:type="spellEnd"/>
      <w:r w:rsidR="006E574C" w:rsidRPr="00D945EC">
        <w:t xml:space="preserve"> </w:t>
      </w:r>
      <w:r w:rsidR="00B83DAF" w:rsidRPr="00B83DAF">
        <w:rPr>
          <w:vertAlign w:val="superscript"/>
        </w:rPr>
        <w:t>1</w:t>
      </w:r>
      <w:r w:rsidR="00B83DAF">
        <w:rPr>
          <w:vertAlign w:val="superscript"/>
        </w:rPr>
        <w:t>, 4</w:t>
      </w:r>
      <w:r w:rsidR="006E574C" w:rsidRPr="001F31D1">
        <w:rPr>
          <w:vertAlign w:val="superscript"/>
        </w:rPr>
        <w:t>,</w:t>
      </w:r>
      <w:r w:rsidR="006E574C" w:rsidRPr="00331633">
        <w:t>*</w:t>
      </w:r>
    </w:p>
    <w:tbl>
      <w:tblPr>
        <w:tblpPr w:leftFromText="198" w:rightFromText="198" w:vertAnchor="page" w:horzAnchor="margin" w:tblpY="8694"/>
        <w:tblW w:w="2410" w:type="dxa"/>
        <w:tblLayout w:type="fixed"/>
        <w:tblCellMar>
          <w:left w:w="0" w:type="dxa"/>
          <w:right w:w="0" w:type="dxa"/>
        </w:tblCellMar>
        <w:tblLook w:val="04A0" w:firstRow="1" w:lastRow="0" w:firstColumn="1" w:lastColumn="0" w:noHBand="0" w:noVBand="1"/>
      </w:tblPr>
      <w:tblGrid>
        <w:gridCol w:w="2410"/>
      </w:tblGrid>
      <w:tr w:rsidR="00A144EF" w:rsidRPr="00EB7461" w14:paraId="753C7689" w14:textId="77777777" w:rsidTr="00400E33">
        <w:tc>
          <w:tcPr>
            <w:tcW w:w="2410" w:type="dxa"/>
            <w:shd w:val="clear" w:color="auto" w:fill="auto"/>
          </w:tcPr>
          <w:p w14:paraId="659D28F7" w14:textId="77777777" w:rsidR="00A144EF" w:rsidRPr="006363E2" w:rsidRDefault="00A144EF" w:rsidP="00400E33">
            <w:pPr>
              <w:pStyle w:val="MDPI61Citation"/>
              <w:spacing w:line="240" w:lineRule="exact"/>
            </w:pPr>
            <w:r w:rsidRPr="006363E2">
              <w:rPr>
                <w:b/>
              </w:rPr>
              <w:t>Citation:</w:t>
            </w:r>
            <w:r w:rsidRPr="00EB7461">
              <w:t xml:space="preserve"> </w:t>
            </w:r>
            <w:r w:rsidR="0072755F" w:rsidRPr="00CD3E5C">
              <w:t xml:space="preserve"> </w:t>
            </w:r>
            <w:proofErr w:type="spellStart"/>
            <w:proofErr w:type="gramStart"/>
            <w:r w:rsidR="0072755F" w:rsidRPr="00CD3E5C">
              <w:t>Maevskaya</w:t>
            </w:r>
            <w:proofErr w:type="spellEnd"/>
            <w:r w:rsidR="0072755F">
              <w:t xml:space="preserve"> </w:t>
            </w:r>
            <w:r>
              <w:t>,</w:t>
            </w:r>
            <w:proofErr w:type="gramEnd"/>
            <w:r>
              <w:t xml:space="preserve"> </w:t>
            </w:r>
            <w:r w:rsidR="0072755F">
              <w:t>M</w:t>
            </w:r>
            <w:r>
              <w:t>.</w:t>
            </w:r>
            <w:r w:rsidR="0072755F">
              <w:t>V.</w:t>
            </w:r>
            <w:r>
              <w:t xml:space="preserve">; </w:t>
            </w:r>
            <w:proofErr w:type="spellStart"/>
            <w:r w:rsidR="0072755F">
              <w:t>Rudakova</w:t>
            </w:r>
            <w:proofErr w:type="spellEnd"/>
            <w:r>
              <w:t xml:space="preserve">, </w:t>
            </w:r>
            <w:r w:rsidR="0072755F">
              <w:t>A</w:t>
            </w:r>
            <w:r>
              <w:t>.</w:t>
            </w:r>
            <w:r w:rsidR="0072755F">
              <w:t>V.</w:t>
            </w:r>
            <w:r>
              <w:t xml:space="preserve">; </w:t>
            </w:r>
            <w:proofErr w:type="spellStart"/>
            <w:r w:rsidR="0072755F">
              <w:t>Koroleva</w:t>
            </w:r>
            <w:proofErr w:type="spellEnd"/>
            <w:r>
              <w:t xml:space="preserve">, </w:t>
            </w:r>
            <w:r w:rsidR="0072755F">
              <w:t>A</w:t>
            </w:r>
            <w:r>
              <w:t>.</w:t>
            </w:r>
            <w:r w:rsidR="0072755F">
              <w:t xml:space="preserve">V., </w:t>
            </w:r>
            <w:r w:rsidR="0072755F" w:rsidRPr="00CD3E5C">
              <w:t xml:space="preserve"> </w:t>
            </w:r>
            <w:proofErr w:type="spellStart"/>
            <w:r w:rsidR="0072755F" w:rsidRPr="00CD3E5C">
              <w:t>Sakhatskii</w:t>
            </w:r>
            <w:proofErr w:type="spellEnd"/>
            <w:r w:rsidR="0072755F">
              <w:t xml:space="preserve">, A.S., Emeline, A.V., </w:t>
            </w:r>
            <w:proofErr w:type="spellStart"/>
            <w:r w:rsidR="0072755F">
              <w:t>Bahnemann</w:t>
            </w:r>
            <w:proofErr w:type="spellEnd"/>
            <w:r w:rsidR="0072755F">
              <w:t>, D.W.</w:t>
            </w:r>
            <w:r>
              <w:t xml:space="preserve"> </w:t>
            </w:r>
            <w:r w:rsidR="0072755F" w:rsidRPr="00CD3E5C">
              <w:t xml:space="preserve"> Effect of the type of heterostructures on ph</w:t>
            </w:r>
            <w:r w:rsidR="0072755F" w:rsidRPr="00CD3E5C">
              <w:t>o</w:t>
            </w:r>
            <w:r w:rsidR="0072755F" w:rsidRPr="00CD3E5C">
              <w:t>tostimulated alteration of the surface hydrophilicity: TiO</w:t>
            </w:r>
            <w:r w:rsidR="0072755F" w:rsidRPr="00505DF6">
              <w:rPr>
                <w:vertAlign w:val="subscript"/>
              </w:rPr>
              <w:t>2</w:t>
            </w:r>
            <w:r w:rsidR="0072755F" w:rsidRPr="00CD3E5C">
              <w:t>/BiVO</w:t>
            </w:r>
            <w:r w:rsidR="0072755F" w:rsidRPr="00505DF6">
              <w:rPr>
                <w:vertAlign w:val="subscript"/>
              </w:rPr>
              <w:t>4</w:t>
            </w:r>
            <w:r w:rsidR="0072755F" w:rsidRPr="00CD3E5C">
              <w:t xml:space="preserve"> vs. </w:t>
            </w:r>
            <w:proofErr w:type="spellStart"/>
            <w:r w:rsidR="0072755F" w:rsidRPr="00CD3E5C">
              <w:t>ZnO</w:t>
            </w:r>
            <w:proofErr w:type="spellEnd"/>
            <w:r w:rsidR="0072755F" w:rsidRPr="00CD3E5C">
              <w:t>/BiVO</w:t>
            </w:r>
            <w:r w:rsidR="0072755F" w:rsidRPr="00505DF6">
              <w:rPr>
                <w:vertAlign w:val="subscript"/>
              </w:rPr>
              <w:t>4</w:t>
            </w:r>
            <w:r w:rsidR="0072755F" w:rsidRPr="00CD3E5C">
              <w:t xml:space="preserve"> planar heterostructured coatings</w:t>
            </w:r>
            <w:r>
              <w:t xml:space="preserve">. </w:t>
            </w:r>
            <w:r>
              <w:rPr>
                <w:i/>
              </w:rPr>
              <w:t xml:space="preserve">Catalysts </w:t>
            </w:r>
            <w:r w:rsidRPr="005C74B6">
              <w:rPr>
                <w:b/>
              </w:rPr>
              <w:t>2021</w:t>
            </w:r>
            <w:r>
              <w:t xml:space="preserve">, </w:t>
            </w:r>
            <w:r w:rsidRPr="005C74B6">
              <w:rPr>
                <w:i/>
              </w:rPr>
              <w:t>11</w:t>
            </w:r>
            <w:r>
              <w:t>, x. https://doi.org/10.3390/xxxxx</w:t>
            </w:r>
          </w:p>
          <w:p w14:paraId="59396D36" w14:textId="77777777" w:rsidR="00A144EF" w:rsidRDefault="00A144EF" w:rsidP="00400E33">
            <w:pPr>
              <w:pStyle w:val="MDPI15academiceditor"/>
              <w:spacing w:after="240"/>
            </w:pPr>
            <w:r>
              <w:t xml:space="preserve">Academic Editor: </w:t>
            </w:r>
            <w:proofErr w:type="spellStart"/>
            <w:r>
              <w:t>Firstname</w:t>
            </w:r>
            <w:proofErr w:type="spellEnd"/>
            <w:r>
              <w:t xml:space="preserve"> </w:t>
            </w:r>
            <w:proofErr w:type="spellStart"/>
            <w:r>
              <w:t>Las</w:t>
            </w:r>
            <w:r>
              <w:t>t</w:t>
            </w:r>
            <w:r>
              <w:t>name</w:t>
            </w:r>
            <w:proofErr w:type="spellEnd"/>
          </w:p>
          <w:p w14:paraId="0B1F9686" w14:textId="77777777" w:rsidR="00A144EF" w:rsidRPr="00D92BC2" w:rsidRDefault="00A144EF" w:rsidP="00400E33">
            <w:pPr>
              <w:pStyle w:val="MDPI14history"/>
            </w:pPr>
            <w:r w:rsidRPr="00D92BC2">
              <w:t>Received: date</w:t>
            </w:r>
          </w:p>
          <w:p w14:paraId="55DE475A" w14:textId="77777777" w:rsidR="00A144EF" w:rsidRPr="00D92BC2" w:rsidRDefault="00A144EF" w:rsidP="00400E33">
            <w:pPr>
              <w:pStyle w:val="MDPI14history"/>
            </w:pPr>
            <w:r w:rsidRPr="00D92BC2">
              <w:t>Accepted: date</w:t>
            </w:r>
          </w:p>
          <w:p w14:paraId="4B643C22" w14:textId="77777777" w:rsidR="00A144EF" w:rsidRPr="00D92BC2" w:rsidRDefault="00A144EF" w:rsidP="00400E33">
            <w:pPr>
              <w:pStyle w:val="MDPI14history"/>
              <w:spacing w:after="240"/>
            </w:pPr>
            <w:r w:rsidRPr="00D92BC2">
              <w:t>Published: date</w:t>
            </w:r>
          </w:p>
          <w:p w14:paraId="5F63C887" w14:textId="77777777" w:rsidR="00A144EF" w:rsidRPr="00EB7461" w:rsidRDefault="00A144EF" w:rsidP="00400E33">
            <w:pPr>
              <w:pStyle w:val="MDPI63Notes"/>
              <w:jc w:val="both"/>
            </w:pPr>
            <w:r w:rsidRPr="00EB7461">
              <w:rPr>
                <w:b/>
              </w:rPr>
              <w:t>Publisher’s Note:</w:t>
            </w:r>
            <w:r w:rsidRPr="00EB7461">
              <w:t xml:space="preserve"> MDPI stays ne</w:t>
            </w:r>
            <w:r w:rsidRPr="00EB7461">
              <w:t>u</w:t>
            </w:r>
            <w:r w:rsidRPr="00EB7461">
              <w:t>tral with regard to jurisdictional claims in published maps and inst</w:t>
            </w:r>
            <w:r w:rsidRPr="00EB7461">
              <w:t>i</w:t>
            </w:r>
            <w:r w:rsidRPr="00EB7461">
              <w:t>tutional affiliations.</w:t>
            </w:r>
          </w:p>
          <w:p w14:paraId="1210DDA1" w14:textId="77777777" w:rsidR="00A144EF" w:rsidRPr="00EB7461" w:rsidRDefault="00A144EF" w:rsidP="00400E33">
            <w:pPr>
              <w:adjustRightInd w:val="0"/>
              <w:snapToGrid w:val="0"/>
              <w:spacing w:before="240" w:line="240" w:lineRule="atLeast"/>
              <w:ind w:right="113"/>
              <w:jc w:val="left"/>
              <w:rPr>
                <w:rFonts w:eastAsia="DengXian"/>
                <w:bCs/>
                <w:sz w:val="14"/>
                <w:szCs w:val="14"/>
                <w:lang w:bidi="en-US"/>
              </w:rPr>
            </w:pPr>
            <w:r w:rsidRPr="00EB7461">
              <w:rPr>
                <w:rFonts w:eastAsia="DengXian"/>
                <w:lang w:val="ru-RU" w:eastAsia="ru-RU"/>
              </w:rPr>
              <w:drawing>
                <wp:inline distT="0" distB="0" distL="0" distR="0" wp14:anchorId="7D1D9C0C" wp14:editId="73F88419">
                  <wp:extent cx="692785" cy="249555"/>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2785" cy="249555"/>
                          </a:xfrm>
                          <a:prstGeom prst="rect">
                            <a:avLst/>
                          </a:prstGeom>
                          <a:noFill/>
                          <a:ln>
                            <a:noFill/>
                          </a:ln>
                        </pic:spPr>
                      </pic:pic>
                    </a:graphicData>
                  </a:graphic>
                </wp:inline>
              </w:drawing>
            </w:r>
          </w:p>
          <w:p w14:paraId="2C132342" w14:textId="77777777" w:rsidR="00A144EF" w:rsidRPr="00EB7461" w:rsidRDefault="00A144EF" w:rsidP="00400E33">
            <w:pPr>
              <w:adjustRightInd w:val="0"/>
              <w:snapToGrid w:val="0"/>
              <w:spacing w:before="60" w:line="240" w:lineRule="atLeast"/>
              <w:ind w:right="113"/>
              <w:rPr>
                <w:rFonts w:eastAsia="DengXian"/>
                <w:bCs/>
                <w:sz w:val="14"/>
                <w:szCs w:val="14"/>
                <w:lang w:bidi="en-US"/>
              </w:rPr>
            </w:pPr>
            <w:r w:rsidRPr="00EB7461">
              <w:rPr>
                <w:rFonts w:eastAsia="DengXian"/>
                <w:b/>
                <w:bCs/>
                <w:sz w:val="14"/>
                <w:szCs w:val="14"/>
                <w:lang w:bidi="en-US"/>
              </w:rPr>
              <w:t>Copyright:</w:t>
            </w:r>
            <w:r w:rsidRPr="00EB7461">
              <w:rPr>
                <w:rFonts w:eastAsia="DengXian"/>
                <w:bCs/>
                <w:sz w:val="14"/>
                <w:szCs w:val="14"/>
                <w:lang w:bidi="en-US"/>
              </w:rPr>
              <w:t xml:space="preserve"> </w:t>
            </w:r>
            <w:r>
              <w:rPr>
                <w:rFonts w:eastAsia="DengXian"/>
                <w:bCs/>
                <w:sz w:val="14"/>
                <w:szCs w:val="14"/>
                <w:lang w:bidi="en-US"/>
              </w:rPr>
              <w:t>© 2021</w:t>
            </w:r>
            <w:r w:rsidRPr="00EB7461">
              <w:rPr>
                <w:rFonts w:eastAsia="DengXian"/>
                <w:bCs/>
                <w:sz w:val="14"/>
                <w:szCs w:val="14"/>
                <w:lang w:bidi="en-US"/>
              </w:rPr>
              <w:t xml:space="preserve"> </w:t>
            </w:r>
            <w:r>
              <w:rPr>
                <w:rFonts w:eastAsia="DengXian"/>
                <w:bCs/>
                <w:sz w:val="14"/>
                <w:szCs w:val="14"/>
                <w:lang w:bidi="en-US"/>
              </w:rPr>
              <w:t xml:space="preserve">by the authors. Submitted for possible open access publication under the terms and conditions of the Creative Commons </w:t>
            </w:r>
            <w:r w:rsidRPr="00EB7461">
              <w:rPr>
                <w:rFonts w:eastAsia="DengXian"/>
                <w:bCs/>
                <w:sz w:val="14"/>
                <w:szCs w:val="14"/>
                <w:lang w:bidi="en-US"/>
              </w:rPr>
              <w:t>Attribution (CC BY) license (</w:t>
            </w:r>
            <w:r>
              <w:rPr>
                <w:rFonts w:eastAsia="DengXian"/>
                <w:bCs/>
                <w:sz w:val="14"/>
                <w:szCs w:val="14"/>
                <w:lang w:bidi="en-US"/>
              </w:rPr>
              <w:t>https://</w:t>
            </w:r>
            <w:r w:rsidRPr="00EB7461">
              <w:rPr>
                <w:rFonts w:eastAsia="DengXian"/>
                <w:bCs/>
                <w:sz w:val="14"/>
                <w:szCs w:val="14"/>
                <w:lang w:bidi="en-US"/>
              </w:rPr>
              <w:t>creativecommons.org/licenses/by/4.0/).</w:t>
            </w:r>
          </w:p>
        </w:tc>
      </w:tr>
    </w:tbl>
    <w:p w14:paraId="2B9C64A0" w14:textId="77777777" w:rsidR="006E574C" w:rsidRDefault="004E211C" w:rsidP="006E574C">
      <w:pPr>
        <w:pStyle w:val="MDPI16affiliation"/>
      </w:pPr>
      <w:r w:rsidRPr="004E211C">
        <w:rPr>
          <w:vertAlign w:val="superscript"/>
        </w:rPr>
        <w:t>1</w:t>
      </w:r>
      <w:r w:rsidR="006E574C" w:rsidRPr="00D945EC">
        <w:tab/>
      </w:r>
      <w:r w:rsidR="000D7137" w:rsidRPr="000D7137">
        <w:t xml:space="preserve">Laboratory “Photoactive Nanocomposite Materials”, Saint-Petersburg State University, </w:t>
      </w:r>
      <w:proofErr w:type="spellStart"/>
      <w:r w:rsidR="000D7137" w:rsidRPr="000D7137">
        <w:t>Ulianovskaia</w:t>
      </w:r>
      <w:proofErr w:type="spellEnd"/>
      <w:r w:rsidR="000D7137" w:rsidRPr="000D7137">
        <w:t xml:space="preserve"> str. 1, </w:t>
      </w:r>
      <w:proofErr w:type="spellStart"/>
      <w:r w:rsidR="000D7137" w:rsidRPr="000D7137">
        <w:t>Peterhof</w:t>
      </w:r>
      <w:proofErr w:type="spellEnd"/>
      <w:r w:rsidR="000D7137" w:rsidRPr="000D7137">
        <w:t>, Saint-Petersburg, 198504, Russia</w:t>
      </w:r>
      <w:r w:rsidR="006E574C" w:rsidRPr="00D945EC">
        <w:t xml:space="preserve">; </w:t>
      </w:r>
      <w:r w:rsidR="000D7137">
        <w:t>m</w:t>
      </w:r>
      <w:r w:rsidR="000D7137" w:rsidRPr="008C509F">
        <w:t>aria.</w:t>
      </w:r>
      <w:r w:rsidR="000D7137">
        <w:t>m</w:t>
      </w:r>
      <w:r w:rsidR="000D7137" w:rsidRPr="008C509F">
        <w:t>aevskaya@spbu.ru (M.V.M.);</w:t>
      </w:r>
    </w:p>
    <w:p w14:paraId="29CD1589" w14:textId="77777777" w:rsidR="000D7137" w:rsidRPr="008C509F" w:rsidRDefault="000D7137" w:rsidP="000D7137">
      <w:pPr>
        <w:pStyle w:val="MDPI16affiliation"/>
        <w:ind w:hanging="6"/>
      </w:pPr>
      <w:proofErr w:type="gramStart"/>
      <w:r>
        <w:t>a</w:t>
      </w:r>
      <w:r w:rsidRPr="008C509F">
        <w:t>ida.</w:t>
      </w:r>
      <w:r>
        <w:t>r</w:t>
      </w:r>
      <w:r w:rsidRPr="008C509F">
        <w:t>udakova@spbu.ru (A.V.R.); alexei.emeline@spbu.ru (A.V.E.)</w:t>
      </w:r>
      <w:proofErr w:type="gramEnd"/>
    </w:p>
    <w:p w14:paraId="3BBFE038" w14:textId="77777777" w:rsidR="006E574C" w:rsidRDefault="006E574C" w:rsidP="006E574C">
      <w:pPr>
        <w:pStyle w:val="MDPI16affiliation"/>
      </w:pPr>
      <w:r w:rsidRPr="00D945EC">
        <w:rPr>
          <w:vertAlign w:val="superscript"/>
        </w:rPr>
        <w:t>2</w:t>
      </w:r>
      <w:r w:rsidRPr="00D945EC">
        <w:tab/>
      </w:r>
      <w:r w:rsidR="003D7B1A" w:rsidRPr="003D7B1A">
        <w:t xml:space="preserve">Centre for Physical Methods of Surface Investigation, Research Park, Saint-Petersburg State University, </w:t>
      </w:r>
      <w:proofErr w:type="spellStart"/>
      <w:r w:rsidR="003D7B1A" w:rsidRPr="003D7B1A">
        <w:t>Ulianovskaia</w:t>
      </w:r>
      <w:proofErr w:type="spellEnd"/>
      <w:r w:rsidR="003D7B1A" w:rsidRPr="003D7B1A">
        <w:t xml:space="preserve"> str. 1, </w:t>
      </w:r>
      <w:proofErr w:type="spellStart"/>
      <w:r w:rsidR="003D7B1A" w:rsidRPr="003D7B1A">
        <w:t>Peterhof</w:t>
      </w:r>
      <w:proofErr w:type="spellEnd"/>
      <w:r w:rsidR="003D7B1A" w:rsidRPr="003D7B1A">
        <w:t>, Saint-Petersburg, 198504, Russia</w:t>
      </w:r>
      <w:r w:rsidRPr="00D945EC">
        <w:t xml:space="preserve">; </w:t>
      </w:r>
      <w:hyperlink r:id="rId9" w:history="1">
        <w:r w:rsidR="00692BF5" w:rsidRPr="00692BF5">
          <w:rPr>
            <w:rStyle w:val="ab"/>
            <w:color w:val="auto"/>
            <w:u w:val="none"/>
          </w:rPr>
          <w:t>dalika@inbox.ru</w:t>
        </w:r>
      </w:hyperlink>
      <w:r w:rsidR="00692BF5">
        <w:t xml:space="preserve"> (A.V.K.)</w:t>
      </w:r>
    </w:p>
    <w:p w14:paraId="4B0987B4" w14:textId="77777777" w:rsidR="004E3606" w:rsidRDefault="004E3606" w:rsidP="006E574C">
      <w:pPr>
        <w:pStyle w:val="MDPI16affiliation"/>
      </w:pPr>
      <w:r w:rsidRPr="004E3606">
        <w:rPr>
          <w:vertAlign w:val="superscript"/>
        </w:rPr>
        <w:t>3</w:t>
      </w:r>
      <w:r>
        <w:rPr>
          <w:vertAlign w:val="subscript"/>
        </w:rPr>
        <w:t xml:space="preserve">   </w:t>
      </w:r>
      <w:r w:rsidRPr="004E3606">
        <w:t xml:space="preserve">Centre for Diagnostics of Functional Materials for Medicine, Pharmacology and Nanoelectronics, Research Park, Saint-Petersburg State University, </w:t>
      </w:r>
      <w:proofErr w:type="spellStart"/>
      <w:r w:rsidRPr="004E3606">
        <w:t>Ulianovskaia</w:t>
      </w:r>
      <w:proofErr w:type="spellEnd"/>
      <w:r w:rsidRPr="004E3606">
        <w:t xml:space="preserve"> str. 1, </w:t>
      </w:r>
      <w:proofErr w:type="spellStart"/>
      <w:r w:rsidRPr="004E3606">
        <w:t>Peterhof</w:t>
      </w:r>
      <w:proofErr w:type="spellEnd"/>
      <w:r w:rsidRPr="004E3606">
        <w:t>, Saint-Petersburg, 198504, Russia</w:t>
      </w:r>
      <w:r>
        <w:t xml:space="preserve">; </w:t>
      </w:r>
      <w:hyperlink r:id="rId10" w:history="1">
        <w:r w:rsidRPr="004E3606">
          <w:rPr>
            <w:rStyle w:val="ab"/>
            <w:color w:val="auto"/>
            <w:u w:val="none"/>
          </w:rPr>
          <w:t>ale.x-man@mail.ru</w:t>
        </w:r>
      </w:hyperlink>
      <w:r>
        <w:t xml:space="preserve"> (A.S.S.)</w:t>
      </w:r>
    </w:p>
    <w:p w14:paraId="47A7E98B" w14:textId="77777777" w:rsidR="00810CD4" w:rsidRDefault="006C45F9" w:rsidP="00810CD4">
      <w:pPr>
        <w:pStyle w:val="MDPI16affiliation"/>
      </w:pPr>
      <w:proofErr w:type="gramStart"/>
      <w:r w:rsidRPr="006C45F9">
        <w:rPr>
          <w:vertAlign w:val="superscript"/>
        </w:rPr>
        <w:t>4</w:t>
      </w:r>
      <w:r w:rsidRPr="006C45F9">
        <w:t xml:space="preserve"> </w:t>
      </w:r>
      <w:r>
        <w:t xml:space="preserve"> </w:t>
      </w:r>
      <w:proofErr w:type="spellStart"/>
      <w:r w:rsidR="00810CD4">
        <w:t>Institut</w:t>
      </w:r>
      <w:proofErr w:type="spellEnd"/>
      <w:proofErr w:type="gramEnd"/>
      <w:r w:rsidR="00810CD4">
        <w:t xml:space="preserve"> </w:t>
      </w:r>
      <w:proofErr w:type="spellStart"/>
      <w:r w:rsidR="00810CD4">
        <w:t>fuer</w:t>
      </w:r>
      <w:proofErr w:type="spellEnd"/>
      <w:r w:rsidR="00810CD4">
        <w:t xml:space="preserve"> </w:t>
      </w:r>
      <w:proofErr w:type="spellStart"/>
      <w:r w:rsidR="00810CD4">
        <w:t>Technische</w:t>
      </w:r>
      <w:proofErr w:type="spellEnd"/>
      <w:r w:rsidR="00810CD4">
        <w:t xml:space="preserve"> </w:t>
      </w:r>
      <w:proofErr w:type="spellStart"/>
      <w:r w:rsidR="00810CD4">
        <w:t>Chemie</w:t>
      </w:r>
      <w:proofErr w:type="spellEnd"/>
      <w:r w:rsidR="00810CD4">
        <w:t xml:space="preserve">, Gottfried Wilhelm Leibniz </w:t>
      </w:r>
      <w:proofErr w:type="spellStart"/>
      <w:r w:rsidR="00810CD4">
        <w:t>Universitaet</w:t>
      </w:r>
      <w:proofErr w:type="spellEnd"/>
      <w:r w:rsidR="00810CD4">
        <w:t xml:space="preserve"> Hannover, </w:t>
      </w:r>
      <w:proofErr w:type="spellStart"/>
      <w:r w:rsidR="00810CD4">
        <w:t>Callinstrasse</w:t>
      </w:r>
      <w:proofErr w:type="spellEnd"/>
      <w:r w:rsidR="00810CD4">
        <w:t xml:space="preserve"> 3, </w:t>
      </w:r>
    </w:p>
    <w:p w14:paraId="0FB75B95" w14:textId="77777777" w:rsidR="006C45F9" w:rsidRPr="006C45F9" w:rsidRDefault="00810CD4" w:rsidP="00810CD4">
      <w:pPr>
        <w:pStyle w:val="MDPI16affiliation"/>
        <w:ind w:hanging="6"/>
        <w:rPr>
          <w:vertAlign w:val="superscript"/>
        </w:rPr>
      </w:pPr>
      <w:r>
        <w:t>D-30167 Hannover, Germany</w:t>
      </w:r>
    </w:p>
    <w:p w14:paraId="08410DB1" w14:textId="77777777" w:rsidR="006E574C" w:rsidRPr="00550626" w:rsidRDefault="006E574C" w:rsidP="006E574C">
      <w:pPr>
        <w:pStyle w:val="MDPI16affiliation"/>
      </w:pPr>
      <w:r w:rsidRPr="00D844FC">
        <w:rPr>
          <w:b/>
        </w:rPr>
        <w:t>*</w:t>
      </w:r>
      <w:r w:rsidRPr="00D945EC">
        <w:tab/>
        <w:t xml:space="preserve">Correspondence: </w:t>
      </w:r>
      <w:hyperlink r:id="rId11" w:history="1">
        <w:r w:rsidR="007A7D50" w:rsidRPr="007A7D50">
          <w:rPr>
            <w:rStyle w:val="ab"/>
            <w:color w:val="auto"/>
            <w:u w:val="none"/>
          </w:rPr>
          <w:t>bahnemann@iftc.uni-hannover.de</w:t>
        </w:r>
      </w:hyperlink>
      <w:r w:rsidR="007A7D50" w:rsidRPr="007A7D50">
        <w:rPr>
          <w:color w:val="auto"/>
        </w:rPr>
        <w:t xml:space="preserve"> (</w:t>
      </w:r>
      <w:r w:rsidR="007A7D50">
        <w:t>D.W.B.)</w:t>
      </w:r>
    </w:p>
    <w:p w14:paraId="42B6F95F" w14:textId="77777777" w:rsidR="006E574C" w:rsidRPr="00550626" w:rsidRDefault="006E574C" w:rsidP="006E574C">
      <w:pPr>
        <w:pStyle w:val="MDPI17abstract"/>
        <w:rPr>
          <w:szCs w:val="18"/>
        </w:rPr>
      </w:pPr>
      <w:r w:rsidRPr="00550626">
        <w:rPr>
          <w:b/>
          <w:szCs w:val="18"/>
        </w:rPr>
        <w:t xml:space="preserve">Abstract: </w:t>
      </w:r>
      <w:r w:rsidR="0022188B" w:rsidRPr="0022188B">
        <w:rPr>
          <w:szCs w:val="18"/>
        </w:rPr>
        <w:t>Here, we report the results of the comparative studies of the photostimulated hydrophilic behavior of heterostructured TiO</w:t>
      </w:r>
      <w:r w:rsidR="0022188B" w:rsidRPr="00035BF0">
        <w:rPr>
          <w:szCs w:val="18"/>
          <w:vertAlign w:val="subscript"/>
        </w:rPr>
        <w:t>2</w:t>
      </w:r>
      <w:r w:rsidR="0022188B" w:rsidRPr="0022188B">
        <w:rPr>
          <w:szCs w:val="18"/>
        </w:rPr>
        <w:t>/BiVO</w:t>
      </w:r>
      <w:r w:rsidR="0022188B" w:rsidRPr="00035BF0">
        <w:rPr>
          <w:szCs w:val="18"/>
          <w:vertAlign w:val="subscript"/>
        </w:rPr>
        <w:t>4</w:t>
      </w:r>
      <w:r w:rsidR="0022188B" w:rsidRPr="0022188B">
        <w:rPr>
          <w:szCs w:val="18"/>
        </w:rPr>
        <w:t xml:space="preserve"> and </w:t>
      </w:r>
      <w:proofErr w:type="spellStart"/>
      <w:r w:rsidR="0022188B" w:rsidRPr="0022188B">
        <w:rPr>
          <w:szCs w:val="18"/>
        </w:rPr>
        <w:t>ZnO</w:t>
      </w:r>
      <w:proofErr w:type="spellEnd"/>
      <w:r w:rsidR="0022188B" w:rsidRPr="0022188B">
        <w:rPr>
          <w:szCs w:val="18"/>
        </w:rPr>
        <w:t>/BiVO</w:t>
      </w:r>
      <w:r w:rsidR="0022188B" w:rsidRPr="00035BF0">
        <w:rPr>
          <w:szCs w:val="18"/>
          <w:vertAlign w:val="subscript"/>
        </w:rPr>
        <w:t>4</w:t>
      </w:r>
      <w:r w:rsidR="0022188B" w:rsidRPr="0022188B">
        <w:rPr>
          <w:szCs w:val="18"/>
        </w:rPr>
        <w:t>, and mono-component TiO</w:t>
      </w:r>
      <w:r w:rsidR="0022188B" w:rsidRPr="00035BF0">
        <w:rPr>
          <w:szCs w:val="18"/>
          <w:vertAlign w:val="subscript"/>
        </w:rPr>
        <w:t>2</w:t>
      </w:r>
      <w:r w:rsidR="0022188B" w:rsidRPr="0022188B">
        <w:rPr>
          <w:szCs w:val="18"/>
        </w:rPr>
        <w:t xml:space="preserve"> and </w:t>
      </w:r>
      <w:proofErr w:type="spellStart"/>
      <w:r w:rsidR="0022188B" w:rsidRPr="0022188B">
        <w:rPr>
          <w:szCs w:val="18"/>
        </w:rPr>
        <w:t>ZnO</w:t>
      </w:r>
      <w:proofErr w:type="spellEnd"/>
      <w:r w:rsidR="0022188B" w:rsidRPr="0022188B">
        <w:rPr>
          <w:szCs w:val="18"/>
        </w:rPr>
        <w:t xml:space="preserve"> </w:t>
      </w:r>
      <w:proofErr w:type="spellStart"/>
      <w:r w:rsidR="0022188B" w:rsidRPr="0022188B">
        <w:rPr>
          <w:szCs w:val="18"/>
        </w:rPr>
        <w:t>nanocoating</w:t>
      </w:r>
      <w:proofErr w:type="spellEnd"/>
      <w:r w:rsidR="0022188B" w:rsidRPr="0022188B">
        <w:rPr>
          <w:szCs w:val="18"/>
        </w:rPr>
        <w:t xml:space="preserve"> surfaces. The chemical composition and morphology of the synthesized nanocoatings were characterized by XPS, SEM, and AFM methods. Electronic energy structure of the heter</w:t>
      </w:r>
      <w:r w:rsidR="0022188B" w:rsidRPr="0022188B">
        <w:rPr>
          <w:szCs w:val="18"/>
        </w:rPr>
        <w:t>o</w:t>
      </w:r>
      <w:r w:rsidR="0022188B" w:rsidRPr="0022188B">
        <w:rPr>
          <w:szCs w:val="18"/>
        </w:rPr>
        <w:t xml:space="preserve">structure components (band gap, top of the valence band, bottom of the conduction band, and Fermi level position) were determined on the basis of experimental results obtained by XPS, diffuse reflectance spectroscopy and Kelvin probe methods. According the electronic energy structure, </w:t>
      </w:r>
      <w:proofErr w:type="spellStart"/>
      <w:r w:rsidR="0022188B" w:rsidRPr="0022188B">
        <w:rPr>
          <w:szCs w:val="18"/>
        </w:rPr>
        <w:t>ZnO</w:t>
      </w:r>
      <w:proofErr w:type="spellEnd"/>
      <w:r w:rsidR="0022188B" w:rsidRPr="0022188B">
        <w:rPr>
          <w:szCs w:val="18"/>
        </w:rPr>
        <w:t>/BiVO</w:t>
      </w:r>
      <w:r w:rsidR="0022188B" w:rsidRPr="00035BF0">
        <w:rPr>
          <w:szCs w:val="18"/>
          <w:vertAlign w:val="subscript"/>
        </w:rPr>
        <w:t>4</w:t>
      </w:r>
      <w:r w:rsidR="0022188B" w:rsidRPr="0022188B">
        <w:rPr>
          <w:szCs w:val="18"/>
        </w:rPr>
        <w:t xml:space="preserve"> and TiO</w:t>
      </w:r>
      <w:r w:rsidR="0022188B" w:rsidRPr="00035BF0">
        <w:rPr>
          <w:szCs w:val="18"/>
          <w:vertAlign w:val="subscript"/>
        </w:rPr>
        <w:t>2</w:t>
      </w:r>
      <w:r w:rsidR="0022188B" w:rsidRPr="0022188B">
        <w:rPr>
          <w:szCs w:val="18"/>
        </w:rPr>
        <w:t>/BiVO</w:t>
      </w:r>
      <w:r w:rsidR="0022188B" w:rsidRPr="00035BF0">
        <w:rPr>
          <w:szCs w:val="18"/>
          <w:vertAlign w:val="subscript"/>
        </w:rPr>
        <w:t>4</w:t>
      </w:r>
      <w:r w:rsidR="0022188B" w:rsidRPr="0022188B">
        <w:rPr>
          <w:szCs w:val="18"/>
        </w:rPr>
        <w:t xml:space="preserve"> heterostructures correspond to the type I and type II heterostructures, respectively. The difference in the type of heterostructures causes the difference in the charge transfer behavior at heterojunctions: type II TiO</w:t>
      </w:r>
      <w:r w:rsidR="0022188B" w:rsidRPr="00035BF0">
        <w:rPr>
          <w:szCs w:val="18"/>
          <w:vertAlign w:val="subscript"/>
        </w:rPr>
        <w:t>2</w:t>
      </w:r>
      <w:r w:rsidR="0022188B" w:rsidRPr="0022188B">
        <w:rPr>
          <w:szCs w:val="18"/>
        </w:rPr>
        <w:t>/BiVO</w:t>
      </w:r>
      <w:r w:rsidR="0022188B" w:rsidRPr="00035BF0">
        <w:rPr>
          <w:szCs w:val="18"/>
          <w:vertAlign w:val="subscript"/>
        </w:rPr>
        <w:t>4</w:t>
      </w:r>
      <w:r w:rsidR="0022188B" w:rsidRPr="0022188B">
        <w:rPr>
          <w:szCs w:val="18"/>
        </w:rPr>
        <w:t xml:space="preserve"> heterostructure favors to and the type I </w:t>
      </w:r>
      <w:proofErr w:type="spellStart"/>
      <w:r w:rsidR="0022188B" w:rsidRPr="0022188B">
        <w:rPr>
          <w:szCs w:val="18"/>
        </w:rPr>
        <w:t>ZnO</w:t>
      </w:r>
      <w:proofErr w:type="spellEnd"/>
      <w:r w:rsidR="0022188B" w:rsidRPr="0022188B">
        <w:rPr>
          <w:szCs w:val="18"/>
        </w:rPr>
        <w:t>/BiVO</w:t>
      </w:r>
      <w:r w:rsidR="0022188B" w:rsidRPr="00035BF0">
        <w:rPr>
          <w:szCs w:val="18"/>
          <w:vertAlign w:val="subscript"/>
        </w:rPr>
        <w:t>4</w:t>
      </w:r>
      <w:r w:rsidR="0022188B" w:rsidRPr="0022188B">
        <w:rPr>
          <w:szCs w:val="18"/>
        </w:rPr>
        <w:t xml:space="preserve"> heterostructure prevents the photogenerated hole transfer from BiVO</w:t>
      </w:r>
      <w:r w:rsidR="0022188B" w:rsidRPr="00035BF0">
        <w:rPr>
          <w:szCs w:val="18"/>
          <w:vertAlign w:val="subscript"/>
        </w:rPr>
        <w:t>4</w:t>
      </w:r>
      <w:r w:rsidR="0022188B" w:rsidRPr="0022188B">
        <w:rPr>
          <w:szCs w:val="18"/>
        </w:rPr>
        <w:t xml:space="preserve"> to the outer layer of the corresponding metal oxide. The results of the comparative studies show that intera</w:t>
      </w:r>
      <w:r w:rsidR="0022188B" w:rsidRPr="0022188B">
        <w:rPr>
          <w:szCs w:val="18"/>
        </w:rPr>
        <w:t>c</w:t>
      </w:r>
      <w:r w:rsidR="0022188B" w:rsidRPr="0022188B">
        <w:rPr>
          <w:szCs w:val="18"/>
        </w:rPr>
        <w:t xml:space="preserve">tion of the photogenerated holes with surface </w:t>
      </w:r>
      <w:proofErr w:type="spellStart"/>
      <w:r w:rsidR="0022188B" w:rsidRPr="0022188B">
        <w:rPr>
          <w:szCs w:val="18"/>
        </w:rPr>
        <w:t>hydroxy</w:t>
      </w:r>
      <w:proofErr w:type="spellEnd"/>
      <w:r w:rsidR="0022188B" w:rsidRPr="0022188B">
        <w:rPr>
          <w:szCs w:val="18"/>
        </w:rPr>
        <w:t>-hydrated multilayers is responsible for the superhydrophilic surface conversion accompanying the increase of the surface free energy and work function. Formation of the type II heterostructure leads to the spectral sensitization of the photostimulated surface superhydrophilic conversion.</w:t>
      </w:r>
    </w:p>
    <w:p w14:paraId="00898297" w14:textId="77777777" w:rsidR="006E574C" w:rsidRPr="00550626" w:rsidRDefault="006E574C" w:rsidP="006E574C">
      <w:pPr>
        <w:pStyle w:val="MDPI18keywords"/>
        <w:rPr>
          <w:szCs w:val="18"/>
        </w:rPr>
      </w:pPr>
      <w:r w:rsidRPr="00550626">
        <w:rPr>
          <w:b/>
          <w:szCs w:val="18"/>
        </w:rPr>
        <w:t xml:space="preserve">Keywords: </w:t>
      </w:r>
      <w:r w:rsidR="00B84EDA">
        <w:rPr>
          <w:szCs w:val="18"/>
        </w:rPr>
        <w:t>photostimulated hydrophilicity; metal oxide surfaces; heterostructures; charge transfer;</w:t>
      </w:r>
      <w:r w:rsidR="00B84EDA" w:rsidRPr="00B84EDA">
        <w:rPr>
          <w:szCs w:val="18"/>
        </w:rPr>
        <w:t xml:space="preserve"> charge separation</w:t>
      </w:r>
      <w:r w:rsidR="00B84EDA">
        <w:rPr>
          <w:szCs w:val="18"/>
        </w:rPr>
        <w:t>; heterojunctions; surface energy;</w:t>
      </w:r>
      <w:r w:rsidR="00B84EDA" w:rsidRPr="00B84EDA">
        <w:rPr>
          <w:szCs w:val="18"/>
        </w:rPr>
        <w:t xml:space="preserve"> work function</w:t>
      </w:r>
    </w:p>
    <w:p w14:paraId="36637C80" w14:textId="77777777" w:rsidR="006E574C" w:rsidRPr="00550626" w:rsidRDefault="006E574C" w:rsidP="006E574C">
      <w:pPr>
        <w:pStyle w:val="MDPI19line"/>
      </w:pPr>
    </w:p>
    <w:p w14:paraId="21AC0355" w14:textId="77777777" w:rsidR="006E574C" w:rsidRDefault="006E574C" w:rsidP="006E574C">
      <w:pPr>
        <w:pStyle w:val="MDPI21heading1"/>
        <w:rPr>
          <w:lang w:eastAsia="zh-CN"/>
        </w:rPr>
      </w:pPr>
      <w:r w:rsidRPr="007F2582">
        <w:rPr>
          <w:lang w:eastAsia="zh-CN"/>
        </w:rPr>
        <w:t>1. Introduction</w:t>
      </w:r>
    </w:p>
    <w:p w14:paraId="5F08A819" w14:textId="33C160F9" w:rsidR="004B1D4D" w:rsidRDefault="004B1D4D" w:rsidP="001F42CB">
      <w:pPr>
        <w:pStyle w:val="MDPI31text"/>
      </w:pPr>
      <w:r>
        <w:t>Nowadays, heterostructured photoactive materials are increasingly being used in solar energy harvesting instead of individual semiconductor materials. Combination of two or more different semiconductors in one system improves the spatial separation of photogenerated charge carriers, as well as sensitizes photocatalysts to visible light [1</w:t>
      </w:r>
      <w:r w:rsidRPr="009D450D">
        <w:t>-</w:t>
      </w:r>
      <w:r w:rsidR="009A6288" w:rsidRPr="009D450D">
        <w:rPr>
          <w:color w:val="auto"/>
        </w:rPr>
        <w:t>5</w:t>
      </w:r>
      <w:r>
        <w:t>].</w:t>
      </w:r>
    </w:p>
    <w:p w14:paraId="2DC0E05B" w14:textId="1D5DBA30" w:rsidR="00536F97" w:rsidRPr="009D450D" w:rsidRDefault="004B1D4D" w:rsidP="001F42CB">
      <w:pPr>
        <w:pStyle w:val="MDPI31text"/>
      </w:pPr>
      <w:r>
        <w:t>Depending on the mutual arrangement of the energ</w:t>
      </w:r>
      <w:r w:rsidR="0080460A">
        <w:t>ies</w:t>
      </w:r>
      <w:r>
        <w:t xml:space="preserve"> of the electronic valence (VB) and conduction (CB)) bands of semiconductors, two-component systems can form three different types of heterostructures. These three heterostructures differ in the type and direction of electron and </w:t>
      </w:r>
      <w:proofErr w:type="gramStart"/>
      <w:r>
        <w:t>hole</w:t>
      </w:r>
      <w:proofErr w:type="gramEnd"/>
      <w:r>
        <w:t xml:space="preserve"> transfer at heterojunctions stimulated by photoexcitation of </w:t>
      </w:r>
      <w:r>
        <w:lastRenderedPageBreak/>
        <w:t>the entire s</w:t>
      </w:r>
      <w:r w:rsidR="00536F97">
        <w:t xml:space="preserve">ystem or one of its components. </w:t>
      </w:r>
      <w:r w:rsidR="00536F97" w:rsidRPr="00536F97">
        <w:t>This issue is discussed in more detail els</w:t>
      </w:r>
      <w:r w:rsidR="00536F97" w:rsidRPr="00536F97">
        <w:t>e</w:t>
      </w:r>
      <w:r w:rsidR="00536F97" w:rsidRPr="00536F97">
        <w:t>where [6, 7</w:t>
      </w:r>
      <w:r w:rsidR="00536F97" w:rsidRPr="009D450D">
        <w:t>]. A review of the literature regarding advances in photocatalysis and phot</w:t>
      </w:r>
      <w:r w:rsidR="00536F97" w:rsidRPr="009D450D">
        <w:t>o</w:t>
      </w:r>
      <w:r w:rsidR="00536F97" w:rsidRPr="009D450D">
        <w:t>electrochemistry shows that the formation of type II heterostructured systems is one of the common methods of increasing the efficiency of photocatalytic and photoelectr</w:t>
      </w:r>
      <w:r w:rsidR="00536F97" w:rsidRPr="009D450D">
        <w:t>o</w:t>
      </w:r>
      <w:r w:rsidR="00536F97" w:rsidRPr="009D450D">
        <w:t>chemical systems [1, 3, 8] due to the charge separation at heterojunctions, which is a di</w:t>
      </w:r>
      <w:r w:rsidR="00536F97" w:rsidRPr="009D450D">
        <w:t>s</w:t>
      </w:r>
      <w:r w:rsidR="00536F97" w:rsidRPr="009D450D">
        <w:t>tinguished feature of the type II heterostructures.</w:t>
      </w:r>
    </w:p>
    <w:p w14:paraId="418CC48B" w14:textId="133C9DA2" w:rsidR="004B1D4D" w:rsidRDefault="004B1D4D" w:rsidP="001F42CB">
      <w:pPr>
        <w:pStyle w:val="MDPI31text"/>
      </w:pPr>
      <w:r w:rsidRPr="009D450D">
        <w:t>Type II heterostructures are also of greatest interest in the mechanistic study of photoinduced changes in the surface hydrophilicity</w:t>
      </w:r>
      <w:r>
        <w:t xml:space="preserve"> of “layer-by-layer” films composed of photoactive materials, since effective charge separation leads to the purposeful alter</w:t>
      </w:r>
      <w:r>
        <w:t>a</w:t>
      </w:r>
      <w:r>
        <w:t>tion in the ratio between electrons and holes concentrations comparing to that for ind</w:t>
      </w:r>
      <w:r>
        <w:t>i</w:t>
      </w:r>
      <w:r>
        <w:t>vidual semiconductor. According to the previously proposed mechanism [9</w:t>
      </w:r>
      <w:r w:rsidR="006F4E45">
        <w:t>, 10</w:t>
      </w:r>
      <w:r>
        <w:t>] of ph</w:t>
      </w:r>
      <w:r w:rsidR="009D450D">
        <w:t>o</w:t>
      </w:r>
      <w:r>
        <w:t>tostimulated alteration of the surface hydrophilicity, this ratio between electron and hole concentrations at the surface is responsible for the direction and efficiency of the effect.</w:t>
      </w:r>
    </w:p>
    <w:p w14:paraId="505CE0FC" w14:textId="456AAA1E" w:rsidR="004B1D4D" w:rsidRDefault="00567920" w:rsidP="001F42CB">
      <w:pPr>
        <w:pStyle w:val="MDPI31text"/>
      </w:pPr>
      <w:r w:rsidRPr="009D450D">
        <w:t>Titanium dioxide and zinc oxide are definitely the best known and most effective photocatalysts; photoactive materials based on these oxides are used to clean wastewater</w:t>
      </w:r>
      <w:r w:rsidR="00B44854" w:rsidRPr="009D450D">
        <w:t>, air, and to create photocells</w:t>
      </w:r>
      <w:r w:rsidRPr="009D450D">
        <w:t xml:space="preserve"> </w:t>
      </w:r>
      <w:r w:rsidR="00D84667" w:rsidRPr="009D450D">
        <w:t>(</w:t>
      </w:r>
      <w:r w:rsidR="0037548D" w:rsidRPr="009D450D">
        <w:t xml:space="preserve">for example, </w:t>
      </w:r>
      <w:r w:rsidR="00D84667" w:rsidRPr="009D450D">
        <w:t>[</w:t>
      </w:r>
      <w:r w:rsidR="00C420A5" w:rsidRPr="009D450D">
        <w:t>1</w:t>
      </w:r>
      <w:r w:rsidR="009F36AC" w:rsidRPr="009D450D">
        <w:t>1-17</w:t>
      </w:r>
      <w:r w:rsidRPr="009D450D">
        <w:t>]</w:t>
      </w:r>
      <w:r w:rsidR="00D84667" w:rsidRPr="009D450D">
        <w:t>, and references therein)</w:t>
      </w:r>
      <w:r w:rsidR="00B44854" w:rsidRPr="009D450D">
        <w:t>.</w:t>
      </w:r>
      <w:r w:rsidRPr="009D450D">
        <w:t xml:space="preserve"> </w:t>
      </w:r>
      <w:r w:rsidR="004B1D4D" w:rsidRPr="009D450D">
        <w:t xml:space="preserve">Due to their self-cleaning ability, titanium dioxide and zinc oxide are </w:t>
      </w:r>
      <w:r w:rsidRPr="009D450D">
        <w:t xml:space="preserve">also </w:t>
      </w:r>
      <w:r w:rsidR="004B1D4D" w:rsidRPr="009D450D">
        <w:t>the most popular objects for studying photoinduced surface hydrophilicity [</w:t>
      </w:r>
      <w:r w:rsidR="00CF3EC6" w:rsidRPr="009D450D">
        <w:t xml:space="preserve">11, </w:t>
      </w:r>
      <w:r w:rsidR="004B1D4D" w:rsidRPr="009D450D">
        <w:t>1</w:t>
      </w:r>
      <w:r w:rsidR="00CF3EC6" w:rsidRPr="009D450D">
        <w:t xml:space="preserve">8, </w:t>
      </w:r>
      <w:proofErr w:type="gramStart"/>
      <w:r w:rsidR="004B1D4D" w:rsidRPr="009D450D">
        <w:t>1</w:t>
      </w:r>
      <w:r w:rsidR="00CF3EC6" w:rsidRPr="009D450D">
        <w:t>9</w:t>
      </w:r>
      <w:proofErr w:type="gramEnd"/>
      <w:r w:rsidR="004B1D4D" w:rsidRPr="009D450D">
        <w:t>]. As</w:t>
      </w:r>
      <w:r w:rsidR="004B1D4D">
        <w:t xml:space="preserve"> wide bandgap semico</w:t>
      </w:r>
      <w:r w:rsidR="004B1D4D">
        <w:t>n</w:t>
      </w:r>
      <w:r w:rsidR="004B1D4D">
        <w:t xml:space="preserve">ductors, </w:t>
      </w:r>
      <w:proofErr w:type="spellStart"/>
      <w:r w:rsidR="004B1D4D">
        <w:t>ZnO</w:t>
      </w:r>
      <w:proofErr w:type="spellEnd"/>
      <w:r w:rsidR="004B1D4D">
        <w:t xml:space="preserve"> and TiO</w:t>
      </w:r>
      <w:r w:rsidR="004B1D4D" w:rsidRPr="004B1D4D">
        <w:rPr>
          <w:vertAlign w:val="subscript"/>
        </w:rPr>
        <w:t>2</w:t>
      </w:r>
      <w:r w:rsidR="004B1D4D">
        <w:t xml:space="preserve"> in combination with narrow bandgap semiconductors can easily form types I and II heterostructured systems. A visible light induced alteration of the surface hydrophilicity is expected to be observed for such coatings due to charge separ</w:t>
      </w:r>
      <w:r w:rsidR="004B1D4D">
        <w:t>a</w:t>
      </w:r>
      <w:r w:rsidR="004B1D4D">
        <w:t>tion realizing at heterojunctions.</w:t>
      </w:r>
    </w:p>
    <w:p w14:paraId="1630113F" w14:textId="2F60E5F9" w:rsidR="004B1D4D" w:rsidRDefault="004B1D4D" w:rsidP="001F42CB">
      <w:pPr>
        <w:pStyle w:val="MDPI31text"/>
      </w:pPr>
      <w:r>
        <w:t>The photoinduced hydrophilic conversion on TiO</w:t>
      </w:r>
      <w:r w:rsidRPr="004B1D4D">
        <w:rPr>
          <w:vertAlign w:val="subscript"/>
        </w:rPr>
        <w:t>2</w:t>
      </w:r>
      <w:r>
        <w:t xml:space="preserve"> or </w:t>
      </w:r>
      <w:proofErr w:type="spellStart"/>
      <w:r>
        <w:t>ZnO</w:t>
      </w:r>
      <w:proofErr w:type="spellEnd"/>
      <w:r>
        <w:t xml:space="preserve"> surfaces has been co</w:t>
      </w:r>
      <w:r>
        <w:t>m</w:t>
      </w:r>
      <w:r>
        <w:t>prehensively studied for TiO</w:t>
      </w:r>
      <w:r w:rsidRPr="004B1D4D">
        <w:rPr>
          <w:vertAlign w:val="subscript"/>
        </w:rPr>
        <w:t>2</w:t>
      </w:r>
      <w:r>
        <w:t>/WO</w:t>
      </w:r>
      <w:r w:rsidRPr="004B1D4D">
        <w:rPr>
          <w:vertAlign w:val="subscript"/>
        </w:rPr>
        <w:t>3</w:t>
      </w:r>
      <w:r>
        <w:t xml:space="preserve"> [</w:t>
      </w:r>
      <w:r w:rsidR="006644BF">
        <w:t>20</w:t>
      </w:r>
      <w:r>
        <w:t xml:space="preserve">, </w:t>
      </w:r>
      <w:r w:rsidR="006644BF">
        <w:t>21</w:t>
      </w:r>
      <w:r>
        <w:t>], TiO</w:t>
      </w:r>
      <w:r w:rsidRPr="004B1D4D">
        <w:rPr>
          <w:vertAlign w:val="subscript"/>
        </w:rPr>
        <w:t>2</w:t>
      </w:r>
      <w:r>
        <w:t>/</w:t>
      </w:r>
      <w:proofErr w:type="spellStart"/>
      <w:r>
        <w:t>CdS</w:t>
      </w:r>
      <w:proofErr w:type="spellEnd"/>
      <w:r>
        <w:t xml:space="preserve"> [</w:t>
      </w:r>
      <w:r w:rsidR="006644BF">
        <w:t>22</w:t>
      </w:r>
      <w:r>
        <w:t xml:space="preserve">, </w:t>
      </w:r>
      <w:r w:rsidR="006644BF">
        <w:t>23</w:t>
      </w:r>
      <w:r>
        <w:t>], TiO</w:t>
      </w:r>
      <w:r w:rsidRPr="004B1D4D">
        <w:rPr>
          <w:vertAlign w:val="subscript"/>
        </w:rPr>
        <w:t>2</w:t>
      </w:r>
      <w:r>
        <w:t>/</w:t>
      </w:r>
      <w:proofErr w:type="spellStart"/>
      <w:r>
        <w:t>ZnO</w:t>
      </w:r>
      <w:proofErr w:type="spellEnd"/>
      <w:r>
        <w:t xml:space="preserve"> [</w:t>
      </w:r>
      <w:r w:rsidR="006644BF">
        <w:t>10</w:t>
      </w:r>
      <w:r>
        <w:t>], TiO</w:t>
      </w:r>
      <w:r w:rsidRPr="004B1D4D">
        <w:rPr>
          <w:vertAlign w:val="subscript"/>
        </w:rPr>
        <w:t>2</w:t>
      </w:r>
      <w:r>
        <w:t>/Cu</w:t>
      </w:r>
      <w:r w:rsidRPr="004B1D4D">
        <w:rPr>
          <w:vertAlign w:val="subscript"/>
        </w:rPr>
        <w:t>2</w:t>
      </w:r>
      <w:r>
        <w:t xml:space="preserve">O and </w:t>
      </w:r>
      <w:proofErr w:type="spellStart"/>
      <w:r>
        <w:t>ZnO</w:t>
      </w:r>
      <w:proofErr w:type="spellEnd"/>
      <w:r>
        <w:t>/Cu</w:t>
      </w:r>
      <w:r w:rsidRPr="004B1D4D">
        <w:rPr>
          <w:vertAlign w:val="subscript"/>
        </w:rPr>
        <w:t>2</w:t>
      </w:r>
      <w:r>
        <w:t>O [</w:t>
      </w:r>
      <w:r w:rsidR="006644BF">
        <w:t>24</w:t>
      </w:r>
      <w:r>
        <w:t>] layered films. The efficiency of photoinduced superhydrophilic conversion on the titanium dioxide surface increased only in the case of TiO</w:t>
      </w:r>
      <w:r w:rsidRPr="004B1D4D">
        <w:rPr>
          <w:vertAlign w:val="subscript"/>
        </w:rPr>
        <w:t>2</w:t>
      </w:r>
      <w:r>
        <w:t>/WO</w:t>
      </w:r>
      <w:r w:rsidRPr="004B1D4D">
        <w:rPr>
          <w:vertAlign w:val="subscript"/>
        </w:rPr>
        <w:t>3</w:t>
      </w:r>
      <w:r>
        <w:t xml:space="preserve"> films, while </w:t>
      </w:r>
      <w:proofErr w:type="spellStart"/>
      <w:r>
        <w:t>CdS</w:t>
      </w:r>
      <w:proofErr w:type="spellEnd"/>
      <w:r>
        <w:t>, Cu</w:t>
      </w:r>
      <w:r w:rsidRPr="004B1D4D">
        <w:rPr>
          <w:vertAlign w:val="subscript"/>
        </w:rPr>
        <w:t>2</w:t>
      </w:r>
      <w:r>
        <w:t xml:space="preserve">O, and </w:t>
      </w:r>
      <w:r w:rsidRPr="004B1D4D">
        <w:rPr>
          <w:i/>
        </w:rPr>
        <w:t>p</w:t>
      </w:r>
      <w:r w:rsidR="00E52242">
        <w:t>-Si [25</w:t>
      </w:r>
      <w:r>
        <w:t>] substrates inhibited the process rate. These experimental data suggest that photoholes are the carrier responsible for the effect of photoinduced superhydrophilicity of TiO</w:t>
      </w:r>
      <w:r w:rsidRPr="004B1D4D">
        <w:rPr>
          <w:vertAlign w:val="subscript"/>
        </w:rPr>
        <w:t>2</w:t>
      </w:r>
      <w:r>
        <w:t>. This observation is consistent with the conclusions drawn from the results obtained by other approaches [</w:t>
      </w:r>
      <w:r w:rsidR="00E52242">
        <w:t>18</w:t>
      </w:r>
      <w:r>
        <w:t xml:space="preserve">, </w:t>
      </w:r>
      <w:r w:rsidR="00E52242">
        <w:t>26</w:t>
      </w:r>
      <w:r>
        <w:t xml:space="preserve">, </w:t>
      </w:r>
      <w:proofErr w:type="gramStart"/>
      <w:r>
        <w:t>2</w:t>
      </w:r>
      <w:r w:rsidR="00E52242">
        <w:t>7</w:t>
      </w:r>
      <w:proofErr w:type="gramEnd"/>
      <w:r>
        <w:t>].</w:t>
      </w:r>
    </w:p>
    <w:p w14:paraId="4D124E5D" w14:textId="393E7B5E" w:rsidR="004B1D4D" w:rsidRDefault="004B1D4D" w:rsidP="001F42CB">
      <w:pPr>
        <w:pStyle w:val="MDPI31text"/>
      </w:pPr>
      <w:r>
        <w:rPr>
          <w:rFonts w:hint="eastAsia"/>
        </w:rPr>
        <w:t>Bismuth vanadate is an n-type semiconductor with a band gap energy (</w:t>
      </w:r>
      <w:proofErr w:type="spellStart"/>
      <w:r>
        <w:rPr>
          <w:rFonts w:hint="eastAsia"/>
        </w:rPr>
        <w:t>E</w:t>
      </w:r>
      <w:r w:rsidRPr="004B1D4D">
        <w:rPr>
          <w:rFonts w:hint="eastAsia"/>
          <w:vertAlign w:val="subscript"/>
        </w:rPr>
        <w:t>bg</w:t>
      </w:r>
      <w:proofErr w:type="spellEnd"/>
      <w:r>
        <w:rPr>
          <w:rFonts w:hint="eastAsia"/>
        </w:rPr>
        <w:t xml:space="preserve"> = 2.4 eV) lower than that of </w:t>
      </w:r>
      <w:proofErr w:type="gramStart"/>
      <w:r>
        <w:rPr>
          <w:rFonts w:hint="eastAsia"/>
        </w:rPr>
        <w:t>titania</w:t>
      </w:r>
      <w:proofErr w:type="gramEnd"/>
      <w:r>
        <w:rPr>
          <w:rFonts w:hint="eastAsia"/>
        </w:rPr>
        <w:t xml:space="preserve"> and zinc oxide and corresponds to the absorption of the visible light (wavelengths ≤ 515 nm) [2</w:t>
      </w:r>
      <w:r w:rsidR="00D2399C">
        <w:t>8</w:t>
      </w:r>
      <w:r>
        <w:rPr>
          <w:rFonts w:hint="eastAsia"/>
        </w:rPr>
        <w:t>]. The combination of these oxides and BiVO</w:t>
      </w:r>
      <w:r w:rsidRPr="004B1D4D">
        <w:rPr>
          <w:rFonts w:hint="eastAsia"/>
          <w:vertAlign w:val="subscript"/>
        </w:rPr>
        <w:t>4</w:t>
      </w:r>
      <w:r>
        <w:rPr>
          <w:rFonts w:hint="eastAsia"/>
        </w:rPr>
        <w:t xml:space="preserve"> has b</w:t>
      </w:r>
      <w:r>
        <w:t>een shown to yield attractive results for the development of semiconductor nanocomposite materials with enhanced visible-light activity in solar to chemical conversion [</w:t>
      </w:r>
      <w:r w:rsidR="00D2399C">
        <w:t>7</w:t>
      </w:r>
      <w:r>
        <w:t>, 2</w:t>
      </w:r>
      <w:r w:rsidR="00D2399C">
        <w:t>9</w:t>
      </w:r>
      <w:r w:rsidR="00E47A08">
        <w:t>-32</w:t>
      </w:r>
      <w:r>
        <w:t>].</w:t>
      </w:r>
    </w:p>
    <w:p w14:paraId="525533A1" w14:textId="77777777" w:rsidR="006E574C" w:rsidRDefault="004B1D4D" w:rsidP="001F42CB">
      <w:pPr>
        <w:pStyle w:val="MDPI31text"/>
      </w:pPr>
      <w:r>
        <w:t>This work is aimed at studying the effect of the BiVO</w:t>
      </w:r>
      <w:r w:rsidRPr="004B1D4D">
        <w:rPr>
          <w:vertAlign w:val="subscript"/>
        </w:rPr>
        <w:t>4</w:t>
      </w:r>
      <w:r>
        <w:t xml:space="preserve"> sublayer on the photostim</w:t>
      </w:r>
      <w:r>
        <w:t>u</w:t>
      </w:r>
      <w:r>
        <w:t>lated alteration of the surface hydrophilicity of TiO</w:t>
      </w:r>
      <w:r w:rsidRPr="004B1D4D">
        <w:rPr>
          <w:vertAlign w:val="subscript"/>
        </w:rPr>
        <w:t>2</w:t>
      </w:r>
      <w:r>
        <w:t xml:space="preserve"> and </w:t>
      </w:r>
      <w:proofErr w:type="spellStart"/>
      <w:r>
        <w:t>ZnO</w:t>
      </w:r>
      <w:proofErr w:type="spellEnd"/>
      <w:r>
        <w:t xml:space="preserve"> coatings. Synthesized planar heterostructured coatings were characterized by X-ray photoelectron spectrosc</w:t>
      </w:r>
      <w:r>
        <w:t>o</w:t>
      </w:r>
      <w:r>
        <w:t>py (XPS), diffuse reflectance spectroscopy (DRS) and Kelvin probe methods. A compar</w:t>
      </w:r>
      <w:r>
        <w:t>a</w:t>
      </w:r>
      <w:r>
        <w:t>tive analysis of the results of the photoinduced hydrophilic behavior of the surfaces of both heterostructured TiO</w:t>
      </w:r>
      <w:r w:rsidRPr="004B1D4D">
        <w:rPr>
          <w:vertAlign w:val="subscript"/>
        </w:rPr>
        <w:t>2</w:t>
      </w:r>
      <w:r>
        <w:t>/BiVO</w:t>
      </w:r>
      <w:r w:rsidRPr="004B1D4D">
        <w:rPr>
          <w:vertAlign w:val="subscript"/>
        </w:rPr>
        <w:t>4</w:t>
      </w:r>
      <w:r>
        <w:t xml:space="preserve"> and </w:t>
      </w:r>
      <w:proofErr w:type="spellStart"/>
      <w:r>
        <w:t>ZnO</w:t>
      </w:r>
      <w:proofErr w:type="spellEnd"/>
      <w:r>
        <w:t>/BiVO</w:t>
      </w:r>
      <w:r w:rsidRPr="004B1D4D">
        <w:rPr>
          <w:vertAlign w:val="subscript"/>
        </w:rPr>
        <w:t>4</w:t>
      </w:r>
      <w:r>
        <w:t>, and mono-component TiO</w:t>
      </w:r>
      <w:r w:rsidRPr="004B1D4D">
        <w:rPr>
          <w:vertAlign w:val="subscript"/>
        </w:rPr>
        <w:t>2</w:t>
      </w:r>
      <w:r>
        <w:t xml:space="preserve"> and </w:t>
      </w:r>
      <w:proofErr w:type="spellStart"/>
      <w:r>
        <w:t>ZnO</w:t>
      </w:r>
      <w:proofErr w:type="spellEnd"/>
      <w:r>
        <w:t xml:space="preserve"> nanocoatings was performed.</w:t>
      </w:r>
    </w:p>
    <w:p w14:paraId="29AA8C45" w14:textId="23C771CF" w:rsidR="006E574C" w:rsidRPr="001F31D1" w:rsidRDefault="001F42CB" w:rsidP="001F42CB">
      <w:pPr>
        <w:pStyle w:val="MDPI21heading1"/>
      </w:pPr>
      <w:r>
        <w:t xml:space="preserve">2. </w:t>
      </w:r>
      <w:r w:rsidR="006E574C" w:rsidRPr="001F31D1">
        <w:t>Results</w:t>
      </w:r>
    </w:p>
    <w:p w14:paraId="0ED3F24F" w14:textId="32AD8B18" w:rsidR="00BA4DAE" w:rsidRPr="001F42CB" w:rsidRDefault="001F42CB" w:rsidP="001F42CB">
      <w:pPr>
        <w:pStyle w:val="MDPI22heading2"/>
      </w:pPr>
      <w:r w:rsidRPr="001F42CB">
        <w:t xml:space="preserve">2.1. </w:t>
      </w:r>
      <w:r w:rsidR="00BA4DAE" w:rsidRPr="001F42CB">
        <w:t>Sample characterization</w:t>
      </w:r>
    </w:p>
    <w:p w14:paraId="74037FDC" w14:textId="78208AC3" w:rsidR="00BA4DAE" w:rsidRPr="009D450D" w:rsidRDefault="00EB135C" w:rsidP="001F42CB">
      <w:pPr>
        <w:pStyle w:val="MDPI31text"/>
      </w:pPr>
      <w:r w:rsidRPr="009D450D">
        <w:t xml:space="preserve">The formation of coatings with desired compositions, structures, and morphologies was confirmed by </w:t>
      </w:r>
      <w:r w:rsidR="00BA4DAE" w:rsidRPr="009D450D">
        <w:t xml:space="preserve">XRD, SEM, AFM and XPS methods (see the Supplementary Materials). XRD patterns of </w:t>
      </w:r>
      <w:r w:rsidR="00A21AA2" w:rsidRPr="009D450D">
        <w:t>film samples</w:t>
      </w:r>
      <w:r w:rsidR="00BA4DAE" w:rsidRPr="009D450D">
        <w:t xml:space="preserve"> </w:t>
      </w:r>
      <w:r w:rsidR="00A21AA2" w:rsidRPr="009D450D">
        <w:t>points to</w:t>
      </w:r>
      <w:r w:rsidR="00BA4DAE" w:rsidRPr="009D450D">
        <w:t xml:space="preserve"> the presence of </w:t>
      </w:r>
      <w:r w:rsidR="00A21AA2" w:rsidRPr="009D450D">
        <w:t xml:space="preserve">anatase, </w:t>
      </w:r>
      <w:proofErr w:type="spellStart"/>
      <w:r w:rsidR="00A21AA2" w:rsidRPr="009D450D">
        <w:t>zincite</w:t>
      </w:r>
      <w:proofErr w:type="spellEnd"/>
      <w:r w:rsidR="00A21AA2" w:rsidRPr="009D450D">
        <w:t xml:space="preserve"> and monoclinic </w:t>
      </w:r>
      <w:proofErr w:type="spellStart"/>
      <w:r w:rsidR="00A21AA2" w:rsidRPr="009D450D">
        <w:t>clinobisvanite</w:t>
      </w:r>
      <w:proofErr w:type="spellEnd"/>
      <w:r w:rsidR="00A21AA2" w:rsidRPr="009D450D">
        <w:t xml:space="preserve"> for </w:t>
      </w:r>
      <w:r w:rsidR="00BA4DAE" w:rsidRPr="009D450D">
        <w:t>TiO</w:t>
      </w:r>
      <w:r w:rsidR="00BA4DAE" w:rsidRPr="009D450D">
        <w:rPr>
          <w:vertAlign w:val="subscript"/>
        </w:rPr>
        <w:t>2</w:t>
      </w:r>
      <w:r w:rsidR="00BA4DAE" w:rsidRPr="009D450D">
        <w:t xml:space="preserve">, </w:t>
      </w:r>
      <w:proofErr w:type="spellStart"/>
      <w:r w:rsidR="00BA4DAE" w:rsidRPr="009D450D">
        <w:t>ZnO</w:t>
      </w:r>
      <w:proofErr w:type="spellEnd"/>
      <w:r w:rsidR="00BA4DAE" w:rsidRPr="009D450D">
        <w:t xml:space="preserve"> and BiVO</w:t>
      </w:r>
      <w:r w:rsidR="00BA4DAE" w:rsidRPr="009D450D">
        <w:rPr>
          <w:vertAlign w:val="subscript"/>
        </w:rPr>
        <w:t>4</w:t>
      </w:r>
      <w:r w:rsidR="00BA4DAE" w:rsidRPr="009D450D">
        <w:t xml:space="preserve"> </w:t>
      </w:r>
      <w:r w:rsidR="00A21AA2" w:rsidRPr="009D450D">
        <w:t>films, respectively</w:t>
      </w:r>
      <w:r w:rsidR="00BA4DAE" w:rsidRPr="009D450D">
        <w:t xml:space="preserve"> (see Figure S1).</w:t>
      </w:r>
    </w:p>
    <w:p w14:paraId="454D1FD8" w14:textId="1F2540BB" w:rsidR="001F42CB" w:rsidRDefault="00C20C63" w:rsidP="001F42CB">
      <w:pPr>
        <w:pStyle w:val="MDPI31text"/>
      </w:pPr>
      <w:r w:rsidRPr="009D450D">
        <w:t>C</w:t>
      </w:r>
      <w:r w:rsidR="00BA4DAE" w:rsidRPr="009D450D">
        <w:t>oating</w:t>
      </w:r>
      <w:r w:rsidRPr="009D450D">
        <w:t>s’</w:t>
      </w:r>
      <w:r w:rsidR="00BA4DAE" w:rsidRPr="009D450D">
        <w:t xml:space="preserve"> surfaces </w:t>
      </w:r>
      <w:r w:rsidRPr="009D450D">
        <w:t>p</w:t>
      </w:r>
      <w:r w:rsidR="00C23C61" w:rsidRPr="009D450D">
        <w:t>r</w:t>
      </w:r>
      <w:r w:rsidRPr="009D450D">
        <w:t>esent the</w:t>
      </w:r>
      <w:r w:rsidR="00BA4DAE" w:rsidRPr="009D450D">
        <w:t xml:space="preserve"> closely packed nanoparticles with average sizes about 10-15 nm for TiO</w:t>
      </w:r>
      <w:r w:rsidR="00BA4DAE" w:rsidRPr="009D450D">
        <w:rPr>
          <w:vertAlign w:val="subscript"/>
        </w:rPr>
        <w:t>2</w:t>
      </w:r>
      <w:r w:rsidR="006405D2" w:rsidRPr="009D450D">
        <w:t>-topped coatings</w:t>
      </w:r>
      <w:r w:rsidR="00BA4DAE" w:rsidRPr="009D450D">
        <w:t xml:space="preserve"> and about 15-20 nm for </w:t>
      </w:r>
      <w:proofErr w:type="spellStart"/>
      <w:r w:rsidR="00BA4DAE" w:rsidRPr="009D450D">
        <w:t>ZnO</w:t>
      </w:r>
      <w:proofErr w:type="spellEnd"/>
      <w:r w:rsidR="006405D2" w:rsidRPr="009D450D">
        <w:t>-topped coatings</w:t>
      </w:r>
      <w:r w:rsidR="00BA4DAE" w:rsidRPr="009D450D">
        <w:t xml:space="preserve"> (see </w:t>
      </w:r>
      <w:r w:rsidRPr="009D450D">
        <w:t xml:space="preserve">SEM images </w:t>
      </w:r>
      <w:r w:rsidR="00A30E8C" w:rsidRPr="009D450D">
        <w:t xml:space="preserve">in </w:t>
      </w:r>
      <w:r w:rsidR="00BA4DAE" w:rsidRPr="009D450D">
        <w:t xml:space="preserve">Figures S2 and S3). </w:t>
      </w:r>
      <w:r w:rsidR="00A30E8C" w:rsidRPr="009D450D">
        <w:t>T</w:t>
      </w:r>
      <w:r w:rsidR="00BA4DAE" w:rsidRPr="009D450D">
        <w:t xml:space="preserve">he </w:t>
      </w:r>
      <w:r w:rsidR="00A72496" w:rsidRPr="009D450D">
        <w:t xml:space="preserve">average </w:t>
      </w:r>
      <w:r w:rsidR="00BA4DAE" w:rsidRPr="009D450D">
        <w:t>roughness</w:t>
      </w:r>
      <w:r w:rsidR="00A72496" w:rsidRPr="009D450D">
        <w:t xml:space="preserve"> (Ra)</w:t>
      </w:r>
      <w:r w:rsidR="00BA4DAE" w:rsidRPr="009D450D">
        <w:t xml:space="preserve"> of the coating surfaces does not exceed ±</w:t>
      </w:r>
      <w:r w:rsidR="003C5C48" w:rsidRPr="009D450D">
        <w:t xml:space="preserve"> </w:t>
      </w:r>
      <w:r w:rsidR="00BA4DAE" w:rsidRPr="009D450D">
        <w:t xml:space="preserve">6 nm (see </w:t>
      </w:r>
      <w:r w:rsidR="00A30E8C" w:rsidRPr="009D450D">
        <w:t xml:space="preserve">AFM data in </w:t>
      </w:r>
      <w:r w:rsidR="00BA4DAE" w:rsidRPr="009D450D">
        <w:t xml:space="preserve">Figures S4 and S5), </w:t>
      </w:r>
      <w:r w:rsidR="00A30E8C" w:rsidRPr="009D450D">
        <w:t xml:space="preserve">which indicates sufficient </w:t>
      </w:r>
      <w:r w:rsidR="00A30E8C" w:rsidRPr="009D450D">
        <w:lastRenderedPageBreak/>
        <w:t>surface smoothness so as not to affect the hydrophilicity of the surface.</w:t>
      </w:r>
      <w:r w:rsidR="00BA4DAE" w:rsidRPr="009D450D">
        <w:t xml:space="preserve"> All characteristics of the prepared nanocoatings are </w:t>
      </w:r>
      <w:r w:rsidR="00F01431" w:rsidRPr="009D450D">
        <w:t>listed</w:t>
      </w:r>
      <w:r w:rsidR="00BA4DAE" w:rsidRPr="009D450D">
        <w:t xml:space="preserve"> in Table 1.</w:t>
      </w:r>
      <w:r w:rsidR="00BA4DAE">
        <w:tab/>
      </w:r>
    </w:p>
    <w:p w14:paraId="4A9A0DCB" w14:textId="77777777" w:rsidR="003805D0" w:rsidRDefault="003805D0" w:rsidP="00012DCD">
      <w:pPr>
        <w:spacing w:line="240" w:lineRule="auto"/>
        <w:ind w:left="2040" w:firstLine="510"/>
        <w:jc w:val="left"/>
        <w:rPr>
          <w:b/>
        </w:rPr>
      </w:pPr>
    </w:p>
    <w:p w14:paraId="3ACB844D" w14:textId="2F437773" w:rsidR="009A5151" w:rsidRPr="008C509F" w:rsidRDefault="009A5151" w:rsidP="00012DCD">
      <w:pPr>
        <w:spacing w:line="240" w:lineRule="auto"/>
        <w:ind w:left="2040" w:firstLine="510"/>
        <w:jc w:val="left"/>
      </w:pPr>
      <w:r w:rsidRPr="008C509F">
        <w:rPr>
          <w:b/>
        </w:rPr>
        <w:t xml:space="preserve">Table 1. </w:t>
      </w:r>
      <w:r w:rsidRPr="009A5151">
        <w:t>The sample characterization</w:t>
      </w:r>
      <w:r w:rsidRPr="008C509F">
        <w:t>.</w:t>
      </w:r>
    </w:p>
    <w:tbl>
      <w:tblPr>
        <w:tblW w:w="7857" w:type="dxa"/>
        <w:tblInd w:w="2608" w:type="dxa"/>
        <w:tblBorders>
          <w:top w:val="single" w:sz="8" w:space="0" w:color="auto"/>
          <w:bottom w:val="single" w:sz="8" w:space="0" w:color="auto"/>
        </w:tblBorders>
        <w:tblLayout w:type="fixed"/>
        <w:tblCellMar>
          <w:left w:w="0" w:type="dxa"/>
          <w:right w:w="0" w:type="dxa"/>
        </w:tblCellMar>
        <w:tblLook w:val="04A0" w:firstRow="1" w:lastRow="0" w:firstColumn="1" w:lastColumn="0" w:noHBand="0" w:noVBand="1"/>
      </w:tblPr>
      <w:tblGrid>
        <w:gridCol w:w="1220"/>
        <w:gridCol w:w="1701"/>
        <w:gridCol w:w="1559"/>
        <w:gridCol w:w="1806"/>
        <w:gridCol w:w="1571"/>
      </w:tblGrid>
      <w:tr w:rsidR="009A5151" w:rsidRPr="001215B8" w14:paraId="625D4B5F" w14:textId="77777777" w:rsidTr="00400E33">
        <w:tc>
          <w:tcPr>
            <w:tcW w:w="1220" w:type="dxa"/>
            <w:tcBorders>
              <w:top w:val="single" w:sz="8" w:space="0" w:color="auto"/>
              <w:bottom w:val="single" w:sz="4" w:space="0" w:color="auto"/>
            </w:tcBorders>
            <w:shd w:val="clear" w:color="auto" w:fill="auto"/>
          </w:tcPr>
          <w:p w14:paraId="2C9F47DA" w14:textId="77777777" w:rsidR="009A5151" w:rsidRPr="001215B8" w:rsidRDefault="009A5151" w:rsidP="009A5151">
            <w:pPr>
              <w:spacing w:line="240" w:lineRule="auto"/>
              <w:jc w:val="center"/>
              <w:rPr>
                <w:b/>
              </w:rPr>
            </w:pPr>
            <w:r w:rsidRPr="001215B8">
              <w:rPr>
                <w:b/>
              </w:rPr>
              <w:t>Coating</w:t>
            </w:r>
          </w:p>
        </w:tc>
        <w:tc>
          <w:tcPr>
            <w:tcW w:w="1701" w:type="dxa"/>
            <w:tcBorders>
              <w:top w:val="single" w:sz="8" w:space="0" w:color="auto"/>
              <w:bottom w:val="single" w:sz="4" w:space="0" w:color="auto"/>
            </w:tcBorders>
            <w:shd w:val="clear" w:color="auto" w:fill="auto"/>
          </w:tcPr>
          <w:p w14:paraId="759453C7" w14:textId="77777777" w:rsidR="00BA0BF1" w:rsidRPr="001215B8" w:rsidRDefault="00BA0BF1" w:rsidP="009A5151">
            <w:pPr>
              <w:spacing w:line="240" w:lineRule="auto"/>
              <w:jc w:val="center"/>
              <w:rPr>
                <w:b/>
              </w:rPr>
            </w:pPr>
            <w:r w:rsidRPr="001215B8">
              <w:rPr>
                <w:b/>
              </w:rPr>
              <w:t>Crystalline</w:t>
            </w:r>
          </w:p>
          <w:p w14:paraId="565EF479" w14:textId="77777777" w:rsidR="009A5151" w:rsidRPr="001215B8" w:rsidRDefault="009A5151" w:rsidP="009A5151">
            <w:pPr>
              <w:spacing w:line="240" w:lineRule="auto"/>
              <w:jc w:val="center"/>
              <w:rPr>
                <w:b/>
              </w:rPr>
            </w:pPr>
            <w:r w:rsidRPr="001215B8">
              <w:rPr>
                <w:b/>
              </w:rPr>
              <w:t>phase</w:t>
            </w:r>
          </w:p>
        </w:tc>
        <w:tc>
          <w:tcPr>
            <w:tcW w:w="1559" w:type="dxa"/>
            <w:tcBorders>
              <w:top w:val="single" w:sz="8" w:space="0" w:color="auto"/>
              <w:bottom w:val="single" w:sz="4" w:space="0" w:color="auto"/>
            </w:tcBorders>
            <w:shd w:val="clear" w:color="auto" w:fill="auto"/>
          </w:tcPr>
          <w:p w14:paraId="13D5B77A" w14:textId="77777777" w:rsidR="009A5151" w:rsidRPr="001215B8" w:rsidRDefault="009A5151" w:rsidP="009A5151">
            <w:pPr>
              <w:spacing w:line="240" w:lineRule="auto"/>
              <w:jc w:val="center"/>
              <w:rPr>
                <w:b/>
              </w:rPr>
            </w:pPr>
            <w:r w:rsidRPr="001215B8">
              <w:rPr>
                <w:b/>
              </w:rPr>
              <w:t>Thickness,</w:t>
            </w:r>
          </w:p>
          <w:p w14:paraId="08EC7DEB" w14:textId="77777777" w:rsidR="009A5151" w:rsidRPr="001215B8" w:rsidRDefault="009A5151" w:rsidP="009A5151">
            <w:pPr>
              <w:spacing w:line="240" w:lineRule="auto"/>
              <w:jc w:val="center"/>
              <w:rPr>
                <w:b/>
              </w:rPr>
            </w:pPr>
            <w:r w:rsidRPr="001215B8">
              <w:rPr>
                <w:b/>
              </w:rPr>
              <w:t>nm</w:t>
            </w:r>
          </w:p>
        </w:tc>
        <w:tc>
          <w:tcPr>
            <w:tcW w:w="1806" w:type="dxa"/>
            <w:tcBorders>
              <w:top w:val="single" w:sz="8" w:space="0" w:color="auto"/>
              <w:bottom w:val="single" w:sz="4" w:space="0" w:color="auto"/>
            </w:tcBorders>
            <w:shd w:val="clear" w:color="auto" w:fill="auto"/>
          </w:tcPr>
          <w:p w14:paraId="73A7557E" w14:textId="77777777" w:rsidR="009A5151" w:rsidRPr="001215B8" w:rsidRDefault="009A5151" w:rsidP="009A5151">
            <w:pPr>
              <w:spacing w:line="240" w:lineRule="auto"/>
              <w:jc w:val="center"/>
              <w:rPr>
                <w:b/>
              </w:rPr>
            </w:pPr>
            <w:r w:rsidRPr="001215B8">
              <w:rPr>
                <w:b/>
              </w:rPr>
              <w:t>Average particle diameter, nm</w:t>
            </w:r>
          </w:p>
        </w:tc>
        <w:tc>
          <w:tcPr>
            <w:tcW w:w="1571" w:type="dxa"/>
            <w:tcBorders>
              <w:top w:val="single" w:sz="8" w:space="0" w:color="auto"/>
              <w:bottom w:val="single" w:sz="4" w:space="0" w:color="auto"/>
            </w:tcBorders>
            <w:shd w:val="clear" w:color="auto" w:fill="auto"/>
          </w:tcPr>
          <w:p w14:paraId="7587BAA8" w14:textId="5AEBDDFE" w:rsidR="009A5151" w:rsidRPr="001215B8" w:rsidRDefault="00A72496" w:rsidP="009A5151">
            <w:pPr>
              <w:spacing w:line="240" w:lineRule="auto"/>
              <w:jc w:val="center"/>
              <w:rPr>
                <w:b/>
              </w:rPr>
            </w:pPr>
            <w:r w:rsidRPr="009D450D">
              <w:rPr>
                <w:b/>
              </w:rPr>
              <w:t>Ra</w:t>
            </w:r>
            <w:r w:rsidR="009A5151" w:rsidRPr="001215B8">
              <w:rPr>
                <w:b/>
              </w:rPr>
              <w:t>,</w:t>
            </w:r>
          </w:p>
          <w:p w14:paraId="7310B0D8" w14:textId="77777777" w:rsidR="009A5151" w:rsidRPr="001215B8" w:rsidRDefault="009A5151" w:rsidP="009A5151">
            <w:pPr>
              <w:spacing w:line="240" w:lineRule="auto"/>
              <w:jc w:val="center"/>
              <w:rPr>
                <w:b/>
              </w:rPr>
            </w:pPr>
            <w:r w:rsidRPr="001215B8">
              <w:rPr>
                <w:b/>
              </w:rPr>
              <w:t>nm</w:t>
            </w:r>
          </w:p>
        </w:tc>
      </w:tr>
      <w:tr w:rsidR="00B332B9" w:rsidRPr="001215B8" w14:paraId="270CB328" w14:textId="77777777" w:rsidTr="00400E33">
        <w:tc>
          <w:tcPr>
            <w:tcW w:w="1220" w:type="dxa"/>
            <w:shd w:val="clear" w:color="auto" w:fill="auto"/>
            <w:vAlign w:val="center"/>
          </w:tcPr>
          <w:p w14:paraId="302173EC" w14:textId="77777777" w:rsidR="00B332B9" w:rsidRPr="001215B8" w:rsidRDefault="00B332B9" w:rsidP="00443E55">
            <w:pPr>
              <w:spacing w:line="240" w:lineRule="auto"/>
              <w:ind w:left="-98" w:right="-96"/>
              <w:jc w:val="center"/>
            </w:pPr>
            <w:r w:rsidRPr="001215B8">
              <w:t>TiO</w:t>
            </w:r>
            <w:r w:rsidRPr="001215B8">
              <w:rPr>
                <w:vertAlign w:val="subscript"/>
              </w:rPr>
              <w:t>2</w:t>
            </w:r>
          </w:p>
        </w:tc>
        <w:tc>
          <w:tcPr>
            <w:tcW w:w="1701" w:type="dxa"/>
            <w:shd w:val="clear" w:color="auto" w:fill="auto"/>
            <w:vAlign w:val="center"/>
          </w:tcPr>
          <w:p w14:paraId="0E68FA9B" w14:textId="77777777" w:rsidR="00B332B9" w:rsidRPr="001215B8" w:rsidRDefault="00B332B9" w:rsidP="00443E55">
            <w:pPr>
              <w:spacing w:line="240" w:lineRule="auto"/>
              <w:ind w:left="-96" w:right="-96"/>
              <w:jc w:val="center"/>
            </w:pPr>
            <w:r w:rsidRPr="001215B8">
              <w:t>anatase</w:t>
            </w:r>
          </w:p>
        </w:tc>
        <w:tc>
          <w:tcPr>
            <w:tcW w:w="1559" w:type="dxa"/>
            <w:shd w:val="clear" w:color="auto" w:fill="auto"/>
            <w:vAlign w:val="center"/>
          </w:tcPr>
          <w:p w14:paraId="6C62C5ED" w14:textId="77777777" w:rsidR="00B332B9" w:rsidRPr="001215B8" w:rsidRDefault="00B332B9" w:rsidP="00443E55">
            <w:pPr>
              <w:spacing w:line="240" w:lineRule="auto"/>
              <w:jc w:val="center"/>
            </w:pPr>
            <w:r w:rsidRPr="001215B8">
              <w:t>50</w:t>
            </w:r>
          </w:p>
        </w:tc>
        <w:tc>
          <w:tcPr>
            <w:tcW w:w="1806" w:type="dxa"/>
            <w:shd w:val="clear" w:color="auto" w:fill="auto"/>
            <w:vAlign w:val="center"/>
          </w:tcPr>
          <w:p w14:paraId="24500917" w14:textId="77777777" w:rsidR="00B332B9" w:rsidRPr="001215B8" w:rsidRDefault="00B332B9" w:rsidP="00443E55">
            <w:pPr>
              <w:spacing w:line="240" w:lineRule="auto"/>
              <w:jc w:val="center"/>
            </w:pPr>
            <w:r w:rsidRPr="001215B8">
              <w:t>15</w:t>
            </w:r>
          </w:p>
        </w:tc>
        <w:tc>
          <w:tcPr>
            <w:tcW w:w="1571" w:type="dxa"/>
            <w:shd w:val="clear" w:color="auto" w:fill="auto"/>
          </w:tcPr>
          <w:p w14:paraId="2D7971BA" w14:textId="77777777" w:rsidR="00B332B9" w:rsidRPr="001215B8" w:rsidRDefault="00B332B9" w:rsidP="00443E55">
            <w:pPr>
              <w:spacing w:line="240" w:lineRule="auto"/>
              <w:jc w:val="center"/>
            </w:pPr>
            <w:r w:rsidRPr="001215B8">
              <w:t>± 1</w:t>
            </w:r>
          </w:p>
        </w:tc>
      </w:tr>
      <w:tr w:rsidR="00B332B9" w:rsidRPr="001215B8" w14:paraId="0DFFD0CF" w14:textId="77777777" w:rsidTr="00400E33">
        <w:tc>
          <w:tcPr>
            <w:tcW w:w="1220" w:type="dxa"/>
            <w:shd w:val="clear" w:color="auto" w:fill="auto"/>
            <w:vAlign w:val="center"/>
          </w:tcPr>
          <w:p w14:paraId="2D41BD0E" w14:textId="77777777" w:rsidR="00B332B9" w:rsidRPr="001215B8" w:rsidRDefault="00B332B9" w:rsidP="00443E55">
            <w:pPr>
              <w:spacing w:line="240" w:lineRule="auto"/>
              <w:ind w:left="-98" w:right="-96"/>
              <w:jc w:val="center"/>
            </w:pPr>
            <w:r w:rsidRPr="001215B8">
              <w:t>TiO</w:t>
            </w:r>
            <w:r w:rsidRPr="001215B8">
              <w:rPr>
                <w:vertAlign w:val="subscript"/>
              </w:rPr>
              <w:t>2</w:t>
            </w:r>
            <w:r w:rsidRPr="001215B8">
              <w:t>/BiVO</w:t>
            </w:r>
            <w:r w:rsidRPr="001215B8">
              <w:rPr>
                <w:vertAlign w:val="subscript"/>
              </w:rPr>
              <w:t>4</w:t>
            </w:r>
          </w:p>
        </w:tc>
        <w:tc>
          <w:tcPr>
            <w:tcW w:w="1701" w:type="dxa"/>
            <w:shd w:val="clear" w:color="auto" w:fill="auto"/>
            <w:vAlign w:val="center"/>
          </w:tcPr>
          <w:p w14:paraId="4DFE8C6A" w14:textId="77777777" w:rsidR="00B332B9" w:rsidRPr="001215B8" w:rsidRDefault="00B332B9" w:rsidP="00443E55">
            <w:pPr>
              <w:spacing w:line="240" w:lineRule="auto"/>
              <w:ind w:left="-96" w:right="-96"/>
              <w:jc w:val="center"/>
            </w:pPr>
            <w:r w:rsidRPr="001215B8">
              <w:t>anatase/monoclinic</w:t>
            </w:r>
          </w:p>
        </w:tc>
        <w:tc>
          <w:tcPr>
            <w:tcW w:w="1559" w:type="dxa"/>
            <w:shd w:val="clear" w:color="auto" w:fill="auto"/>
            <w:vAlign w:val="center"/>
          </w:tcPr>
          <w:p w14:paraId="395D9F8A" w14:textId="77777777" w:rsidR="00B332B9" w:rsidRPr="001215B8" w:rsidRDefault="00B332B9" w:rsidP="00443E55">
            <w:pPr>
              <w:spacing w:line="240" w:lineRule="auto"/>
              <w:jc w:val="center"/>
            </w:pPr>
            <w:r w:rsidRPr="001215B8">
              <w:t>50/50</w:t>
            </w:r>
          </w:p>
        </w:tc>
        <w:tc>
          <w:tcPr>
            <w:tcW w:w="1806" w:type="dxa"/>
            <w:shd w:val="clear" w:color="auto" w:fill="auto"/>
            <w:vAlign w:val="center"/>
          </w:tcPr>
          <w:p w14:paraId="57BE5396" w14:textId="77777777" w:rsidR="00B332B9" w:rsidRPr="001215B8" w:rsidRDefault="00B332B9" w:rsidP="00443E55">
            <w:pPr>
              <w:spacing w:line="240" w:lineRule="auto"/>
              <w:jc w:val="center"/>
            </w:pPr>
            <w:r w:rsidRPr="001215B8">
              <w:t>10</w:t>
            </w:r>
          </w:p>
        </w:tc>
        <w:tc>
          <w:tcPr>
            <w:tcW w:w="1571" w:type="dxa"/>
            <w:shd w:val="clear" w:color="auto" w:fill="auto"/>
          </w:tcPr>
          <w:p w14:paraId="3B999542" w14:textId="77777777" w:rsidR="00B332B9" w:rsidRPr="001215B8" w:rsidRDefault="00B332B9" w:rsidP="00443E55">
            <w:pPr>
              <w:spacing w:line="240" w:lineRule="auto"/>
              <w:jc w:val="center"/>
            </w:pPr>
            <w:r w:rsidRPr="001215B8">
              <w:t>± 5</w:t>
            </w:r>
          </w:p>
        </w:tc>
      </w:tr>
      <w:tr w:rsidR="00B332B9" w:rsidRPr="001215B8" w14:paraId="56FF79EB" w14:textId="77777777" w:rsidTr="00400E33">
        <w:tc>
          <w:tcPr>
            <w:tcW w:w="1220" w:type="dxa"/>
            <w:shd w:val="clear" w:color="auto" w:fill="auto"/>
            <w:vAlign w:val="center"/>
          </w:tcPr>
          <w:p w14:paraId="29FA41C9" w14:textId="77777777" w:rsidR="00B332B9" w:rsidRPr="001215B8" w:rsidRDefault="00B332B9" w:rsidP="00443E55">
            <w:pPr>
              <w:spacing w:line="240" w:lineRule="auto"/>
              <w:ind w:left="-98" w:right="-96"/>
              <w:jc w:val="center"/>
            </w:pPr>
            <w:r w:rsidRPr="001215B8">
              <w:t>ZnO</w:t>
            </w:r>
          </w:p>
        </w:tc>
        <w:tc>
          <w:tcPr>
            <w:tcW w:w="1701" w:type="dxa"/>
            <w:shd w:val="clear" w:color="auto" w:fill="auto"/>
            <w:vAlign w:val="center"/>
          </w:tcPr>
          <w:p w14:paraId="00BA726C" w14:textId="77777777" w:rsidR="00B332B9" w:rsidRPr="001215B8" w:rsidRDefault="00B332B9" w:rsidP="00443E55">
            <w:pPr>
              <w:spacing w:line="240" w:lineRule="auto"/>
              <w:ind w:left="-96" w:right="-96"/>
              <w:jc w:val="center"/>
            </w:pPr>
            <w:r w:rsidRPr="001215B8">
              <w:t>zincite</w:t>
            </w:r>
          </w:p>
        </w:tc>
        <w:tc>
          <w:tcPr>
            <w:tcW w:w="1559" w:type="dxa"/>
            <w:shd w:val="clear" w:color="auto" w:fill="auto"/>
            <w:vAlign w:val="center"/>
          </w:tcPr>
          <w:p w14:paraId="0BC447C5" w14:textId="77777777" w:rsidR="00B332B9" w:rsidRPr="001215B8" w:rsidRDefault="00B332B9" w:rsidP="00443E55">
            <w:pPr>
              <w:spacing w:line="240" w:lineRule="auto"/>
              <w:jc w:val="center"/>
            </w:pPr>
            <w:r w:rsidRPr="001215B8">
              <w:t>80</w:t>
            </w:r>
          </w:p>
        </w:tc>
        <w:tc>
          <w:tcPr>
            <w:tcW w:w="1806" w:type="dxa"/>
            <w:shd w:val="clear" w:color="auto" w:fill="auto"/>
            <w:vAlign w:val="center"/>
          </w:tcPr>
          <w:p w14:paraId="0401FC54" w14:textId="77777777" w:rsidR="00B332B9" w:rsidRPr="001215B8" w:rsidRDefault="00B332B9" w:rsidP="00443E55">
            <w:pPr>
              <w:spacing w:line="240" w:lineRule="auto"/>
              <w:jc w:val="center"/>
            </w:pPr>
            <w:r w:rsidRPr="001215B8">
              <w:t>15</w:t>
            </w:r>
          </w:p>
        </w:tc>
        <w:tc>
          <w:tcPr>
            <w:tcW w:w="1571" w:type="dxa"/>
            <w:shd w:val="clear" w:color="auto" w:fill="auto"/>
          </w:tcPr>
          <w:p w14:paraId="5B39E47D" w14:textId="77777777" w:rsidR="00B332B9" w:rsidRPr="001215B8" w:rsidRDefault="00B332B9" w:rsidP="00443E55">
            <w:pPr>
              <w:spacing w:line="240" w:lineRule="auto"/>
              <w:jc w:val="center"/>
            </w:pPr>
            <w:r w:rsidRPr="001215B8">
              <w:t>± 3</w:t>
            </w:r>
          </w:p>
        </w:tc>
      </w:tr>
      <w:tr w:rsidR="00B332B9" w:rsidRPr="001215B8" w14:paraId="33DE3069" w14:textId="77777777" w:rsidTr="00400E33">
        <w:tc>
          <w:tcPr>
            <w:tcW w:w="1220" w:type="dxa"/>
            <w:tcBorders>
              <w:bottom w:val="single" w:sz="8" w:space="0" w:color="auto"/>
            </w:tcBorders>
            <w:shd w:val="clear" w:color="auto" w:fill="auto"/>
            <w:vAlign w:val="center"/>
          </w:tcPr>
          <w:p w14:paraId="21F5211D" w14:textId="77777777" w:rsidR="00B332B9" w:rsidRPr="001215B8" w:rsidRDefault="00B332B9" w:rsidP="00443E55">
            <w:pPr>
              <w:spacing w:line="240" w:lineRule="auto"/>
              <w:ind w:left="-98" w:right="-96"/>
              <w:jc w:val="center"/>
            </w:pPr>
            <w:r w:rsidRPr="001215B8">
              <w:t>ZnO/BiVO</w:t>
            </w:r>
            <w:r w:rsidRPr="001215B8">
              <w:rPr>
                <w:vertAlign w:val="subscript"/>
              </w:rPr>
              <w:t>4</w:t>
            </w:r>
          </w:p>
        </w:tc>
        <w:tc>
          <w:tcPr>
            <w:tcW w:w="1701" w:type="dxa"/>
            <w:tcBorders>
              <w:bottom w:val="single" w:sz="8" w:space="0" w:color="auto"/>
            </w:tcBorders>
            <w:shd w:val="clear" w:color="auto" w:fill="auto"/>
            <w:vAlign w:val="center"/>
          </w:tcPr>
          <w:p w14:paraId="540408DC" w14:textId="77777777" w:rsidR="00B332B9" w:rsidRPr="001215B8" w:rsidRDefault="00B332B9" w:rsidP="00443E55">
            <w:pPr>
              <w:spacing w:line="240" w:lineRule="auto"/>
              <w:ind w:left="-96" w:right="-96"/>
              <w:jc w:val="center"/>
            </w:pPr>
            <w:r w:rsidRPr="001215B8">
              <w:t>zincite/monoclinic</w:t>
            </w:r>
          </w:p>
        </w:tc>
        <w:tc>
          <w:tcPr>
            <w:tcW w:w="1559" w:type="dxa"/>
            <w:tcBorders>
              <w:bottom w:val="single" w:sz="8" w:space="0" w:color="auto"/>
            </w:tcBorders>
            <w:shd w:val="clear" w:color="auto" w:fill="auto"/>
            <w:vAlign w:val="center"/>
          </w:tcPr>
          <w:p w14:paraId="39D4CA05" w14:textId="77777777" w:rsidR="00B332B9" w:rsidRPr="001215B8" w:rsidRDefault="00B332B9" w:rsidP="00443E55">
            <w:pPr>
              <w:spacing w:line="240" w:lineRule="auto"/>
              <w:jc w:val="center"/>
            </w:pPr>
            <w:r w:rsidRPr="001215B8">
              <w:t>70/50</w:t>
            </w:r>
          </w:p>
        </w:tc>
        <w:tc>
          <w:tcPr>
            <w:tcW w:w="1806" w:type="dxa"/>
            <w:tcBorders>
              <w:bottom w:val="single" w:sz="8" w:space="0" w:color="auto"/>
            </w:tcBorders>
            <w:shd w:val="clear" w:color="auto" w:fill="auto"/>
            <w:vAlign w:val="center"/>
          </w:tcPr>
          <w:p w14:paraId="33570373" w14:textId="77777777" w:rsidR="00B332B9" w:rsidRPr="001215B8" w:rsidRDefault="00B332B9" w:rsidP="00443E55">
            <w:pPr>
              <w:spacing w:line="240" w:lineRule="auto"/>
              <w:jc w:val="center"/>
            </w:pPr>
            <w:r w:rsidRPr="001215B8">
              <w:t>20</w:t>
            </w:r>
          </w:p>
        </w:tc>
        <w:tc>
          <w:tcPr>
            <w:tcW w:w="1571" w:type="dxa"/>
            <w:tcBorders>
              <w:bottom w:val="single" w:sz="8" w:space="0" w:color="auto"/>
            </w:tcBorders>
            <w:shd w:val="clear" w:color="auto" w:fill="auto"/>
          </w:tcPr>
          <w:p w14:paraId="2C2C2041" w14:textId="77777777" w:rsidR="00B332B9" w:rsidRPr="001215B8" w:rsidRDefault="00B332B9" w:rsidP="00443E55">
            <w:pPr>
              <w:spacing w:line="240" w:lineRule="auto"/>
              <w:jc w:val="center"/>
            </w:pPr>
            <w:r w:rsidRPr="001215B8">
              <w:t>± 6</w:t>
            </w:r>
          </w:p>
        </w:tc>
      </w:tr>
    </w:tbl>
    <w:p w14:paraId="43EFD93B" w14:textId="33582026" w:rsidR="002F6A1E" w:rsidRPr="001F42CB" w:rsidRDefault="001F42CB" w:rsidP="001F42CB">
      <w:pPr>
        <w:pStyle w:val="MDPI22heading2"/>
        <w:spacing w:before="240"/>
      </w:pPr>
      <w:r w:rsidRPr="001F42CB">
        <w:t xml:space="preserve">2.2. </w:t>
      </w:r>
      <w:r w:rsidR="002F6A1E" w:rsidRPr="001F42CB">
        <w:t>Electronic properties of the heteros</w:t>
      </w:r>
      <w:r w:rsidR="00A0376A" w:rsidRPr="001F42CB">
        <w:t>structure</w:t>
      </w:r>
      <w:r w:rsidR="002F6A1E" w:rsidRPr="001F42CB">
        <w:t xml:space="preserve"> components</w:t>
      </w:r>
    </w:p>
    <w:p w14:paraId="636D7DE1" w14:textId="0905AF00" w:rsidR="002F6A1E" w:rsidRPr="002F6A1E" w:rsidRDefault="002F6A1E" w:rsidP="002F6A1E">
      <w:pPr>
        <w:pStyle w:val="MDPI31text"/>
        <w:spacing w:line="240" w:lineRule="auto"/>
        <w:rPr>
          <w:szCs w:val="20"/>
        </w:rPr>
      </w:pPr>
      <w:r w:rsidRPr="002F6A1E">
        <w:rPr>
          <w:szCs w:val="20"/>
        </w:rPr>
        <w:t>The bandgap energy values (</w:t>
      </w:r>
      <w:proofErr w:type="spellStart"/>
      <w:r w:rsidRPr="002F6A1E">
        <w:rPr>
          <w:szCs w:val="20"/>
        </w:rPr>
        <w:t>E</w:t>
      </w:r>
      <w:r w:rsidRPr="00AA0AF2">
        <w:rPr>
          <w:szCs w:val="20"/>
          <w:vertAlign w:val="subscript"/>
        </w:rPr>
        <w:t>bg</w:t>
      </w:r>
      <w:proofErr w:type="spellEnd"/>
      <w:r w:rsidRPr="002F6A1E">
        <w:rPr>
          <w:szCs w:val="20"/>
        </w:rPr>
        <w:t xml:space="preserve">) were determined using transmittance spectra of nanocoatings </w:t>
      </w:r>
      <w:r w:rsidR="00A0376A">
        <w:rPr>
          <w:szCs w:val="20"/>
        </w:rPr>
        <w:t>modified by</w:t>
      </w:r>
      <w:r w:rsidRPr="002F6A1E">
        <w:rPr>
          <w:szCs w:val="20"/>
        </w:rPr>
        <w:t xml:space="preserve"> </w:t>
      </w:r>
      <w:proofErr w:type="spellStart"/>
      <w:r w:rsidRPr="002F6A1E">
        <w:rPr>
          <w:szCs w:val="20"/>
        </w:rPr>
        <w:t>Tauc</w:t>
      </w:r>
      <w:proofErr w:type="spellEnd"/>
      <w:r w:rsidRPr="002F6A1E">
        <w:rPr>
          <w:szCs w:val="20"/>
        </w:rPr>
        <w:t xml:space="preserve"> plot</w:t>
      </w:r>
      <w:r w:rsidR="00A0376A">
        <w:rPr>
          <w:szCs w:val="20"/>
        </w:rPr>
        <w:t xml:space="preserve"> approach</w:t>
      </w:r>
      <w:r w:rsidRPr="002F6A1E">
        <w:rPr>
          <w:szCs w:val="20"/>
        </w:rPr>
        <w:t xml:space="preserve"> (see Figure S6). The </w:t>
      </w:r>
      <w:r w:rsidR="00A0376A">
        <w:rPr>
          <w:szCs w:val="20"/>
        </w:rPr>
        <w:t>estimated</w:t>
      </w:r>
      <w:r w:rsidRPr="002F6A1E">
        <w:rPr>
          <w:szCs w:val="20"/>
        </w:rPr>
        <w:t xml:space="preserve"> </w:t>
      </w:r>
      <w:proofErr w:type="spellStart"/>
      <w:r w:rsidRPr="002F6A1E">
        <w:rPr>
          <w:szCs w:val="20"/>
        </w:rPr>
        <w:t>E</w:t>
      </w:r>
      <w:r w:rsidRPr="00AA0AF2">
        <w:rPr>
          <w:szCs w:val="20"/>
          <w:vertAlign w:val="subscript"/>
        </w:rPr>
        <w:t>bg</w:t>
      </w:r>
      <w:proofErr w:type="spellEnd"/>
      <w:r w:rsidRPr="002F6A1E">
        <w:rPr>
          <w:szCs w:val="20"/>
        </w:rPr>
        <w:t xml:space="preserve"> values are listed in Table 2.</w:t>
      </w:r>
    </w:p>
    <w:p w14:paraId="7A830B95" w14:textId="77777777" w:rsidR="00EC47F5" w:rsidRPr="008C509F" w:rsidRDefault="00EC47F5" w:rsidP="00EC47F5">
      <w:pPr>
        <w:pStyle w:val="MDPI41tablecaption"/>
        <w:jc w:val="both"/>
      </w:pPr>
      <w:proofErr w:type="gramStart"/>
      <w:r w:rsidRPr="00EC47F5">
        <w:rPr>
          <w:b/>
        </w:rPr>
        <w:t>Table 2.</w:t>
      </w:r>
      <w:proofErr w:type="gramEnd"/>
      <w:r w:rsidRPr="00EC47F5">
        <w:rPr>
          <w:b/>
        </w:rPr>
        <w:t xml:space="preserve"> </w:t>
      </w:r>
      <w:proofErr w:type="gramStart"/>
      <w:r w:rsidRPr="00EC47F5">
        <w:t>Positions of the conduction and valence bands and band gap energies of the coating components with respect to vacuum energy level.</w:t>
      </w:r>
      <w:proofErr w:type="gramEnd"/>
    </w:p>
    <w:tbl>
      <w:tblPr>
        <w:tblW w:w="7857" w:type="dxa"/>
        <w:tblInd w:w="2608" w:type="dxa"/>
        <w:tblBorders>
          <w:top w:val="single" w:sz="8" w:space="0" w:color="auto"/>
          <w:bottom w:val="single" w:sz="8" w:space="0" w:color="auto"/>
        </w:tblBorders>
        <w:tblLayout w:type="fixed"/>
        <w:tblCellMar>
          <w:left w:w="0" w:type="dxa"/>
          <w:right w:w="0" w:type="dxa"/>
        </w:tblCellMar>
        <w:tblLook w:val="04A0" w:firstRow="1" w:lastRow="0" w:firstColumn="1" w:lastColumn="0" w:noHBand="0" w:noVBand="1"/>
      </w:tblPr>
      <w:tblGrid>
        <w:gridCol w:w="1572"/>
        <w:gridCol w:w="1572"/>
        <w:gridCol w:w="1571"/>
        <w:gridCol w:w="1571"/>
        <w:gridCol w:w="1571"/>
      </w:tblGrid>
      <w:tr w:rsidR="00EC47F5" w:rsidRPr="008C509F" w14:paraId="159569E4" w14:textId="77777777" w:rsidTr="00400E33">
        <w:tc>
          <w:tcPr>
            <w:tcW w:w="1572" w:type="dxa"/>
            <w:tcBorders>
              <w:top w:val="single" w:sz="8" w:space="0" w:color="auto"/>
              <w:bottom w:val="single" w:sz="4" w:space="0" w:color="auto"/>
            </w:tcBorders>
            <w:shd w:val="clear" w:color="auto" w:fill="auto"/>
            <w:vAlign w:val="center"/>
          </w:tcPr>
          <w:p w14:paraId="10605415" w14:textId="77777777" w:rsidR="000C439E" w:rsidRPr="001215B8" w:rsidRDefault="000C439E" w:rsidP="00400E33">
            <w:pPr>
              <w:pStyle w:val="MDPI42tablebody"/>
              <w:autoSpaceDE w:val="0"/>
              <w:autoSpaceDN w:val="0"/>
              <w:rPr>
                <w:b/>
              </w:rPr>
            </w:pPr>
            <w:r w:rsidRPr="001215B8">
              <w:rPr>
                <w:b/>
              </w:rPr>
              <w:t>Coating</w:t>
            </w:r>
          </w:p>
          <w:p w14:paraId="5A867455" w14:textId="77777777" w:rsidR="00EC47F5" w:rsidRPr="001215B8" w:rsidRDefault="000C439E" w:rsidP="00400E33">
            <w:pPr>
              <w:pStyle w:val="MDPI42tablebody"/>
              <w:autoSpaceDE w:val="0"/>
              <w:autoSpaceDN w:val="0"/>
              <w:rPr>
                <w:b/>
              </w:rPr>
            </w:pPr>
            <w:r w:rsidRPr="001215B8">
              <w:rPr>
                <w:b/>
              </w:rPr>
              <w:t>component</w:t>
            </w:r>
          </w:p>
        </w:tc>
        <w:tc>
          <w:tcPr>
            <w:tcW w:w="1572" w:type="dxa"/>
            <w:tcBorders>
              <w:top w:val="single" w:sz="8" w:space="0" w:color="auto"/>
              <w:bottom w:val="single" w:sz="4" w:space="0" w:color="auto"/>
            </w:tcBorders>
            <w:shd w:val="clear" w:color="auto" w:fill="auto"/>
            <w:vAlign w:val="center"/>
          </w:tcPr>
          <w:p w14:paraId="7329BE63" w14:textId="77777777" w:rsidR="00EC47F5" w:rsidRPr="001215B8" w:rsidRDefault="00EC47F5" w:rsidP="000C439E">
            <w:pPr>
              <w:pStyle w:val="MDPI42tablebody"/>
              <w:autoSpaceDE w:val="0"/>
              <w:autoSpaceDN w:val="0"/>
              <w:rPr>
                <w:b/>
              </w:rPr>
            </w:pPr>
            <w:proofErr w:type="spellStart"/>
            <w:r w:rsidRPr="001215B8">
              <w:rPr>
                <w:b/>
              </w:rPr>
              <w:t>E</w:t>
            </w:r>
            <w:r w:rsidRPr="001215B8">
              <w:rPr>
                <w:b/>
                <w:vertAlign w:val="subscript"/>
              </w:rPr>
              <w:t>bg</w:t>
            </w:r>
            <w:proofErr w:type="spellEnd"/>
            <w:r w:rsidRPr="001215B8">
              <w:rPr>
                <w:b/>
              </w:rPr>
              <w:t>, eV</w:t>
            </w:r>
          </w:p>
        </w:tc>
        <w:tc>
          <w:tcPr>
            <w:tcW w:w="1571" w:type="dxa"/>
            <w:tcBorders>
              <w:top w:val="single" w:sz="8" w:space="0" w:color="auto"/>
              <w:bottom w:val="single" w:sz="4" w:space="0" w:color="auto"/>
            </w:tcBorders>
            <w:shd w:val="clear" w:color="auto" w:fill="auto"/>
            <w:vAlign w:val="center"/>
          </w:tcPr>
          <w:p w14:paraId="2379D02E" w14:textId="77777777" w:rsidR="00EC47F5" w:rsidRPr="001215B8" w:rsidRDefault="000C439E" w:rsidP="000C439E">
            <w:pPr>
              <w:pStyle w:val="MDPI42tablebody"/>
              <w:autoSpaceDE w:val="0"/>
              <w:autoSpaceDN w:val="0"/>
              <w:rPr>
                <w:b/>
              </w:rPr>
            </w:pPr>
            <w:r w:rsidRPr="001215B8">
              <w:rPr>
                <w:b/>
              </w:rPr>
              <w:t>E</w:t>
            </w:r>
            <w:r w:rsidRPr="001215B8">
              <w:rPr>
                <w:b/>
                <w:vertAlign w:val="subscript"/>
              </w:rPr>
              <w:t>F</w:t>
            </w:r>
            <w:r w:rsidRPr="001215B8">
              <w:rPr>
                <w:b/>
              </w:rPr>
              <w:t>, eV</w:t>
            </w:r>
          </w:p>
        </w:tc>
        <w:tc>
          <w:tcPr>
            <w:tcW w:w="1571" w:type="dxa"/>
            <w:tcBorders>
              <w:top w:val="single" w:sz="8" w:space="0" w:color="auto"/>
              <w:bottom w:val="single" w:sz="4" w:space="0" w:color="auto"/>
            </w:tcBorders>
            <w:shd w:val="clear" w:color="auto" w:fill="auto"/>
            <w:vAlign w:val="center"/>
          </w:tcPr>
          <w:p w14:paraId="13344410" w14:textId="77777777" w:rsidR="00EC47F5" w:rsidRPr="001215B8" w:rsidRDefault="000C439E" w:rsidP="00400E33">
            <w:pPr>
              <w:pStyle w:val="MDPI42tablebody"/>
              <w:autoSpaceDE w:val="0"/>
              <w:autoSpaceDN w:val="0"/>
              <w:rPr>
                <w:b/>
              </w:rPr>
            </w:pPr>
            <w:r w:rsidRPr="001215B8">
              <w:rPr>
                <w:b/>
              </w:rPr>
              <w:t>E</w:t>
            </w:r>
            <w:r w:rsidRPr="001215B8">
              <w:rPr>
                <w:b/>
                <w:vertAlign w:val="subscript"/>
              </w:rPr>
              <w:t>VB</w:t>
            </w:r>
            <w:r w:rsidRPr="001215B8">
              <w:rPr>
                <w:b/>
              </w:rPr>
              <w:t>, eV</w:t>
            </w:r>
          </w:p>
        </w:tc>
        <w:tc>
          <w:tcPr>
            <w:tcW w:w="1571" w:type="dxa"/>
            <w:tcBorders>
              <w:top w:val="single" w:sz="8" w:space="0" w:color="auto"/>
              <w:bottom w:val="single" w:sz="4" w:space="0" w:color="auto"/>
            </w:tcBorders>
            <w:shd w:val="clear" w:color="auto" w:fill="auto"/>
            <w:vAlign w:val="center"/>
          </w:tcPr>
          <w:p w14:paraId="5723DB00" w14:textId="77777777" w:rsidR="00EC47F5" w:rsidRPr="001215B8" w:rsidRDefault="000C439E" w:rsidP="00400E33">
            <w:pPr>
              <w:pStyle w:val="MDPI42tablebody"/>
              <w:autoSpaceDE w:val="0"/>
              <w:autoSpaceDN w:val="0"/>
              <w:rPr>
                <w:b/>
              </w:rPr>
            </w:pPr>
            <w:r w:rsidRPr="001215B8">
              <w:rPr>
                <w:b/>
              </w:rPr>
              <w:t>E</w:t>
            </w:r>
            <w:r w:rsidRPr="001215B8">
              <w:rPr>
                <w:b/>
                <w:vertAlign w:val="subscript"/>
              </w:rPr>
              <w:t>CB</w:t>
            </w:r>
            <w:r w:rsidRPr="001215B8">
              <w:rPr>
                <w:b/>
              </w:rPr>
              <w:t>, eV</w:t>
            </w:r>
          </w:p>
        </w:tc>
      </w:tr>
      <w:tr w:rsidR="003F59BE" w:rsidRPr="008C509F" w14:paraId="336E7768" w14:textId="77777777" w:rsidTr="00400E33">
        <w:tc>
          <w:tcPr>
            <w:tcW w:w="1572" w:type="dxa"/>
            <w:shd w:val="clear" w:color="auto" w:fill="auto"/>
          </w:tcPr>
          <w:p w14:paraId="200C0FF8" w14:textId="77777777" w:rsidR="003F59BE" w:rsidRPr="001215B8" w:rsidRDefault="003F59BE" w:rsidP="003F59BE">
            <w:pPr>
              <w:spacing w:line="240" w:lineRule="auto"/>
              <w:jc w:val="center"/>
            </w:pPr>
            <w:r w:rsidRPr="001215B8">
              <w:t>TiO</w:t>
            </w:r>
            <w:r w:rsidRPr="001215B8">
              <w:rPr>
                <w:vertAlign w:val="subscript"/>
              </w:rPr>
              <w:t>2</w:t>
            </w:r>
          </w:p>
        </w:tc>
        <w:tc>
          <w:tcPr>
            <w:tcW w:w="1572" w:type="dxa"/>
            <w:shd w:val="clear" w:color="auto" w:fill="auto"/>
          </w:tcPr>
          <w:p w14:paraId="09CD6328" w14:textId="77777777" w:rsidR="003F59BE" w:rsidRPr="001215B8" w:rsidRDefault="003F59BE" w:rsidP="003F59BE">
            <w:pPr>
              <w:spacing w:line="240" w:lineRule="auto"/>
              <w:jc w:val="center"/>
            </w:pPr>
            <w:r w:rsidRPr="001215B8">
              <w:t>3.2</w:t>
            </w:r>
          </w:p>
        </w:tc>
        <w:tc>
          <w:tcPr>
            <w:tcW w:w="1571" w:type="dxa"/>
            <w:shd w:val="clear" w:color="auto" w:fill="auto"/>
          </w:tcPr>
          <w:p w14:paraId="2761A2A4" w14:textId="77777777" w:rsidR="003F59BE" w:rsidRPr="001215B8" w:rsidRDefault="003F59BE" w:rsidP="003F59BE">
            <w:pPr>
              <w:spacing w:line="240" w:lineRule="auto"/>
              <w:jc w:val="center"/>
            </w:pPr>
            <w:r w:rsidRPr="001215B8">
              <w:t>‒5.1</w:t>
            </w:r>
          </w:p>
        </w:tc>
        <w:tc>
          <w:tcPr>
            <w:tcW w:w="1571" w:type="dxa"/>
            <w:shd w:val="clear" w:color="auto" w:fill="auto"/>
            <w:vAlign w:val="center"/>
          </w:tcPr>
          <w:p w14:paraId="67A92E64" w14:textId="77777777" w:rsidR="003F59BE" w:rsidRPr="001215B8" w:rsidRDefault="003F59BE" w:rsidP="003F59BE">
            <w:pPr>
              <w:spacing w:line="240" w:lineRule="auto"/>
              <w:jc w:val="center"/>
            </w:pPr>
            <w:r w:rsidRPr="001215B8">
              <w:t>‒7.2</w:t>
            </w:r>
          </w:p>
        </w:tc>
        <w:tc>
          <w:tcPr>
            <w:tcW w:w="1571" w:type="dxa"/>
            <w:shd w:val="clear" w:color="auto" w:fill="auto"/>
          </w:tcPr>
          <w:p w14:paraId="606590BC" w14:textId="77777777" w:rsidR="003F59BE" w:rsidRPr="001215B8" w:rsidRDefault="003F59BE" w:rsidP="003F59BE">
            <w:pPr>
              <w:spacing w:line="240" w:lineRule="auto"/>
              <w:jc w:val="center"/>
            </w:pPr>
            <w:r w:rsidRPr="001215B8">
              <w:t>‒3.9</w:t>
            </w:r>
          </w:p>
        </w:tc>
      </w:tr>
      <w:tr w:rsidR="003F59BE" w:rsidRPr="008C509F" w14:paraId="73C2263D" w14:textId="77777777" w:rsidTr="00400E33">
        <w:tc>
          <w:tcPr>
            <w:tcW w:w="1572" w:type="dxa"/>
            <w:shd w:val="clear" w:color="auto" w:fill="auto"/>
          </w:tcPr>
          <w:p w14:paraId="2FE794F8" w14:textId="77777777" w:rsidR="003F59BE" w:rsidRPr="001215B8" w:rsidRDefault="003F59BE" w:rsidP="003F59BE">
            <w:pPr>
              <w:spacing w:line="240" w:lineRule="auto"/>
              <w:jc w:val="center"/>
            </w:pPr>
            <w:r w:rsidRPr="001215B8">
              <w:t>ZnO</w:t>
            </w:r>
          </w:p>
        </w:tc>
        <w:tc>
          <w:tcPr>
            <w:tcW w:w="1572" w:type="dxa"/>
            <w:shd w:val="clear" w:color="auto" w:fill="auto"/>
          </w:tcPr>
          <w:p w14:paraId="624AACCF" w14:textId="77777777" w:rsidR="003F59BE" w:rsidRPr="001215B8" w:rsidRDefault="003F59BE" w:rsidP="003F59BE">
            <w:pPr>
              <w:spacing w:line="240" w:lineRule="auto"/>
              <w:jc w:val="center"/>
            </w:pPr>
            <w:r w:rsidRPr="001215B8">
              <w:t>3.3</w:t>
            </w:r>
          </w:p>
        </w:tc>
        <w:tc>
          <w:tcPr>
            <w:tcW w:w="1571" w:type="dxa"/>
            <w:shd w:val="clear" w:color="auto" w:fill="auto"/>
          </w:tcPr>
          <w:p w14:paraId="65D45C4F" w14:textId="77777777" w:rsidR="003F59BE" w:rsidRPr="001215B8" w:rsidRDefault="003F59BE" w:rsidP="003F59BE">
            <w:pPr>
              <w:spacing w:line="240" w:lineRule="auto"/>
              <w:jc w:val="center"/>
            </w:pPr>
            <w:r w:rsidRPr="001215B8">
              <w:t>‒5.4</w:t>
            </w:r>
          </w:p>
        </w:tc>
        <w:tc>
          <w:tcPr>
            <w:tcW w:w="1571" w:type="dxa"/>
            <w:shd w:val="clear" w:color="auto" w:fill="auto"/>
            <w:vAlign w:val="center"/>
          </w:tcPr>
          <w:p w14:paraId="1EE63E1C" w14:textId="77777777" w:rsidR="003F59BE" w:rsidRPr="001215B8" w:rsidRDefault="003F59BE" w:rsidP="003F59BE">
            <w:pPr>
              <w:spacing w:line="240" w:lineRule="auto"/>
              <w:jc w:val="center"/>
            </w:pPr>
            <w:r w:rsidRPr="001215B8">
              <w:t>‒8.0</w:t>
            </w:r>
          </w:p>
        </w:tc>
        <w:tc>
          <w:tcPr>
            <w:tcW w:w="1571" w:type="dxa"/>
            <w:shd w:val="clear" w:color="auto" w:fill="auto"/>
          </w:tcPr>
          <w:p w14:paraId="01E971DF" w14:textId="77777777" w:rsidR="003F59BE" w:rsidRPr="001215B8" w:rsidRDefault="003F59BE" w:rsidP="003F59BE">
            <w:pPr>
              <w:spacing w:line="240" w:lineRule="auto"/>
              <w:jc w:val="center"/>
            </w:pPr>
            <w:r w:rsidRPr="001215B8">
              <w:t>‒4.7</w:t>
            </w:r>
          </w:p>
        </w:tc>
      </w:tr>
      <w:tr w:rsidR="003F59BE" w:rsidRPr="008C509F" w14:paraId="4632BA7E" w14:textId="77777777" w:rsidTr="00400E33">
        <w:tc>
          <w:tcPr>
            <w:tcW w:w="1572" w:type="dxa"/>
            <w:tcBorders>
              <w:bottom w:val="single" w:sz="8" w:space="0" w:color="auto"/>
            </w:tcBorders>
            <w:shd w:val="clear" w:color="auto" w:fill="auto"/>
          </w:tcPr>
          <w:p w14:paraId="7A41F522" w14:textId="77777777" w:rsidR="003F59BE" w:rsidRPr="001215B8" w:rsidRDefault="003F59BE" w:rsidP="003F59BE">
            <w:pPr>
              <w:spacing w:line="240" w:lineRule="auto"/>
              <w:jc w:val="center"/>
            </w:pPr>
            <w:r w:rsidRPr="001215B8">
              <w:t>BiVO</w:t>
            </w:r>
            <w:r w:rsidRPr="001215B8">
              <w:rPr>
                <w:vertAlign w:val="subscript"/>
              </w:rPr>
              <w:t>4</w:t>
            </w:r>
          </w:p>
        </w:tc>
        <w:tc>
          <w:tcPr>
            <w:tcW w:w="1572" w:type="dxa"/>
            <w:tcBorders>
              <w:bottom w:val="single" w:sz="8" w:space="0" w:color="auto"/>
            </w:tcBorders>
            <w:shd w:val="clear" w:color="auto" w:fill="auto"/>
          </w:tcPr>
          <w:p w14:paraId="4F661DC0" w14:textId="77777777" w:rsidR="003F59BE" w:rsidRPr="001215B8" w:rsidRDefault="003F59BE" w:rsidP="003F59BE">
            <w:pPr>
              <w:spacing w:line="240" w:lineRule="auto"/>
              <w:jc w:val="center"/>
            </w:pPr>
            <w:r w:rsidRPr="001215B8">
              <w:t>2.5</w:t>
            </w:r>
          </w:p>
        </w:tc>
        <w:tc>
          <w:tcPr>
            <w:tcW w:w="1571" w:type="dxa"/>
            <w:tcBorders>
              <w:bottom w:val="single" w:sz="8" w:space="0" w:color="auto"/>
            </w:tcBorders>
            <w:shd w:val="clear" w:color="auto" w:fill="auto"/>
          </w:tcPr>
          <w:p w14:paraId="1B902718" w14:textId="77777777" w:rsidR="003F59BE" w:rsidRPr="001215B8" w:rsidRDefault="003F59BE" w:rsidP="003F59BE">
            <w:pPr>
              <w:spacing w:line="240" w:lineRule="auto"/>
              <w:jc w:val="center"/>
            </w:pPr>
            <w:r w:rsidRPr="001215B8">
              <w:t>‒6.0</w:t>
            </w:r>
          </w:p>
        </w:tc>
        <w:tc>
          <w:tcPr>
            <w:tcW w:w="1571" w:type="dxa"/>
            <w:tcBorders>
              <w:bottom w:val="single" w:sz="8" w:space="0" w:color="auto"/>
            </w:tcBorders>
            <w:shd w:val="clear" w:color="auto" w:fill="auto"/>
            <w:vAlign w:val="center"/>
          </w:tcPr>
          <w:p w14:paraId="04387D1E" w14:textId="77777777" w:rsidR="003F59BE" w:rsidRPr="001215B8" w:rsidRDefault="003F59BE" w:rsidP="003F59BE">
            <w:pPr>
              <w:spacing w:line="240" w:lineRule="auto"/>
              <w:jc w:val="center"/>
            </w:pPr>
            <w:r w:rsidRPr="001215B8">
              <w:t>‒7.4</w:t>
            </w:r>
          </w:p>
        </w:tc>
        <w:tc>
          <w:tcPr>
            <w:tcW w:w="1571" w:type="dxa"/>
            <w:tcBorders>
              <w:bottom w:val="single" w:sz="8" w:space="0" w:color="auto"/>
            </w:tcBorders>
            <w:shd w:val="clear" w:color="auto" w:fill="auto"/>
          </w:tcPr>
          <w:p w14:paraId="0624A09F" w14:textId="77777777" w:rsidR="003F59BE" w:rsidRPr="001215B8" w:rsidRDefault="003F59BE" w:rsidP="003F59BE">
            <w:pPr>
              <w:spacing w:line="240" w:lineRule="auto"/>
              <w:jc w:val="center"/>
            </w:pPr>
            <w:r w:rsidRPr="001215B8">
              <w:t>‒4.9</w:t>
            </w:r>
          </w:p>
        </w:tc>
      </w:tr>
    </w:tbl>
    <w:p w14:paraId="054532AC" w14:textId="0150CC68" w:rsidR="00414BA3" w:rsidRPr="009D450D" w:rsidRDefault="00DB155B" w:rsidP="001F42CB">
      <w:pPr>
        <w:pStyle w:val="MDPI31text"/>
        <w:spacing w:before="240"/>
      </w:pPr>
      <w:r w:rsidRPr="009D450D">
        <w:t xml:space="preserve">The </w:t>
      </w:r>
      <w:r w:rsidR="00414BA3" w:rsidRPr="009D450D">
        <w:t>work function characteristics (E</w:t>
      </w:r>
      <w:r w:rsidR="00414BA3" w:rsidRPr="009D450D">
        <w:rPr>
          <w:vertAlign w:val="subscript"/>
        </w:rPr>
        <w:t>F</w:t>
      </w:r>
      <w:r w:rsidR="00414BA3" w:rsidRPr="009D450D">
        <w:t xml:space="preserve">) of the nanocoatings </w:t>
      </w:r>
      <w:r w:rsidRPr="009D450D">
        <w:t xml:space="preserve">were measured by Kelvin probe method.  They correspond to </w:t>
      </w:r>
      <w:r w:rsidR="00414BA3" w:rsidRPr="009D450D">
        <w:t>the positions of the Fermi lev</w:t>
      </w:r>
      <w:r w:rsidRPr="009D450D">
        <w:t>els.</w:t>
      </w:r>
    </w:p>
    <w:p w14:paraId="4AB5ABE7" w14:textId="4D4A2AD1" w:rsidR="00414BA3" w:rsidRPr="002F6A1E" w:rsidRDefault="00414BA3" w:rsidP="001F42CB">
      <w:pPr>
        <w:pStyle w:val="MDPI31text"/>
      </w:pPr>
      <w:r w:rsidRPr="009D450D">
        <w:t xml:space="preserve">XPS spectra recorded in low binding energy region (see Figure S7) were used to </w:t>
      </w:r>
      <w:r w:rsidR="00DB155B" w:rsidRPr="009D450D">
        <w:t>recognize</w:t>
      </w:r>
      <w:r w:rsidRPr="002F6A1E">
        <w:t xml:space="preserve"> the valence band positions (E</w:t>
      </w:r>
      <w:r w:rsidRPr="00CD4F4D">
        <w:rPr>
          <w:vertAlign w:val="subscript"/>
        </w:rPr>
        <w:t>VB</w:t>
      </w:r>
      <w:r w:rsidRPr="002F6A1E">
        <w:t>) of the components of heterostructured coa</w:t>
      </w:r>
      <w:r w:rsidRPr="002F6A1E">
        <w:t>t</w:t>
      </w:r>
      <w:r w:rsidRPr="002F6A1E">
        <w:t>ings. Corresponding values with respect to the vacuum energy level are given in Table 2.</w:t>
      </w:r>
    </w:p>
    <w:p w14:paraId="36909855" w14:textId="77777777" w:rsidR="00414BA3" w:rsidRPr="00FB70B3" w:rsidRDefault="00414BA3" w:rsidP="001F42CB">
      <w:pPr>
        <w:pStyle w:val="MDPI31text"/>
      </w:pPr>
      <w:r w:rsidRPr="002F6A1E">
        <w:t>For each coating component, the energy level of the conduction band bottom (E</w:t>
      </w:r>
      <w:r w:rsidRPr="00CD4F4D">
        <w:rPr>
          <w:vertAlign w:val="subscript"/>
        </w:rPr>
        <w:t>CB</w:t>
      </w:r>
      <w:r w:rsidRPr="002F6A1E">
        <w:t>) was calculated as a sum of the energies corresponding to the valence band top and opt</w:t>
      </w:r>
      <w:r w:rsidRPr="002F6A1E">
        <w:t>i</w:t>
      </w:r>
      <w:r w:rsidRPr="002F6A1E">
        <w:t>cal band gap (see Table 2):</w:t>
      </w:r>
    </w:p>
    <w:p w14:paraId="6430BF6E" w14:textId="77B05BC7" w:rsidR="00414BA3" w:rsidRPr="003444E8" w:rsidRDefault="00414BA3" w:rsidP="00D5131F">
      <w:pPr>
        <w:pStyle w:val="MDPI31text"/>
        <w:spacing w:after="120" w:line="240" w:lineRule="auto"/>
        <w:ind w:left="4648" w:firstLine="452"/>
        <w:rPr>
          <w:szCs w:val="20"/>
        </w:rPr>
      </w:pPr>
      <w:r w:rsidRPr="002F6A1E">
        <w:rPr>
          <w:szCs w:val="20"/>
        </w:rPr>
        <w:t>E</w:t>
      </w:r>
      <w:r w:rsidRPr="002F6A1E">
        <w:rPr>
          <w:szCs w:val="20"/>
          <w:vertAlign w:val="subscript"/>
        </w:rPr>
        <w:t>CB</w:t>
      </w:r>
      <w:r w:rsidRPr="002F6A1E">
        <w:rPr>
          <w:szCs w:val="20"/>
        </w:rPr>
        <w:t xml:space="preserve"> = E</w:t>
      </w:r>
      <w:r w:rsidRPr="002F6A1E">
        <w:rPr>
          <w:szCs w:val="20"/>
          <w:vertAlign w:val="subscript"/>
        </w:rPr>
        <w:t>VB</w:t>
      </w:r>
      <w:r w:rsidRPr="002F6A1E">
        <w:rPr>
          <w:szCs w:val="20"/>
        </w:rPr>
        <w:t xml:space="preserve"> + </w:t>
      </w:r>
      <w:proofErr w:type="spellStart"/>
      <w:r w:rsidRPr="002F6A1E">
        <w:rPr>
          <w:szCs w:val="20"/>
        </w:rPr>
        <w:t>E</w:t>
      </w:r>
      <w:r w:rsidRPr="002F6A1E">
        <w:rPr>
          <w:szCs w:val="20"/>
          <w:vertAlign w:val="subscript"/>
        </w:rPr>
        <w:t>bg</w:t>
      </w:r>
      <w:proofErr w:type="spellEnd"/>
      <w:r>
        <w:rPr>
          <w:szCs w:val="20"/>
        </w:rPr>
        <w:tab/>
      </w:r>
      <w:r>
        <w:rPr>
          <w:szCs w:val="20"/>
        </w:rPr>
        <w:tab/>
      </w:r>
      <w:r>
        <w:rPr>
          <w:szCs w:val="20"/>
        </w:rPr>
        <w:tab/>
      </w:r>
      <w:r>
        <w:rPr>
          <w:szCs w:val="20"/>
        </w:rPr>
        <w:tab/>
        <w:t>(1)</w:t>
      </w:r>
    </w:p>
    <w:p w14:paraId="11D6C1B1" w14:textId="77777777" w:rsidR="00D5131F" w:rsidRPr="003444E8" w:rsidRDefault="00D5131F" w:rsidP="00D5131F">
      <w:pPr>
        <w:pStyle w:val="MDPI31text"/>
        <w:spacing w:after="120" w:line="240" w:lineRule="auto"/>
        <w:ind w:left="4648" w:firstLine="452"/>
        <w:rPr>
          <w:szCs w:val="20"/>
        </w:rPr>
      </w:pPr>
    </w:p>
    <w:p w14:paraId="7BF051A5" w14:textId="03425D09" w:rsidR="009459F0" w:rsidRPr="001F42CB" w:rsidRDefault="001F42CB" w:rsidP="00D5131F">
      <w:pPr>
        <w:pStyle w:val="MDPI22heading2"/>
        <w:spacing w:before="0" w:after="120"/>
      </w:pPr>
      <w:r w:rsidRPr="001F42CB">
        <w:t xml:space="preserve">2.3. </w:t>
      </w:r>
      <w:r w:rsidR="00CA7E16" w:rsidRPr="001F42CB">
        <w:t>Photo</w:t>
      </w:r>
      <w:r w:rsidR="009459F0" w:rsidRPr="001F42CB">
        <w:t>induced alterations in surface hydrophilicity of heterostructured coatings</w:t>
      </w:r>
    </w:p>
    <w:p w14:paraId="4D791BD4" w14:textId="6D903937" w:rsidR="00EC47F5" w:rsidRDefault="0098714D" w:rsidP="001F42CB">
      <w:pPr>
        <w:pStyle w:val="MDPI31text"/>
      </w:pPr>
      <w:r w:rsidRPr="0098714D">
        <w:t xml:space="preserve">The effect of irradiation on the surface hydrophilicity of nanocoatings was studied for strongly hydrated surface. </w:t>
      </w:r>
      <w:r w:rsidR="00760006">
        <w:t>This</w:t>
      </w:r>
      <w:r w:rsidRPr="0098714D">
        <w:t xml:space="preserve"> state of the surface is well reproducible and consi</w:t>
      </w:r>
      <w:r w:rsidRPr="0098714D">
        <w:t>d</w:t>
      </w:r>
      <w:r w:rsidRPr="0098714D">
        <w:t xml:space="preserve">ered as the initial surface state for further kinetic studies of light-induced changes </w:t>
      </w:r>
      <w:r>
        <w:t>of</w:t>
      </w:r>
      <w:r w:rsidRPr="0098714D">
        <w:t xml:space="preserve"> surface hydrophilicity as a function of irradiation time. The hydrophilicity of this state is characterized by initial water contact angle values of 35-43</w:t>
      </w:r>
      <w:r w:rsidRPr="0098714D">
        <w:rPr>
          <w:vertAlign w:val="superscript"/>
        </w:rPr>
        <w:t>o</w:t>
      </w:r>
      <w:r w:rsidRPr="0098714D">
        <w:t xml:space="preserve"> for </w:t>
      </w:r>
      <w:r w:rsidR="00760006">
        <w:t>TiO</w:t>
      </w:r>
      <w:r w:rsidR="00760006">
        <w:rPr>
          <w:vertAlign w:val="subscript"/>
        </w:rPr>
        <w:t>2</w:t>
      </w:r>
      <w:r w:rsidR="00760006">
        <w:t xml:space="preserve"> and </w:t>
      </w:r>
      <w:r w:rsidRPr="0098714D">
        <w:t>TiO</w:t>
      </w:r>
      <w:r w:rsidRPr="0098714D">
        <w:rPr>
          <w:vertAlign w:val="subscript"/>
        </w:rPr>
        <w:t>2</w:t>
      </w:r>
      <w:r w:rsidR="00760006">
        <w:t>/</w:t>
      </w:r>
      <w:r w:rsidR="00760006" w:rsidRPr="001215B8">
        <w:t>BiVO</w:t>
      </w:r>
      <w:r w:rsidR="00760006" w:rsidRPr="001215B8">
        <w:rPr>
          <w:vertAlign w:val="subscript"/>
        </w:rPr>
        <w:t>4</w:t>
      </w:r>
      <w:r w:rsidR="00760006">
        <w:t xml:space="preserve">, </w:t>
      </w:r>
      <w:r w:rsidRPr="0098714D">
        <w:t xml:space="preserve">and </w:t>
      </w:r>
      <w:proofErr w:type="spellStart"/>
      <w:r w:rsidR="00DE1629" w:rsidRPr="0098714D">
        <w:t>and</w:t>
      </w:r>
      <w:proofErr w:type="spellEnd"/>
      <w:r w:rsidR="00DE1629" w:rsidRPr="0098714D">
        <w:t xml:space="preserve"> 23-25</w:t>
      </w:r>
      <w:r w:rsidR="00DE1629" w:rsidRPr="0098714D">
        <w:rPr>
          <w:vertAlign w:val="superscript"/>
        </w:rPr>
        <w:t>o</w:t>
      </w:r>
      <w:r w:rsidR="00DE1629" w:rsidRPr="0098714D">
        <w:t xml:space="preserve"> </w:t>
      </w:r>
      <w:r w:rsidR="00DE1629">
        <w:t xml:space="preserve">for </w:t>
      </w:r>
      <w:proofErr w:type="spellStart"/>
      <w:r w:rsidR="00760006">
        <w:t>ZnO</w:t>
      </w:r>
      <w:proofErr w:type="spellEnd"/>
      <w:r w:rsidR="00760006">
        <w:t xml:space="preserve"> and </w:t>
      </w:r>
      <w:proofErr w:type="spellStart"/>
      <w:r w:rsidRPr="0098714D">
        <w:t>ZnO</w:t>
      </w:r>
      <w:proofErr w:type="spellEnd"/>
      <w:r w:rsidR="00760006">
        <w:t>/</w:t>
      </w:r>
      <w:r w:rsidR="00760006" w:rsidRPr="001215B8">
        <w:t>BiVO</w:t>
      </w:r>
      <w:r w:rsidR="00760006" w:rsidRPr="001215B8">
        <w:rPr>
          <w:vertAlign w:val="subscript"/>
        </w:rPr>
        <w:t>4</w:t>
      </w:r>
      <w:r w:rsidRPr="0098714D">
        <w:t xml:space="preserve"> coatings, respectively (Figures 1 and 2). In parallel with the kinetic WCA measurements, the corresponding values of the work function and surface free energy depending on the spectral </w:t>
      </w:r>
      <w:r w:rsidR="00DE1629">
        <w:t>range</w:t>
      </w:r>
      <w:r w:rsidRPr="0098714D">
        <w:t xml:space="preserve"> of the </w:t>
      </w:r>
      <w:r w:rsidR="00E43304" w:rsidRPr="009D450D">
        <w:t>act</w:t>
      </w:r>
      <w:r w:rsidR="00DE1629" w:rsidRPr="009D450D">
        <w:t>ing</w:t>
      </w:r>
      <w:r w:rsidRPr="0098714D">
        <w:t xml:space="preserve"> light were determined for all coatings</w:t>
      </w:r>
      <w:r w:rsidR="00634DF0">
        <w:t xml:space="preserve"> </w:t>
      </w:r>
      <w:r w:rsidR="00634DF0" w:rsidRPr="00634DF0">
        <w:t>(Tables 3 and 4, Figure 3)</w:t>
      </w:r>
      <w:r w:rsidRPr="0098714D">
        <w:t>.</w:t>
      </w:r>
    </w:p>
    <w:p w14:paraId="3A2D7BA4" w14:textId="30A1931D" w:rsidR="00787A28" w:rsidRDefault="00787A28" w:rsidP="001F42CB">
      <w:pPr>
        <w:pStyle w:val="MDPI31text"/>
      </w:pPr>
      <w:r w:rsidRPr="00787A28">
        <w:t>The light-induced hydrophilic behavior of TiO</w:t>
      </w:r>
      <w:r w:rsidRPr="00787A28">
        <w:rPr>
          <w:vertAlign w:val="subscript"/>
        </w:rPr>
        <w:t>2</w:t>
      </w:r>
      <w:r w:rsidRPr="00787A28">
        <w:t>/BiVO</w:t>
      </w:r>
      <w:r w:rsidRPr="00787A28">
        <w:rPr>
          <w:vertAlign w:val="subscript"/>
        </w:rPr>
        <w:t>4</w:t>
      </w:r>
      <w:r w:rsidRPr="00787A28">
        <w:t xml:space="preserve"> heterosystem is significantly different compared to the mono-component TiO</w:t>
      </w:r>
      <w:r w:rsidRPr="00787A28">
        <w:rPr>
          <w:vertAlign w:val="subscript"/>
        </w:rPr>
        <w:t>2</w:t>
      </w:r>
      <w:r w:rsidRPr="00787A28">
        <w:t xml:space="preserve"> film (Figure 1, curves </w:t>
      </w:r>
      <w:r w:rsidRPr="00787A28">
        <w:rPr>
          <w:i/>
        </w:rPr>
        <w:t>2</w:t>
      </w:r>
      <w:r w:rsidRPr="00787A28">
        <w:t xml:space="preserve"> and </w:t>
      </w:r>
      <w:r w:rsidRPr="00787A28">
        <w:rPr>
          <w:i/>
        </w:rPr>
        <w:t>1</w:t>
      </w:r>
      <w:r w:rsidRPr="00787A28">
        <w:t>). Upon UV irradiation, its surface</w:t>
      </w:r>
      <w:r>
        <w:t xml:space="preserve"> state</w:t>
      </w:r>
      <w:r w:rsidRPr="00787A28">
        <w:t xml:space="preserve"> turns into the superhydrophilic state with a lower eff</w:t>
      </w:r>
      <w:r w:rsidRPr="00787A28">
        <w:t>i</w:t>
      </w:r>
      <w:r>
        <w:t>ciency with respect to that for individual film</w:t>
      </w:r>
      <w:r w:rsidRPr="00787A28">
        <w:t>. Exposure of the TiO</w:t>
      </w:r>
      <w:r w:rsidRPr="00787A28">
        <w:rPr>
          <w:vertAlign w:val="subscript"/>
        </w:rPr>
        <w:t>2</w:t>
      </w:r>
      <w:r w:rsidRPr="00787A28">
        <w:t>/BiVO</w:t>
      </w:r>
      <w:r w:rsidRPr="00787A28">
        <w:rPr>
          <w:vertAlign w:val="subscript"/>
        </w:rPr>
        <w:t>4</w:t>
      </w:r>
      <w:r w:rsidRPr="00787A28">
        <w:t xml:space="preserve"> coating to visible light also leads to an increase in hydrophilicity, reaching the value of 7</w:t>
      </w:r>
      <w:r w:rsidRPr="00DE1629">
        <w:rPr>
          <w:vertAlign w:val="superscript"/>
        </w:rPr>
        <w:t>o</w:t>
      </w:r>
      <w:r w:rsidRPr="00787A28">
        <w:t xml:space="preserve"> (supe</w:t>
      </w:r>
      <w:r w:rsidRPr="00787A28">
        <w:t>r</w:t>
      </w:r>
      <w:r w:rsidRPr="00787A28">
        <w:t>hydrophilicity) after 1 hour of irradiation, while the hydrophilic surface state of the TiO</w:t>
      </w:r>
      <w:r w:rsidRPr="00787A28">
        <w:rPr>
          <w:vertAlign w:val="subscript"/>
        </w:rPr>
        <w:t>2</w:t>
      </w:r>
      <w:r w:rsidRPr="00787A28">
        <w:t xml:space="preserve"> coating remains unchanged within the </w:t>
      </w:r>
      <w:r w:rsidR="00DE1629">
        <w:t xml:space="preserve">experimental </w:t>
      </w:r>
      <w:r w:rsidRPr="00787A28">
        <w:t xml:space="preserve">error (Figure 1, curves </w:t>
      </w:r>
      <w:r w:rsidRPr="00787A28">
        <w:rPr>
          <w:i/>
        </w:rPr>
        <w:t>4</w:t>
      </w:r>
      <w:r w:rsidRPr="00787A28">
        <w:t xml:space="preserve"> and </w:t>
      </w:r>
      <w:r w:rsidRPr="00787A28">
        <w:rPr>
          <w:i/>
        </w:rPr>
        <w:t>3</w:t>
      </w:r>
      <w:r w:rsidRPr="00787A28">
        <w:t>).</w:t>
      </w:r>
    </w:p>
    <w:p w14:paraId="0D9B98B5" w14:textId="77777777" w:rsidR="000A34E0" w:rsidRDefault="000A34E0" w:rsidP="001F42CB">
      <w:pPr>
        <w:pStyle w:val="MDPI52figure"/>
        <w:ind w:left="2608"/>
        <w:jc w:val="left"/>
        <w:rPr>
          <w:b/>
        </w:rPr>
      </w:pPr>
      <w:r>
        <w:object w:dxaOrig="6150" w:dyaOrig="4657" w14:anchorId="1FF0AA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7.4pt;height:232.3pt" o:ole="">
            <v:imagedata r:id="rId12" o:title=""/>
          </v:shape>
          <o:OLEObject Type="Embed" ProgID="Origin95.Graph" ShapeID="_x0000_i1025" DrawAspect="Content" ObjectID="_1698479775" r:id="rId13"/>
        </w:object>
      </w:r>
    </w:p>
    <w:p w14:paraId="253E1E43" w14:textId="2EC9E566" w:rsidR="000A34E0" w:rsidRDefault="001F42CB" w:rsidP="001F42CB">
      <w:pPr>
        <w:pStyle w:val="MDPI51figurecaption"/>
        <w:jc w:val="both"/>
      </w:pPr>
      <w:proofErr w:type="gramStart"/>
      <w:r w:rsidRPr="001F42CB">
        <w:rPr>
          <w:b/>
        </w:rPr>
        <w:t>Figure 1.</w:t>
      </w:r>
      <w:proofErr w:type="gramEnd"/>
      <w:r w:rsidRPr="001F42CB">
        <w:rPr>
          <w:b/>
        </w:rPr>
        <w:t xml:space="preserve"> </w:t>
      </w:r>
      <w:r w:rsidR="000A34E0" w:rsidRPr="000A34E0">
        <w:t>Kinetics of the water contact angle alterations for TiO</w:t>
      </w:r>
      <w:r w:rsidR="000A34E0" w:rsidRPr="000A34E0">
        <w:rPr>
          <w:vertAlign w:val="subscript"/>
        </w:rPr>
        <w:t>2</w:t>
      </w:r>
      <w:r w:rsidR="000A34E0" w:rsidRPr="000A34E0">
        <w:t xml:space="preserve"> (</w:t>
      </w:r>
      <w:r w:rsidR="000A34E0" w:rsidRPr="00D0702F">
        <w:rPr>
          <w:i/>
        </w:rPr>
        <w:t>1</w:t>
      </w:r>
      <w:r w:rsidR="000A34E0" w:rsidRPr="000A34E0">
        <w:t xml:space="preserve">, </w:t>
      </w:r>
      <w:r w:rsidR="000A34E0" w:rsidRPr="00D0702F">
        <w:rPr>
          <w:i/>
        </w:rPr>
        <w:t>3</w:t>
      </w:r>
      <w:r w:rsidR="000A34E0" w:rsidRPr="000A34E0">
        <w:t>) and TiO</w:t>
      </w:r>
      <w:r w:rsidR="000A34E0" w:rsidRPr="000A34E0">
        <w:rPr>
          <w:vertAlign w:val="subscript"/>
        </w:rPr>
        <w:t>2</w:t>
      </w:r>
      <w:r w:rsidR="000A34E0" w:rsidRPr="000A34E0">
        <w:t>/BiVO</w:t>
      </w:r>
      <w:r w:rsidR="000A34E0" w:rsidRPr="000A34E0">
        <w:rPr>
          <w:vertAlign w:val="subscript"/>
        </w:rPr>
        <w:t>4</w:t>
      </w:r>
      <w:r w:rsidR="000A34E0" w:rsidRPr="000A34E0">
        <w:t xml:space="preserve"> (</w:t>
      </w:r>
      <w:r w:rsidR="000A34E0" w:rsidRPr="00D0702F">
        <w:rPr>
          <w:i/>
        </w:rPr>
        <w:t>2</w:t>
      </w:r>
      <w:r w:rsidR="000A34E0" w:rsidRPr="000A34E0">
        <w:t xml:space="preserve">, </w:t>
      </w:r>
      <w:r w:rsidR="000A34E0" w:rsidRPr="00D0702F">
        <w:rPr>
          <w:i/>
        </w:rPr>
        <w:t>4</w:t>
      </w:r>
      <w:r w:rsidR="000A34E0" w:rsidRPr="000A34E0">
        <w:t>) coatings under UV (</w:t>
      </w:r>
      <w:r w:rsidR="000A34E0" w:rsidRPr="00D0702F">
        <w:rPr>
          <w:i/>
        </w:rPr>
        <w:t>1</w:t>
      </w:r>
      <w:r w:rsidR="000A34E0" w:rsidRPr="000A34E0">
        <w:t xml:space="preserve">, </w:t>
      </w:r>
      <w:r w:rsidR="000A34E0" w:rsidRPr="00D0702F">
        <w:rPr>
          <w:i/>
        </w:rPr>
        <w:t>2</w:t>
      </w:r>
      <w:r w:rsidR="000A34E0" w:rsidRPr="000A34E0">
        <w:t>) and visible</w:t>
      </w:r>
      <w:r w:rsidR="002A503A">
        <w:t xml:space="preserve"> </w:t>
      </w:r>
      <w:r w:rsidR="000A34E0" w:rsidRPr="000A34E0">
        <w:t>(</w:t>
      </w:r>
      <w:r w:rsidR="000A34E0" w:rsidRPr="00D0702F">
        <w:rPr>
          <w:i/>
        </w:rPr>
        <w:t>3</w:t>
      </w:r>
      <w:r w:rsidR="000A34E0" w:rsidRPr="000A34E0">
        <w:t xml:space="preserve">, </w:t>
      </w:r>
      <w:r w:rsidR="000A34E0" w:rsidRPr="00D0702F">
        <w:rPr>
          <w:i/>
        </w:rPr>
        <w:t>4</w:t>
      </w:r>
      <w:r w:rsidR="000A34E0" w:rsidRPr="000A34E0">
        <w:t xml:space="preserve">) </w:t>
      </w:r>
      <w:r w:rsidR="002A503A" w:rsidRPr="000A34E0">
        <w:t xml:space="preserve">light </w:t>
      </w:r>
      <w:r w:rsidR="000A34E0" w:rsidRPr="000A34E0">
        <w:t>irradiation. The error of the water contact angle measur</w:t>
      </w:r>
      <w:r w:rsidR="000A34E0" w:rsidRPr="000A34E0">
        <w:t>e</w:t>
      </w:r>
      <w:r w:rsidR="000A34E0" w:rsidRPr="000A34E0">
        <w:t>ment was ±</w:t>
      </w:r>
      <w:r w:rsidR="0064641A">
        <w:t xml:space="preserve"> </w:t>
      </w:r>
      <w:r w:rsidR="000A34E0" w:rsidRPr="000A34E0">
        <w:t>1.5</w:t>
      </w:r>
      <w:r w:rsidR="000A34E0" w:rsidRPr="000A34E0">
        <w:rPr>
          <w:vertAlign w:val="superscript"/>
        </w:rPr>
        <w:t>o</w:t>
      </w:r>
      <w:r w:rsidR="000A34E0" w:rsidRPr="000A34E0">
        <w:t xml:space="preserve"> for all data sets (presented as bars).</w:t>
      </w:r>
    </w:p>
    <w:p w14:paraId="5B1BC741" w14:textId="77777777" w:rsidR="00834266" w:rsidRPr="00764050" w:rsidRDefault="00811FE3" w:rsidP="001F42CB">
      <w:pPr>
        <w:pStyle w:val="MDPI31text"/>
      </w:pPr>
      <w:r w:rsidRPr="00764050">
        <w:t xml:space="preserve">Figure 2 shows the kinetic dependences of the photoinduced WCA alterations for the </w:t>
      </w:r>
      <w:proofErr w:type="spellStart"/>
      <w:r w:rsidRPr="00764050">
        <w:t>ZnO</w:t>
      </w:r>
      <w:proofErr w:type="spellEnd"/>
      <w:r w:rsidRPr="00764050">
        <w:t>/BiVO</w:t>
      </w:r>
      <w:r w:rsidRPr="00696A3C">
        <w:rPr>
          <w:vertAlign w:val="subscript"/>
        </w:rPr>
        <w:t>4</w:t>
      </w:r>
      <w:r w:rsidRPr="00764050">
        <w:t xml:space="preserve"> heterostructured coating and corresponding mono-component </w:t>
      </w:r>
      <w:proofErr w:type="spellStart"/>
      <w:r w:rsidRPr="00764050">
        <w:t>ZnO</w:t>
      </w:r>
      <w:proofErr w:type="spellEnd"/>
      <w:r w:rsidRPr="00764050">
        <w:t xml:space="preserve"> coating. UV-induced superhydrophilic conversion is observed on the surfaces of heter</w:t>
      </w:r>
      <w:r w:rsidRPr="00764050">
        <w:t>o</w:t>
      </w:r>
      <w:r w:rsidRPr="00764050">
        <w:t xml:space="preserve">structured </w:t>
      </w:r>
      <w:proofErr w:type="spellStart"/>
      <w:r w:rsidRPr="00764050">
        <w:t>ZnO</w:t>
      </w:r>
      <w:proofErr w:type="spellEnd"/>
      <w:r w:rsidRPr="00764050">
        <w:t>/BiVO</w:t>
      </w:r>
      <w:r w:rsidRPr="00696A3C">
        <w:rPr>
          <w:vertAlign w:val="subscript"/>
        </w:rPr>
        <w:t>4</w:t>
      </w:r>
      <w:r w:rsidRPr="00764050">
        <w:t xml:space="preserve"> as well as mono-component </w:t>
      </w:r>
      <w:proofErr w:type="spellStart"/>
      <w:r w:rsidRPr="00764050">
        <w:t>ZnO</w:t>
      </w:r>
      <w:proofErr w:type="spellEnd"/>
      <w:r w:rsidRPr="00764050">
        <w:t xml:space="preserve"> coatings (curves </w:t>
      </w:r>
      <w:r w:rsidRPr="00696A3C">
        <w:rPr>
          <w:i/>
        </w:rPr>
        <w:t>2</w:t>
      </w:r>
      <w:r w:rsidRPr="00764050">
        <w:t xml:space="preserve"> and </w:t>
      </w:r>
      <w:r w:rsidRPr="00696A3C">
        <w:rPr>
          <w:i/>
        </w:rPr>
        <w:t>1</w:t>
      </w:r>
      <w:r w:rsidRPr="00764050">
        <w:t xml:space="preserve">). At the same time, the surface hydrophilicity of both coatings does not undergo any changes within the WCA error limits when irradiated with visible light (curves </w:t>
      </w:r>
      <w:r w:rsidRPr="00696A3C">
        <w:rPr>
          <w:i/>
        </w:rPr>
        <w:t>3</w:t>
      </w:r>
      <w:r w:rsidRPr="00764050">
        <w:t xml:space="preserve"> and </w:t>
      </w:r>
      <w:r w:rsidRPr="00696A3C">
        <w:rPr>
          <w:i/>
        </w:rPr>
        <w:t>4</w:t>
      </w:r>
      <w:r w:rsidRPr="00764050">
        <w:t xml:space="preserve">). Thus, no significant differences were found in the kinetic dependences of the water contact angle under UV and visible light irradiation for surfaces of both, </w:t>
      </w:r>
      <w:proofErr w:type="spellStart"/>
      <w:r w:rsidRPr="00764050">
        <w:t>ZnO</w:t>
      </w:r>
      <w:proofErr w:type="spellEnd"/>
      <w:r w:rsidRPr="00764050">
        <w:t xml:space="preserve"> and </w:t>
      </w:r>
      <w:proofErr w:type="spellStart"/>
      <w:r w:rsidRPr="00764050">
        <w:t>ZnO</w:t>
      </w:r>
      <w:proofErr w:type="spellEnd"/>
      <w:r w:rsidRPr="00764050">
        <w:t>/BiVO</w:t>
      </w:r>
      <w:r w:rsidRPr="00696A3C">
        <w:rPr>
          <w:vertAlign w:val="subscript"/>
        </w:rPr>
        <w:t>4</w:t>
      </w:r>
      <w:r w:rsidRPr="00764050">
        <w:t>, planar systems.</w:t>
      </w:r>
    </w:p>
    <w:p w14:paraId="53B7FD6D" w14:textId="77777777" w:rsidR="00372FF5" w:rsidRDefault="00372FF5" w:rsidP="001F42CB">
      <w:pPr>
        <w:pStyle w:val="MDPI52figure"/>
        <w:ind w:left="2608"/>
        <w:jc w:val="left"/>
        <w:rPr>
          <w:b/>
        </w:rPr>
      </w:pPr>
      <w:r>
        <w:object w:dxaOrig="6150" w:dyaOrig="4657" w14:anchorId="6EBC190B">
          <v:shape id="_x0000_i1026" type="#_x0000_t75" style="width:307.4pt;height:232.3pt" o:ole="">
            <v:imagedata r:id="rId14" o:title=""/>
          </v:shape>
          <o:OLEObject Type="Embed" ProgID="Origin95.Graph" ShapeID="_x0000_i1026" DrawAspect="Content" ObjectID="_1698479776" r:id="rId15"/>
        </w:object>
      </w:r>
    </w:p>
    <w:p w14:paraId="54821F41" w14:textId="0E6444E1" w:rsidR="00372FF5" w:rsidRDefault="001F42CB" w:rsidP="001F42CB">
      <w:pPr>
        <w:pStyle w:val="MDPI51figurecaption"/>
        <w:jc w:val="both"/>
      </w:pPr>
      <w:proofErr w:type="gramStart"/>
      <w:r w:rsidRPr="001F42CB">
        <w:rPr>
          <w:b/>
        </w:rPr>
        <w:t>Figure 2.</w:t>
      </w:r>
      <w:proofErr w:type="gramEnd"/>
      <w:r w:rsidRPr="001F42CB">
        <w:rPr>
          <w:b/>
        </w:rPr>
        <w:t xml:space="preserve"> </w:t>
      </w:r>
      <w:r w:rsidR="00372FF5" w:rsidRPr="00372FF5">
        <w:t xml:space="preserve">Kinetics of the water contact angle alterations for </w:t>
      </w:r>
      <w:proofErr w:type="spellStart"/>
      <w:r w:rsidR="00372FF5" w:rsidRPr="00372FF5">
        <w:t>ZnO</w:t>
      </w:r>
      <w:proofErr w:type="spellEnd"/>
      <w:r w:rsidR="00372FF5" w:rsidRPr="00372FF5">
        <w:t xml:space="preserve"> (</w:t>
      </w:r>
      <w:r w:rsidR="00372FF5" w:rsidRPr="00D0702F">
        <w:rPr>
          <w:i/>
        </w:rPr>
        <w:t>1</w:t>
      </w:r>
      <w:r w:rsidR="00372FF5" w:rsidRPr="00372FF5">
        <w:t xml:space="preserve">, </w:t>
      </w:r>
      <w:r w:rsidR="00372FF5" w:rsidRPr="00D0702F">
        <w:rPr>
          <w:i/>
        </w:rPr>
        <w:t>3</w:t>
      </w:r>
      <w:r w:rsidR="00372FF5" w:rsidRPr="00372FF5">
        <w:t xml:space="preserve">) and </w:t>
      </w:r>
      <w:proofErr w:type="spellStart"/>
      <w:r w:rsidR="00372FF5" w:rsidRPr="00372FF5">
        <w:t>ZnO</w:t>
      </w:r>
      <w:proofErr w:type="spellEnd"/>
      <w:r w:rsidR="00372FF5" w:rsidRPr="00372FF5">
        <w:t>/BiVO</w:t>
      </w:r>
      <w:r w:rsidR="00372FF5" w:rsidRPr="00372FF5">
        <w:rPr>
          <w:vertAlign w:val="subscript"/>
        </w:rPr>
        <w:t>4</w:t>
      </w:r>
      <w:r w:rsidR="00372FF5" w:rsidRPr="00372FF5">
        <w:t xml:space="preserve"> (</w:t>
      </w:r>
      <w:r w:rsidR="00372FF5" w:rsidRPr="00D0702F">
        <w:rPr>
          <w:i/>
        </w:rPr>
        <w:t>2</w:t>
      </w:r>
      <w:r w:rsidR="00372FF5" w:rsidRPr="00372FF5">
        <w:t xml:space="preserve">, </w:t>
      </w:r>
      <w:r w:rsidR="00372FF5" w:rsidRPr="00D0702F">
        <w:rPr>
          <w:i/>
        </w:rPr>
        <w:t>4</w:t>
      </w:r>
      <w:r w:rsidR="00372FF5" w:rsidRPr="00372FF5">
        <w:t>) coa</w:t>
      </w:r>
      <w:r w:rsidR="00372FF5" w:rsidRPr="00372FF5">
        <w:t>t</w:t>
      </w:r>
      <w:r w:rsidR="00372FF5" w:rsidRPr="00372FF5">
        <w:t>ings under UV (</w:t>
      </w:r>
      <w:r w:rsidR="00372FF5" w:rsidRPr="00D0702F">
        <w:rPr>
          <w:i/>
        </w:rPr>
        <w:t>1</w:t>
      </w:r>
      <w:r w:rsidR="00372FF5" w:rsidRPr="00372FF5">
        <w:t xml:space="preserve">, </w:t>
      </w:r>
      <w:r w:rsidR="00372FF5" w:rsidRPr="00D0702F">
        <w:rPr>
          <w:i/>
        </w:rPr>
        <w:t>2</w:t>
      </w:r>
      <w:r w:rsidR="00372FF5" w:rsidRPr="00372FF5">
        <w:t>) and visible</w:t>
      </w:r>
      <w:r w:rsidR="00372FF5">
        <w:t xml:space="preserve"> </w:t>
      </w:r>
      <w:r w:rsidR="00372FF5" w:rsidRPr="00372FF5">
        <w:t>(</w:t>
      </w:r>
      <w:r w:rsidR="00372FF5" w:rsidRPr="00D0702F">
        <w:rPr>
          <w:i/>
        </w:rPr>
        <w:t>3</w:t>
      </w:r>
      <w:r w:rsidR="00372FF5" w:rsidRPr="00372FF5">
        <w:t xml:space="preserve">, </w:t>
      </w:r>
      <w:r w:rsidR="00372FF5" w:rsidRPr="00D0702F">
        <w:rPr>
          <w:i/>
        </w:rPr>
        <w:t>4</w:t>
      </w:r>
      <w:r w:rsidR="00372FF5" w:rsidRPr="00372FF5">
        <w:t>) light irradiation. The error of the water contact angle mea</w:t>
      </w:r>
      <w:r w:rsidR="00372FF5" w:rsidRPr="00372FF5">
        <w:t>s</w:t>
      </w:r>
      <w:r w:rsidR="00372FF5" w:rsidRPr="00372FF5">
        <w:t>urement was ±</w:t>
      </w:r>
      <w:r w:rsidR="0064641A">
        <w:t xml:space="preserve"> </w:t>
      </w:r>
      <w:r w:rsidR="00372FF5" w:rsidRPr="00372FF5">
        <w:t>1.5</w:t>
      </w:r>
      <w:r w:rsidR="00372FF5" w:rsidRPr="00372FF5">
        <w:rPr>
          <w:vertAlign w:val="superscript"/>
        </w:rPr>
        <w:t>o</w:t>
      </w:r>
      <w:r w:rsidR="00372FF5" w:rsidRPr="00372FF5">
        <w:t xml:space="preserve"> for all data sets (presented as bars).</w:t>
      </w:r>
    </w:p>
    <w:p w14:paraId="1EF5E698" w14:textId="77777777" w:rsidR="00253250" w:rsidRDefault="00671208" w:rsidP="001F42CB">
      <w:pPr>
        <w:pStyle w:val="MDPI31text"/>
      </w:pPr>
      <w:r w:rsidRPr="00671208">
        <w:t>Table 3 shows the work function values for mono-component and heterostructured coatings after surface hydration (“wetted”) and after irradiation of the surface with light of different spectral composition (“UV-irradiated” and “Vis-irradiated”).</w:t>
      </w:r>
      <w:r w:rsidR="00C5040B">
        <w:t xml:space="preserve"> </w:t>
      </w:r>
      <w:r w:rsidR="00C5040B" w:rsidRPr="00C5040B">
        <w:t>To demonstrate the direction of the photoinduced alteration of the work function values for all the films studied, the data are graphically presented in Figure 3.</w:t>
      </w:r>
    </w:p>
    <w:p w14:paraId="5A9C10DC" w14:textId="77777777" w:rsidR="00786EC5" w:rsidRPr="008C509F" w:rsidRDefault="00786EC5" w:rsidP="00786EC5">
      <w:pPr>
        <w:pStyle w:val="MDPI41tablecaption"/>
      </w:pPr>
      <w:proofErr w:type="gramStart"/>
      <w:r w:rsidRPr="008C509F">
        <w:rPr>
          <w:b/>
        </w:rPr>
        <w:t>Table 3.</w:t>
      </w:r>
      <w:proofErr w:type="gramEnd"/>
      <w:r w:rsidRPr="008C509F">
        <w:rPr>
          <w:b/>
        </w:rPr>
        <w:t xml:space="preserve"> </w:t>
      </w:r>
      <w:r w:rsidRPr="008C509F">
        <w:t>Work function values (WF) after different treatments for all studied coatings.</w:t>
      </w:r>
    </w:p>
    <w:tbl>
      <w:tblPr>
        <w:tblW w:w="10573" w:type="dxa"/>
        <w:tblInd w:w="-108" w:type="dxa"/>
        <w:tblBorders>
          <w:top w:val="single" w:sz="8" w:space="0" w:color="auto"/>
          <w:bottom w:val="single" w:sz="8" w:space="0" w:color="auto"/>
        </w:tblBorders>
        <w:tblLayout w:type="fixed"/>
        <w:tblCellMar>
          <w:left w:w="0" w:type="dxa"/>
          <w:right w:w="0" w:type="dxa"/>
        </w:tblCellMar>
        <w:tblLook w:val="04A0" w:firstRow="1" w:lastRow="0" w:firstColumn="1" w:lastColumn="0" w:noHBand="0" w:noVBand="1"/>
      </w:tblPr>
      <w:tblGrid>
        <w:gridCol w:w="2716"/>
        <w:gridCol w:w="1572"/>
        <w:gridCol w:w="368"/>
        <w:gridCol w:w="1204"/>
        <w:gridCol w:w="1571"/>
        <w:gridCol w:w="1571"/>
        <w:gridCol w:w="310"/>
        <w:gridCol w:w="1261"/>
      </w:tblGrid>
      <w:tr w:rsidR="0027315D" w:rsidRPr="008C509F" w14:paraId="6C389D2D" w14:textId="77777777" w:rsidTr="001F42CB">
        <w:trPr>
          <w:gridBefore w:val="1"/>
          <w:wBefore w:w="2716" w:type="dxa"/>
        </w:trPr>
        <w:tc>
          <w:tcPr>
            <w:tcW w:w="1572" w:type="dxa"/>
            <w:vMerge w:val="restart"/>
            <w:tcBorders>
              <w:top w:val="single" w:sz="4" w:space="0" w:color="auto"/>
              <w:left w:val="nil"/>
            </w:tcBorders>
            <w:shd w:val="clear" w:color="auto" w:fill="auto"/>
            <w:vAlign w:val="center"/>
          </w:tcPr>
          <w:p w14:paraId="303FB83E" w14:textId="77777777" w:rsidR="0027315D" w:rsidRPr="001215B8" w:rsidRDefault="0027315D" w:rsidP="00E532E9">
            <w:pPr>
              <w:pStyle w:val="MDPI42tablebody"/>
              <w:autoSpaceDE w:val="0"/>
              <w:autoSpaceDN w:val="0"/>
              <w:rPr>
                <w:b/>
              </w:rPr>
            </w:pPr>
            <w:r w:rsidRPr="001215B8">
              <w:rPr>
                <w:b/>
              </w:rPr>
              <w:t>Coating</w:t>
            </w:r>
          </w:p>
        </w:tc>
        <w:tc>
          <w:tcPr>
            <w:tcW w:w="6285" w:type="dxa"/>
            <w:gridSpan w:val="6"/>
            <w:tcBorders>
              <w:top w:val="single" w:sz="4" w:space="0" w:color="auto"/>
              <w:bottom w:val="single" w:sz="4" w:space="0" w:color="auto"/>
            </w:tcBorders>
            <w:shd w:val="clear" w:color="auto" w:fill="auto"/>
            <w:vAlign w:val="center"/>
          </w:tcPr>
          <w:p w14:paraId="178BE0B7" w14:textId="77777777" w:rsidR="0027315D" w:rsidRPr="001215B8" w:rsidRDefault="0027315D" w:rsidP="00786EC5">
            <w:pPr>
              <w:pStyle w:val="MDPI42tablebody"/>
              <w:autoSpaceDE w:val="0"/>
              <w:autoSpaceDN w:val="0"/>
              <w:rPr>
                <w:b/>
              </w:rPr>
            </w:pPr>
            <w:r w:rsidRPr="001215B8">
              <w:rPr>
                <w:b/>
              </w:rPr>
              <w:t>WF, eV (± 0.02 eV)</w:t>
            </w:r>
          </w:p>
        </w:tc>
      </w:tr>
      <w:tr w:rsidR="0027315D" w:rsidRPr="008C509F" w14:paraId="5D345368" w14:textId="77777777" w:rsidTr="001F42CB">
        <w:trPr>
          <w:gridBefore w:val="1"/>
          <w:wBefore w:w="2716" w:type="dxa"/>
        </w:trPr>
        <w:tc>
          <w:tcPr>
            <w:tcW w:w="1572" w:type="dxa"/>
            <w:vMerge/>
            <w:tcBorders>
              <w:left w:val="nil"/>
              <w:bottom w:val="single" w:sz="4" w:space="0" w:color="auto"/>
            </w:tcBorders>
            <w:shd w:val="clear" w:color="auto" w:fill="auto"/>
            <w:vAlign w:val="center"/>
          </w:tcPr>
          <w:p w14:paraId="52F2B93D" w14:textId="77777777" w:rsidR="0027315D" w:rsidRPr="001215B8" w:rsidRDefault="0027315D" w:rsidP="00400E33">
            <w:pPr>
              <w:pStyle w:val="MDPI42tablebody"/>
              <w:autoSpaceDE w:val="0"/>
              <w:autoSpaceDN w:val="0"/>
              <w:rPr>
                <w:b/>
              </w:rPr>
            </w:pPr>
          </w:p>
        </w:tc>
        <w:tc>
          <w:tcPr>
            <w:tcW w:w="1572" w:type="dxa"/>
            <w:gridSpan w:val="2"/>
            <w:tcBorders>
              <w:top w:val="single" w:sz="4" w:space="0" w:color="auto"/>
              <w:bottom w:val="single" w:sz="4" w:space="0" w:color="auto"/>
            </w:tcBorders>
            <w:shd w:val="clear" w:color="auto" w:fill="auto"/>
            <w:vAlign w:val="center"/>
          </w:tcPr>
          <w:p w14:paraId="44B93699" w14:textId="77777777" w:rsidR="0027315D" w:rsidRPr="001215B8" w:rsidRDefault="0027315D" w:rsidP="00786EC5">
            <w:pPr>
              <w:pStyle w:val="MDPI42tablebody"/>
              <w:autoSpaceDE w:val="0"/>
              <w:autoSpaceDN w:val="0"/>
              <w:rPr>
                <w:b/>
              </w:rPr>
            </w:pPr>
            <w:r w:rsidRPr="001215B8">
              <w:rPr>
                <w:b/>
              </w:rPr>
              <w:t>as prepared</w:t>
            </w:r>
          </w:p>
        </w:tc>
        <w:tc>
          <w:tcPr>
            <w:tcW w:w="1571" w:type="dxa"/>
            <w:tcBorders>
              <w:top w:val="single" w:sz="4" w:space="0" w:color="auto"/>
              <w:bottom w:val="single" w:sz="4" w:space="0" w:color="auto"/>
            </w:tcBorders>
            <w:shd w:val="clear" w:color="auto" w:fill="auto"/>
            <w:vAlign w:val="center"/>
          </w:tcPr>
          <w:p w14:paraId="10705278" w14:textId="77777777" w:rsidR="0027315D" w:rsidRPr="001215B8" w:rsidRDefault="0027315D" w:rsidP="00786EC5">
            <w:pPr>
              <w:pStyle w:val="MDPI42tablebody"/>
              <w:autoSpaceDE w:val="0"/>
              <w:autoSpaceDN w:val="0"/>
              <w:rPr>
                <w:b/>
              </w:rPr>
            </w:pPr>
            <w:r w:rsidRPr="001215B8">
              <w:rPr>
                <w:b/>
              </w:rPr>
              <w:t>wetted</w:t>
            </w:r>
          </w:p>
        </w:tc>
        <w:tc>
          <w:tcPr>
            <w:tcW w:w="1571" w:type="dxa"/>
            <w:tcBorders>
              <w:top w:val="single" w:sz="4" w:space="0" w:color="auto"/>
              <w:bottom w:val="single" w:sz="4" w:space="0" w:color="auto"/>
            </w:tcBorders>
            <w:shd w:val="clear" w:color="auto" w:fill="auto"/>
            <w:vAlign w:val="center"/>
          </w:tcPr>
          <w:p w14:paraId="401872A0" w14:textId="77777777" w:rsidR="0027315D" w:rsidRPr="001215B8" w:rsidRDefault="0027315D" w:rsidP="00786EC5">
            <w:pPr>
              <w:pStyle w:val="MDPI42tablebody"/>
              <w:autoSpaceDE w:val="0"/>
              <w:autoSpaceDN w:val="0"/>
              <w:rPr>
                <w:b/>
              </w:rPr>
            </w:pPr>
            <w:r w:rsidRPr="001215B8">
              <w:rPr>
                <w:b/>
              </w:rPr>
              <w:t>UV-irradiated</w:t>
            </w:r>
          </w:p>
        </w:tc>
        <w:tc>
          <w:tcPr>
            <w:tcW w:w="1571" w:type="dxa"/>
            <w:gridSpan w:val="2"/>
            <w:tcBorders>
              <w:top w:val="single" w:sz="4" w:space="0" w:color="auto"/>
              <w:bottom w:val="single" w:sz="4" w:space="0" w:color="auto"/>
              <w:right w:val="nil"/>
            </w:tcBorders>
            <w:shd w:val="clear" w:color="auto" w:fill="auto"/>
            <w:vAlign w:val="center"/>
          </w:tcPr>
          <w:p w14:paraId="04F24456" w14:textId="77777777" w:rsidR="0027315D" w:rsidRPr="001215B8" w:rsidRDefault="0027315D" w:rsidP="00786EC5">
            <w:pPr>
              <w:pStyle w:val="MDPI42tablebody"/>
              <w:autoSpaceDE w:val="0"/>
              <w:autoSpaceDN w:val="0"/>
              <w:rPr>
                <w:b/>
              </w:rPr>
            </w:pPr>
            <w:r w:rsidRPr="001215B8">
              <w:rPr>
                <w:b/>
              </w:rPr>
              <w:t>Vis-irradiated</w:t>
            </w:r>
          </w:p>
        </w:tc>
      </w:tr>
      <w:tr w:rsidR="00CA4CD0" w:rsidRPr="008C509F" w14:paraId="79A2E621" w14:textId="77777777" w:rsidTr="001F42CB">
        <w:trPr>
          <w:gridBefore w:val="1"/>
          <w:wBefore w:w="2716" w:type="dxa"/>
        </w:trPr>
        <w:tc>
          <w:tcPr>
            <w:tcW w:w="1572" w:type="dxa"/>
            <w:tcBorders>
              <w:top w:val="single" w:sz="4" w:space="0" w:color="auto"/>
            </w:tcBorders>
            <w:shd w:val="clear" w:color="auto" w:fill="auto"/>
            <w:vAlign w:val="center"/>
          </w:tcPr>
          <w:p w14:paraId="3B70B784" w14:textId="77777777" w:rsidR="00CA4CD0" w:rsidRPr="001215B8" w:rsidRDefault="00CA4CD0" w:rsidP="00443E55">
            <w:pPr>
              <w:spacing w:line="240" w:lineRule="auto"/>
              <w:ind w:left="-98" w:right="-94"/>
              <w:jc w:val="center"/>
            </w:pPr>
            <w:r w:rsidRPr="001215B8">
              <w:t>BiVO</w:t>
            </w:r>
            <w:r w:rsidRPr="001215B8">
              <w:rPr>
                <w:vertAlign w:val="subscript"/>
              </w:rPr>
              <w:t>4</w:t>
            </w:r>
          </w:p>
        </w:tc>
        <w:tc>
          <w:tcPr>
            <w:tcW w:w="1572" w:type="dxa"/>
            <w:gridSpan w:val="2"/>
            <w:tcBorders>
              <w:top w:val="single" w:sz="4" w:space="0" w:color="auto"/>
            </w:tcBorders>
            <w:shd w:val="clear" w:color="auto" w:fill="auto"/>
            <w:vAlign w:val="center"/>
          </w:tcPr>
          <w:p w14:paraId="6E3D0AA8" w14:textId="77777777" w:rsidR="00CA4CD0" w:rsidRPr="001215B8" w:rsidRDefault="00CA4CD0" w:rsidP="00443E55">
            <w:pPr>
              <w:spacing w:line="240" w:lineRule="auto"/>
              <w:ind w:left="-94" w:right="-98"/>
              <w:jc w:val="center"/>
            </w:pPr>
            <w:r w:rsidRPr="001215B8">
              <w:t>6.02</w:t>
            </w:r>
          </w:p>
        </w:tc>
        <w:tc>
          <w:tcPr>
            <w:tcW w:w="1571" w:type="dxa"/>
            <w:tcBorders>
              <w:top w:val="single" w:sz="4" w:space="0" w:color="auto"/>
            </w:tcBorders>
            <w:shd w:val="clear" w:color="auto" w:fill="auto"/>
            <w:vAlign w:val="center"/>
          </w:tcPr>
          <w:p w14:paraId="36CEC8B7" w14:textId="77777777" w:rsidR="00CA4CD0" w:rsidRPr="001215B8" w:rsidRDefault="00CA4CD0" w:rsidP="00443E55">
            <w:pPr>
              <w:spacing w:line="240" w:lineRule="auto"/>
              <w:ind w:left="-90" w:right="-102" w:firstLine="14"/>
              <w:jc w:val="center"/>
            </w:pPr>
            <w:r w:rsidRPr="001215B8">
              <w:t>5.14</w:t>
            </w:r>
          </w:p>
        </w:tc>
        <w:tc>
          <w:tcPr>
            <w:tcW w:w="1571" w:type="dxa"/>
            <w:tcBorders>
              <w:top w:val="single" w:sz="4" w:space="0" w:color="auto"/>
            </w:tcBorders>
            <w:shd w:val="clear" w:color="auto" w:fill="auto"/>
          </w:tcPr>
          <w:p w14:paraId="35F6EDB9" w14:textId="77777777" w:rsidR="00CA4CD0" w:rsidRPr="00A47D14" w:rsidRDefault="00CA4CD0" w:rsidP="00443E55">
            <w:pPr>
              <w:spacing w:line="240" w:lineRule="auto"/>
              <w:jc w:val="center"/>
            </w:pPr>
            <w:r w:rsidRPr="00A47D14">
              <w:t>4.95</w:t>
            </w:r>
          </w:p>
        </w:tc>
        <w:tc>
          <w:tcPr>
            <w:tcW w:w="1571" w:type="dxa"/>
            <w:gridSpan w:val="2"/>
            <w:tcBorders>
              <w:top w:val="single" w:sz="4" w:space="0" w:color="auto"/>
            </w:tcBorders>
            <w:shd w:val="clear" w:color="auto" w:fill="auto"/>
            <w:vAlign w:val="center"/>
          </w:tcPr>
          <w:p w14:paraId="5D0A927E" w14:textId="77777777" w:rsidR="00CA4CD0" w:rsidRPr="00CA4CD0" w:rsidRDefault="00CA4CD0" w:rsidP="00443E55">
            <w:pPr>
              <w:spacing w:line="240" w:lineRule="auto"/>
              <w:jc w:val="center"/>
            </w:pPr>
            <w:r w:rsidRPr="00CA4CD0">
              <w:t>4.83</w:t>
            </w:r>
          </w:p>
        </w:tc>
      </w:tr>
      <w:tr w:rsidR="00CA4CD0" w:rsidRPr="008C509F" w14:paraId="2E9961B5" w14:textId="77777777" w:rsidTr="001F42CB">
        <w:trPr>
          <w:gridBefore w:val="1"/>
          <w:wBefore w:w="2716" w:type="dxa"/>
        </w:trPr>
        <w:tc>
          <w:tcPr>
            <w:tcW w:w="1572" w:type="dxa"/>
            <w:shd w:val="clear" w:color="auto" w:fill="auto"/>
            <w:vAlign w:val="center"/>
          </w:tcPr>
          <w:p w14:paraId="79637194" w14:textId="77777777" w:rsidR="00CA4CD0" w:rsidRPr="001215B8" w:rsidRDefault="00CA4CD0" w:rsidP="00443E55">
            <w:pPr>
              <w:spacing w:line="240" w:lineRule="auto"/>
              <w:ind w:left="-98" w:right="-94"/>
              <w:jc w:val="center"/>
            </w:pPr>
            <w:r w:rsidRPr="001215B8">
              <w:t>TiO</w:t>
            </w:r>
            <w:r w:rsidRPr="001215B8">
              <w:rPr>
                <w:vertAlign w:val="subscript"/>
              </w:rPr>
              <w:t>2</w:t>
            </w:r>
          </w:p>
        </w:tc>
        <w:tc>
          <w:tcPr>
            <w:tcW w:w="1572" w:type="dxa"/>
            <w:gridSpan w:val="2"/>
            <w:shd w:val="clear" w:color="auto" w:fill="auto"/>
            <w:vAlign w:val="center"/>
          </w:tcPr>
          <w:p w14:paraId="770922B0" w14:textId="77777777" w:rsidR="00CA4CD0" w:rsidRPr="001215B8" w:rsidRDefault="00CA4CD0" w:rsidP="00443E55">
            <w:pPr>
              <w:spacing w:line="240" w:lineRule="auto"/>
              <w:ind w:left="-94" w:right="-98"/>
              <w:jc w:val="center"/>
            </w:pPr>
            <w:r w:rsidRPr="001215B8">
              <w:t>5.10</w:t>
            </w:r>
          </w:p>
        </w:tc>
        <w:tc>
          <w:tcPr>
            <w:tcW w:w="1571" w:type="dxa"/>
            <w:shd w:val="clear" w:color="auto" w:fill="auto"/>
            <w:vAlign w:val="center"/>
          </w:tcPr>
          <w:p w14:paraId="3484B7BE" w14:textId="77777777" w:rsidR="00CA4CD0" w:rsidRPr="001215B8" w:rsidRDefault="00CA4CD0" w:rsidP="00443E55">
            <w:pPr>
              <w:spacing w:line="240" w:lineRule="auto"/>
              <w:ind w:left="-90" w:right="-102" w:firstLine="14"/>
              <w:jc w:val="center"/>
            </w:pPr>
            <w:r w:rsidRPr="001215B8">
              <w:t>4.65</w:t>
            </w:r>
          </w:p>
        </w:tc>
        <w:tc>
          <w:tcPr>
            <w:tcW w:w="1571" w:type="dxa"/>
            <w:shd w:val="clear" w:color="auto" w:fill="auto"/>
          </w:tcPr>
          <w:p w14:paraId="6289CCF6" w14:textId="77777777" w:rsidR="00CA4CD0" w:rsidRPr="00A47D14" w:rsidRDefault="00CA4CD0" w:rsidP="00443E55">
            <w:pPr>
              <w:spacing w:line="240" w:lineRule="auto"/>
              <w:jc w:val="center"/>
            </w:pPr>
            <w:r w:rsidRPr="00A47D14">
              <w:t>5.19</w:t>
            </w:r>
          </w:p>
        </w:tc>
        <w:tc>
          <w:tcPr>
            <w:tcW w:w="1571" w:type="dxa"/>
            <w:gridSpan w:val="2"/>
            <w:shd w:val="clear" w:color="auto" w:fill="auto"/>
            <w:vAlign w:val="center"/>
          </w:tcPr>
          <w:p w14:paraId="5B88EA82" w14:textId="77777777" w:rsidR="00CA4CD0" w:rsidRPr="00CA4CD0" w:rsidRDefault="00CA4CD0" w:rsidP="00443E55">
            <w:pPr>
              <w:spacing w:line="240" w:lineRule="auto"/>
              <w:jc w:val="center"/>
            </w:pPr>
            <w:r w:rsidRPr="00CA4CD0">
              <w:t>4.63</w:t>
            </w:r>
          </w:p>
        </w:tc>
      </w:tr>
      <w:tr w:rsidR="00CA4CD0" w:rsidRPr="008C509F" w14:paraId="5CE4CEB5" w14:textId="77777777" w:rsidTr="001F42CB">
        <w:trPr>
          <w:gridBefore w:val="1"/>
          <w:wBefore w:w="2716" w:type="dxa"/>
        </w:trPr>
        <w:tc>
          <w:tcPr>
            <w:tcW w:w="1572" w:type="dxa"/>
            <w:shd w:val="clear" w:color="auto" w:fill="auto"/>
            <w:vAlign w:val="center"/>
          </w:tcPr>
          <w:p w14:paraId="4D46267C" w14:textId="77777777" w:rsidR="00CA4CD0" w:rsidRPr="001215B8" w:rsidRDefault="00CA4CD0" w:rsidP="00443E55">
            <w:pPr>
              <w:spacing w:line="240" w:lineRule="auto"/>
              <w:ind w:left="-98" w:right="-94"/>
              <w:jc w:val="center"/>
            </w:pPr>
            <w:r w:rsidRPr="001215B8">
              <w:t>TiO</w:t>
            </w:r>
            <w:r w:rsidRPr="001215B8">
              <w:rPr>
                <w:vertAlign w:val="subscript"/>
              </w:rPr>
              <w:t>2</w:t>
            </w:r>
            <w:r w:rsidRPr="001215B8">
              <w:t>/BiVO</w:t>
            </w:r>
            <w:r w:rsidRPr="001215B8">
              <w:rPr>
                <w:vertAlign w:val="subscript"/>
              </w:rPr>
              <w:t>4</w:t>
            </w:r>
          </w:p>
        </w:tc>
        <w:tc>
          <w:tcPr>
            <w:tcW w:w="1572" w:type="dxa"/>
            <w:gridSpan w:val="2"/>
            <w:shd w:val="clear" w:color="auto" w:fill="auto"/>
            <w:vAlign w:val="center"/>
          </w:tcPr>
          <w:p w14:paraId="173F32B3" w14:textId="77777777" w:rsidR="00CA4CD0" w:rsidRPr="001215B8" w:rsidRDefault="00CA4CD0" w:rsidP="00443E55">
            <w:pPr>
              <w:spacing w:line="240" w:lineRule="auto"/>
              <w:ind w:left="-94" w:right="-98"/>
              <w:jc w:val="center"/>
            </w:pPr>
            <w:r w:rsidRPr="001215B8">
              <w:t>5.56</w:t>
            </w:r>
          </w:p>
        </w:tc>
        <w:tc>
          <w:tcPr>
            <w:tcW w:w="1571" w:type="dxa"/>
            <w:shd w:val="clear" w:color="auto" w:fill="auto"/>
            <w:vAlign w:val="center"/>
          </w:tcPr>
          <w:p w14:paraId="6E88B3B9" w14:textId="77777777" w:rsidR="00CA4CD0" w:rsidRPr="001215B8" w:rsidRDefault="00CA4CD0" w:rsidP="00443E55">
            <w:pPr>
              <w:spacing w:line="240" w:lineRule="auto"/>
              <w:ind w:left="-90" w:right="-102" w:firstLine="14"/>
              <w:jc w:val="center"/>
            </w:pPr>
            <w:r w:rsidRPr="001215B8">
              <w:t>5.17</w:t>
            </w:r>
          </w:p>
        </w:tc>
        <w:tc>
          <w:tcPr>
            <w:tcW w:w="1571" w:type="dxa"/>
            <w:shd w:val="clear" w:color="auto" w:fill="auto"/>
          </w:tcPr>
          <w:p w14:paraId="0D63B0FA" w14:textId="77777777" w:rsidR="00CA4CD0" w:rsidRPr="00A47D14" w:rsidRDefault="00CA4CD0" w:rsidP="00443E55">
            <w:pPr>
              <w:spacing w:line="240" w:lineRule="auto"/>
              <w:jc w:val="center"/>
            </w:pPr>
            <w:r w:rsidRPr="00A47D14">
              <w:t>5.26</w:t>
            </w:r>
          </w:p>
        </w:tc>
        <w:tc>
          <w:tcPr>
            <w:tcW w:w="1571" w:type="dxa"/>
            <w:gridSpan w:val="2"/>
            <w:shd w:val="clear" w:color="auto" w:fill="auto"/>
            <w:vAlign w:val="center"/>
          </w:tcPr>
          <w:p w14:paraId="44892888" w14:textId="77777777" w:rsidR="00CA4CD0" w:rsidRPr="00CA4CD0" w:rsidRDefault="00CA4CD0" w:rsidP="00443E55">
            <w:pPr>
              <w:spacing w:line="240" w:lineRule="auto"/>
              <w:jc w:val="center"/>
            </w:pPr>
            <w:r w:rsidRPr="00CA4CD0">
              <w:t>5.36</w:t>
            </w:r>
          </w:p>
        </w:tc>
      </w:tr>
      <w:tr w:rsidR="00CA4CD0" w:rsidRPr="008C509F" w14:paraId="3E358AEC" w14:textId="77777777" w:rsidTr="001F42CB">
        <w:trPr>
          <w:gridBefore w:val="1"/>
          <w:wBefore w:w="2716" w:type="dxa"/>
        </w:trPr>
        <w:tc>
          <w:tcPr>
            <w:tcW w:w="1572" w:type="dxa"/>
            <w:shd w:val="clear" w:color="auto" w:fill="auto"/>
            <w:vAlign w:val="center"/>
          </w:tcPr>
          <w:p w14:paraId="50DAE5C5" w14:textId="77777777" w:rsidR="00CA4CD0" w:rsidRPr="001215B8" w:rsidRDefault="00CA4CD0" w:rsidP="00443E55">
            <w:pPr>
              <w:spacing w:line="240" w:lineRule="auto"/>
              <w:ind w:left="-98" w:right="-94"/>
              <w:jc w:val="center"/>
            </w:pPr>
            <w:r w:rsidRPr="001215B8">
              <w:t>ZnO</w:t>
            </w:r>
          </w:p>
        </w:tc>
        <w:tc>
          <w:tcPr>
            <w:tcW w:w="1572" w:type="dxa"/>
            <w:gridSpan w:val="2"/>
            <w:shd w:val="clear" w:color="auto" w:fill="auto"/>
            <w:vAlign w:val="center"/>
          </w:tcPr>
          <w:p w14:paraId="78ADA59B" w14:textId="77777777" w:rsidR="00CA4CD0" w:rsidRPr="001215B8" w:rsidRDefault="00CA4CD0" w:rsidP="00443E55">
            <w:pPr>
              <w:spacing w:line="240" w:lineRule="auto"/>
              <w:ind w:left="-94" w:right="-98"/>
              <w:jc w:val="center"/>
            </w:pPr>
            <w:r w:rsidRPr="001215B8">
              <w:t>5.40</w:t>
            </w:r>
          </w:p>
        </w:tc>
        <w:tc>
          <w:tcPr>
            <w:tcW w:w="1571" w:type="dxa"/>
            <w:shd w:val="clear" w:color="auto" w:fill="auto"/>
            <w:vAlign w:val="center"/>
          </w:tcPr>
          <w:p w14:paraId="38B732DB" w14:textId="77777777" w:rsidR="00CA4CD0" w:rsidRPr="001215B8" w:rsidRDefault="00CA4CD0" w:rsidP="00443E55">
            <w:pPr>
              <w:spacing w:line="240" w:lineRule="auto"/>
              <w:ind w:left="-90" w:right="-102" w:firstLine="14"/>
              <w:jc w:val="center"/>
            </w:pPr>
            <w:r w:rsidRPr="001215B8">
              <w:t>5.18</w:t>
            </w:r>
          </w:p>
        </w:tc>
        <w:tc>
          <w:tcPr>
            <w:tcW w:w="1571" w:type="dxa"/>
            <w:shd w:val="clear" w:color="auto" w:fill="auto"/>
          </w:tcPr>
          <w:p w14:paraId="6726C5A9" w14:textId="77777777" w:rsidR="00CA4CD0" w:rsidRPr="00A47D14" w:rsidRDefault="00CA4CD0" w:rsidP="00443E55">
            <w:pPr>
              <w:spacing w:line="240" w:lineRule="auto"/>
              <w:jc w:val="center"/>
            </w:pPr>
            <w:r w:rsidRPr="00A47D14">
              <w:t>5.29</w:t>
            </w:r>
          </w:p>
        </w:tc>
        <w:tc>
          <w:tcPr>
            <w:tcW w:w="1571" w:type="dxa"/>
            <w:gridSpan w:val="2"/>
            <w:shd w:val="clear" w:color="auto" w:fill="auto"/>
            <w:vAlign w:val="center"/>
          </w:tcPr>
          <w:p w14:paraId="5579D6E2" w14:textId="77777777" w:rsidR="00CA4CD0" w:rsidRPr="00CA4CD0" w:rsidRDefault="00CA4CD0" w:rsidP="00443E55">
            <w:pPr>
              <w:spacing w:line="240" w:lineRule="auto"/>
              <w:jc w:val="center"/>
            </w:pPr>
            <w:r w:rsidRPr="00CA4CD0">
              <w:t>5.00</w:t>
            </w:r>
          </w:p>
        </w:tc>
      </w:tr>
      <w:tr w:rsidR="00CA4CD0" w:rsidRPr="008C509F" w14:paraId="1FC967FA" w14:textId="77777777" w:rsidTr="001F42CB">
        <w:trPr>
          <w:gridBefore w:val="1"/>
          <w:wBefore w:w="2716" w:type="dxa"/>
        </w:trPr>
        <w:tc>
          <w:tcPr>
            <w:tcW w:w="1572" w:type="dxa"/>
            <w:tcBorders>
              <w:bottom w:val="single" w:sz="8" w:space="0" w:color="auto"/>
            </w:tcBorders>
            <w:shd w:val="clear" w:color="auto" w:fill="auto"/>
            <w:vAlign w:val="center"/>
          </w:tcPr>
          <w:p w14:paraId="271F4C03" w14:textId="77777777" w:rsidR="00CA4CD0" w:rsidRPr="001215B8" w:rsidRDefault="00CA4CD0" w:rsidP="00443E55">
            <w:pPr>
              <w:spacing w:line="240" w:lineRule="auto"/>
              <w:ind w:left="-98" w:right="-94"/>
              <w:jc w:val="center"/>
            </w:pPr>
            <w:r w:rsidRPr="001215B8">
              <w:t>ZnO/BiVO</w:t>
            </w:r>
            <w:r w:rsidRPr="001215B8">
              <w:rPr>
                <w:vertAlign w:val="subscript"/>
              </w:rPr>
              <w:t>4</w:t>
            </w:r>
          </w:p>
        </w:tc>
        <w:tc>
          <w:tcPr>
            <w:tcW w:w="1572" w:type="dxa"/>
            <w:gridSpan w:val="2"/>
            <w:tcBorders>
              <w:bottom w:val="single" w:sz="8" w:space="0" w:color="auto"/>
            </w:tcBorders>
            <w:shd w:val="clear" w:color="auto" w:fill="auto"/>
            <w:vAlign w:val="center"/>
          </w:tcPr>
          <w:p w14:paraId="76B3E57B" w14:textId="77777777" w:rsidR="00CA4CD0" w:rsidRPr="001215B8" w:rsidRDefault="00CA4CD0" w:rsidP="00443E55">
            <w:pPr>
              <w:spacing w:line="240" w:lineRule="auto"/>
              <w:ind w:left="-94" w:right="-98"/>
              <w:jc w:val="center"/>
            </w:pPr>
            <w:r w:rsidRPr="001215B8">
              <w:t>5.69</w:t>
            </w:r>
          </w:p>
        </w:tc>
        <w:tc>
          <w:tcPr>
            <w:tcW w:w="1571" w:type="dxa"/>
            <w:tcBorders>
              <w:bottom w:val="single" w:sz="8" w:space="0" w:color="auto"/>
            </w:tcBorders>
            <w:shd w:val="clear" w:color="auto" w:fill="auto"/>
            <w:vAlign w:val="center"/>
          </w:tcPr>
          <w:p w14:paraId="6E778A14" w14:textId="77777777" w:rsidR="00CA4CD0" w:rsidRPr="001215B8" w:rsidRDefault="00CA4CD0" w:rsidP="00443E55">
            <w:pPr>
              <w:spacing w:line="240" w:lineRule="auto"/>
              <w:ind w:left="-90" w:right="-102" w:firstLine="14"/>
              <w:jc w:val="center"/>
            </w:pPr>
            <w:r w:rsidRPr="001215B8">
              <w:t>5.09</w:t>
            </w:r>
          </w:p>
        </w:tc>
        <w:tc>
          <w:tcPr>
            <w:tcW w:w="1571" w:type="dxa"/>
            <w:tcBorders>
              <w:bottom w:val="single" w:sz="8" w:space="0" w:color="auto"/>
            </w:tcBorders>
            <w:shd w:val="clear" w:color="auto" w:fill="auto"/>
          </w:tcPr>
          <w:p w14:paraId="7AF91EC4" w14:textId="77777777" w:rsidR="00CA4CD0" w:rsidRDefault="00CA4CD0" w:rsidP="00443E55">
            <w:pPr>
              <w:spacing w:line="240" w:lineRule="auto"/>
              <w:jc w:val="center"/>
            </w:pPr>
            <w:r w:rsidRPr="00A47D14">
              <w:t>5.22</w:t>
            </w:r>
          </w:p>
        </w:tc>
        <w:tc>
          <w:tcPr>
            <w:tcW w:w="1571" w:type="dxa"/>
            <w:gridSpan w:val="2"/>
            <w:tcBorders>
              <w:bottom w:val="single" w:sz="8" w:space="0" w:color="auto"/>
            </w:tcBorders>
            <w:shd w:val="clear" w:color="auto" w:fill="auto"/>
            <w:vAlign w:val="center"/>
          </w:tcPr>
          <w:p w14:paraId="421E4EFF" w14:textId="77777777" w:rsidR="00CA4CD0" w:rsidRPr="00CA4CD0" w:rsidRDefault="00CA4CD0" w:rsidP="00443E55">
            <w:pPr>
              <w:spacing w:line="240" w:lineRule="auto"/>
              <w:jc w:val="center"/>
            </w:pPr>
            <w:r w:rsidRPr="00CA4CD0">
              <w:t>4.94</w:t>
            </w:r>
          </w:p>
        </w:tc>
      </w:tr>
      <w:tr w:rsidR="009778D8" w:rsidRPr="00196D5A" w14:paraId="1CCCE1AF" w14:textId="77777777" w:rsidTr="001F42CB">
        <w:tblPrEx>
          <w:jc w:val="center"/>
          <w:tblBorders>
            <w:top w:val="none" w:sz="0" w:space="0" w:color="auto"/>
            <w:bottom w:val="none" w:sz="0" w:space="0" w:color="auto"/>
          </w:tblBorders>
          <w:tblCellMar>
            <w:left w:w="108" w:type="dxa"/>
            <w:right w:w="108" w:type="dxa"/>
          </w:tblCellMar>
          <w:tblLook w:val="0000" w:firstRow="0" w:lastRow="0" w:firstColumn="0" w:lastColumn="0" w:noHBand="0" w:noVBand="0"/>
        </w:tblPrEx>
        <w:trPr>
          <w:gridAfter w:val="1"/>
          <w:wAfter w:w="1261" w:type="dxa"/>
          <w:jc w:val="center"/>
        </w:trPr>
        <w:tc>
          <w:tcPr>
            <w:tcW w:w="4656" w:type="dxa"/>
            <w:gridSpan w:val="3"/>
            <w:shd w:val="clear" w:color="auto" w:fill="auto"/>
            <w:vAlign w:val="center"/>
          </w:tcPr>
          <w:p w14:paraId="70245A79" w14:textId="77777777" w:rsidR="009778D8" w:rsidRPr="00196D5A" w:rsidRDefault="00B93553" w:rsidP="001F42CB">
            <w:pPr>
              <w:pStyle w:val="MDPI52figure"/>
            </w:pPr>
            <w:r>
              <w:rPr>
                <w:noProof/>
                <w:snapToGrid/>
                <w:lang w:val="ru-RU" w:eastAsia="ru-RU" w:bidi="ar-SA"/>
              </w:rPr>
              <w:drawing>
                <wp:inline distT="0" distB="0" distL="0" distR="0" wp14:anchorId="41199F66" wp14:editId="0F04F52F">
                  <wp:extent cx="2816225" cy="2152650"/>
                  <wp:effectExtent l="0" t="0" r="317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16225" cy="2152650"/>
                          </a:xfrm>
                          <a:prstGeom prst="rect">
                            <a:avLst/>
                          </a:prstGeom>
                          <a:noFill/>
                          <a:ln>
                            <a:noFill/>
                          </a:ln>
                        </pic:spPr>
                      </pic:pic>
                    </a:graphicData>
                  </a:graphic>
                </wp:inline>
              </w:drawing>
            </w:r>
          </w:p>
        </w:tc>
        <w:tc>
          <w:tcPr>
            <w:tcW w:w="4656" w:type="dxa"/>
            <w:gridSpan w:val="4"/>
          </w:tcPr>
          <w:p w14:paraId="3DAFD00A" w14:textId="77777777" w:rsidR="009778D8" w:rsidRPr="00196D5A" w:rsidRDefault="00B93553" w:rsidP="001F42CB">
            <w:pPr>
              <w:pStyle w:val="MDPI52figure"/>
            </w:pPr>
            <w:r>
              <w:rPr>
                <w:noProof/>
                <w:snapToGrid/>
                <w:lang w:val="ru-RU" w:eastAsia="ru-RU" w:bidi="ar-SA"/>
              </w:rPr>
              <w:drawing>
                <wp:inline distT="0" distB="0" distL="0" distR="0" wp14:anchorId="4C3EB97B" wp14:editId="1D5E805F">
                  <wp:extent cx="2811145" cy="2157730"/>
                  <wp:effectExtent l="0" t="0" r="825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11145" cy="2157730"/>
                          </a:xfrm>
                          <a:prstGeom prst="rect">
                            <a:avLst/>
                          </a:prstGeom>
                          <a:noFill/>
                          <a:ln>
                            <a:noFill/>
                          </a:ln>
                        </pic:spPr>
                      </pic:pic>
                    </a:graphicData>
                  </a:graphic>
                </wp:inline>
              </w:drawing>
            </w:r>
          </w:p>
        </w:tc>
      </w:tr>
      <w:tr w:rsidR="009778D8" w:rsidRPr="00196D5A" w14:paraId="404EBDF3" w14:textId="77777777" w:rsidTr="001F42CB">
        <w:tblPrEx>
          <w:jc w:val="center"/>
          <w:tblBorders>
            <w:top w:val="none" w:sz="0" w:space="0" w:color="auto"/>
            <w:bottom w:val="none" w:sz="0" w:space="0" w:color="auto"/>
          </w:tblBorders>
          <w:tblCellMar>
            <w:left w:w="108" w:type="dxa"/>
            <w:right w:w="108" w:type="dxa"/>
          </w:tblCellMar>
          <w:tblLook w:val="0000" w:firstRow="0" w:lastRow="0" w:firstColumn="0" w:lastColumn="0" w:noHBand="0" w:noVBand="0"/>
        </w:tblPrEx>
        <w:trPr>
          <w:gridAfter w:val="1"/>
          <w:wAfter w:w="1261" w:type="dxa"/>
          <w:jc w:val="center"/>
        </w:trPr>
        <w:tc>
          <w:tcPr>
            <w:tcW w:w="4656" w:type="dxa"/>
            <w:gridSpan w:val="3"/>
            <w:shd w:val="clear" w:color="auto" w:fill="auto"/>
            <w:vAlign w:val="center"/>
          </w:tcPr>
          <w:p w14:paraId="7AFAA613" w14:textId="77777777" w:rsidR="009778D8" w:rsidRPr="00196D5A" w:rsidRDefault="009778D8" w:rsidP="00400E33">
            <w:pPr>
              <w:pStyle w:val="MDPI42tablebody"/>
            </w:pPr>
            <w:r w:rsidRPr="00196D5A">
              <w:t>(</w:t>
            </w:r>
            <w:r w:rsidRPr="000011E0">
              <w:rPr>
                <w:b/>
              </w:rPr>
              <w:t>a</w:t>
            </w:r>
            <w:r w:rsidRPr="00196D5A">
              <w:t>)</w:t>
            </w:r>
          </w:p>
        </w:tc>
        <w:tc>
          <w:tcPr>
            <w:tcW w:w="4656" w:type="dxa"/>
            <w:gridSpan w:val="4"/>
          </w:tcPr>
          <w:p w14:paraId="7CC22D3F" w14:textId="77777777" w:rsidR="009778D8" w:rsidRPr="00196D5A" w:rsidRDefault="009778D8" w:rsidP="00400E33">
            <w:pPr>
              <w:pStyle w:val="MDPI42tablebody"/>
            </w:pPr>
            <w:r w:rsidRPr="00196D5A">
              <w:t>(</w:t>
            </w:r>
            <w:r w:rsidRPr="000011E0">
              <w:rPr>
                <w:b/>
              </w:rPr>
              <w:t>b</w:t>
            </w:r>
            <w:r w:rsidRPr="00196D5A">
              <w:t>)</w:t>
            </w:r>
          </w:p>
        </w:tc>
      </w:tr>
    </w:tbl>
    <w:p w14:paraId="27D9FB0E" w14:textId="657A3418" w:rsidR="009778D8" w:rsidRDefault="001F42CB" w:rsidP="001F42CB">
      <w:pPr>
        <w:pStyle w:val="MDPI51figurecaption"/>
        <w:ind w:left="425" w:right="425"/>
        <w:jc w:val="both"/>
      </w:pPr>
      <w:proofErr w:type="gramStart"/>
      <w:r w:rsidRPr="001F42CB">
        <w:rPr>
          <w:b/>
        </w:rPr>
        <w:t>Figure 3.</w:t>
      </w:r>
      <w:proofErr w:type="gramEnd"/>
      <w:r w:rsidRPr="001F42CB">
        <w:rPr>
          <w:b/>
        </w:rPr>
        <w:t xml:space="preserve"> </w:t>
      </w:r>
      <w:r w:rsidR="0030333D" w:rsidRPr="0030333D">
        <w:t>Evolution of the work function values for heterostructured coatings and their components depending on the treatment type: (</w:t>
      </w:r>
      <w:r w:rsidR="0030333D" w:rsidRPr="00B93553">
        <w:rPr>
          <w:b/>
        </w:rPr>
        <w:t>a</w:t>
      </w:r>
      <w:r w:rsidR="0030333D" w:rsidRPr="0030333D">
        <w:t>) TiO</w:t>
      </w:r>
      <w:r w:rsidR="0030333D" w:rsidRPr="0030333D">
        <w:rPr>
          <w:vertAlign w:val="subscript"/>
        </w:rPr>
        <w:t>2</w:t>
      </w:r>
      <w:r w:rsidR="0030333D" w:rsidRPr="0030333D">
        <w:t>/BiVO</w:t>
      </w:r>
      <w:r w:rsidR="0030333D" w:rsidRPr="0030333D">
        <w:rPr>
          <w:vertAlign w:val="subscript"/>
        </w:rPr>
        <w:t>4</w:t>
      </w:r>
      <w:r w:rsidR="0030333D" w:rsidRPr="0030333D">
        <w:t>, TiO</w:t>
      </w:r>
      <w:r w:rsidR="0030333D" w:rsidRPr="0030333D">
        <w:rPr>
          <w:vertAlign w:val="subscript"/>
        </w:rPr>
        <w:t>2</w:t>
      </w:r>
      <w:r w:rsidR="0030333D" w:rsidRPr="0030333D">
        <w:t xml:space="preserve"> and BiVO</w:t>
      </w:r>
      <w:r w:rsidR="0030333D" w:rsidRPr="0030333D">
        <w:rPr>
          <w:vertAlign w:val="subscript"/>
        </w:rPr>
        <w:t>4</w:t>
      </w:r>
      <w:r w:rsidR="0030333D" w:rsidRPr="0030333D">
        <w:t>, (</w:t>
      </w:r>
      <w:r w:rsidR="0030333D" w:rsidRPr="00B93553">
        <w:rPr>
          <w:b/>
        </w:rPr>
        <w:t>b</w:t>
      </w:r>
      <w:r w:rsidR="0030333D" w:rsidRPr="0030333D">
        <w:t xml:space="preserve">) </w:t>
      </w:r>
      <w:proofErr w:type="spellStart"/>
      <w:r w:rsidR="0030333D" w:rsidRPr="0030333D">
        <w:t>ZnO</w:t>
      </w:r>
      <w:proofErr w:type="spellEnd"/>
      <w:r w:rsidR="0030333D" w:rsidRPr="0030333D">
        <w:t>/BiVO</w:t>
      </w:r>
      <w:r w:rsidR="0030333D" w:rsidRPr="0030333D">
        <w:rPr>
          <w:vertAlign w:val="subscript"/>
        </w:rPr>
        <w:t>4</w:t>
      </w:r>
      <w:r w:rsidR="0030333D" w:rsidRPr="0030333D">
        <w:t xml:space="preserve">, </w:t>
      </w:r>
      <w:proofErr w:type="spellStart"/>
      <w:r w:rsidR="0030333D" w:rsidRPr="0030333D">
        <w:t>ZnO</w:t>
      </w:r>
      <w:proofErr w:type="spellEnd"/>
      <w:r w:rsidR="0030333D" w:rsidRPr="0030333D">
        <w:t xml:space="preserve"> and BiVO</w:t>
      </w:r>
      <w:r w:rsidR="0030333D" w:rsidRPr="0030333D">
        <w:rPr>
          <w:vertAlign w:val="subscript"/>
        </w:rPr>
        <w:t>4</w:t>
      </w:r>
      <w:r w:rsidR="0030333D" w:rsidRPr="0030333D">
        <w:t>.</w:t>
      </w:r>
    </w:p>
    <w:p w14:paraId="70811183" w14:textId="5223B074" w:rsidR="00A252DC" w:rsidRDefault="00A252DC" w:rsidP="001F42CB">
      <w:pPr>
        <w:pStyle w:val="MDPI31text"/>
      </w:pPr>
      <w:r w:rsidRPr="00A252DC">
        <w:t>The strong surface hydration of TiO</w:t>
      </w:r>
      <w:r w:rsidRPr="00A252DC">
        <w:rPr>
          <w:vertAlign w:val="subscript"/>
        </w:rPr>
        <w:t>2</w:t>
      </w:r>
      <w:r w:rsidRPr="00A252DC">
        <w:t xml:space="preserve"> and </w:t>
      </w:r>
      <w:proofErr w:type="spellStart"/>
      <w:r w:rsidRPr="00A252DC">
        <w:t>ZnO</w:t>
      </w:r>
      <w:proofErr w:type="spellEnd"/>
      <w:r w:rsidRPr="00A252DC">
        <w:t xml:space="preserve"> layers reduces the work function value</w:t>
      </w:r>
      <w:r>
        <w:t>s</w:t>
      </w:r>
      <w:r w:rsidRPr="00A252DC">
        <w:t xml:space="preserve"> for all the samples studied (Figure 3). For UV-irradiated surfaces of all planar systems, the work function values increase compared to their initial values for wetted state. This observation corresponds to the photoinduced superhydrophilic state of their surfaces (Figures 1 and 2).</w:t>
      </w:r>
    </w:p>
    <w:p w14:paraId="2289CF18" w14:textId="6A2F5EF1" w:rsidR="00A252DC" w:rsidRPr="00A252DC" w:rsidRDefault="00187282" w:rsidP="001F42CB">
      <w:pPr>
        <w:pStyle w:val="MDPI31text"/>
      </w:pPr>
      <w:r>
        <w:t>Effects induced by</w:t>
      </w:r>
      <w:r w:rsidR="00A252DC" w:rsidRPr="00A252DC">
        <w:t xml:space="preserve"> </w:t>
      </w:r>
      <w:r>
        <w:t>v</w:t>
      </w:r>
      <w:r w:rsidR="00A252DC" w:rsidRPr="00A252DC">
        <w:t>is</w:t>
      </w:r>
      <w:r>
        <w:t xml:space="preserve">ible light </w:t>
      </w:r>
      <w:r w:rsidR="00A252DC" w:rsidRPr="00A252DC">
        <w:t>irradiat</w:t>
      </w:r>
      <w:r>
        <w:t>ion of the coating</w:t>
      </w:r>
      <w:r w:rsidR="00A252DC" w:rsidRPr="00A252DC">
        <w:t xml:space="preserve"> surfaces</w:t>
      </w:r>
      <w:r>
        <w:t xml:space="preserve"> depend on the coating composition.</w:t>
      </w:r>
      <w:r w:rsidR="00A252DC" w:rsidRPr="00A252DC">
        <w:t xml:space="preserve"> The mono-component TiO</w:t>
      </w:r>
      <w:r w:rsidR="00A252DC" w:rsidRPr="00A252DC">
        <w:rPr>
          <w:vertAlign w:val="subscript"/>
        </w:rPr>
        <w:t>2</w:t>
      </w:r>
      <w:r w:rsidR="00A252DC" w:rsidRPr="00A252DC">
        <w:t xml:space="preserve"> and heterostructured TiO</w:t>
      </w:r>
      <w:r w:rsidR="00A252DC" w:rsidRPr="00A252DC">
        <w:rPr>
          <w:vertAlign w:val="subscript"/>
        </w:rPr>
        <w:t>2</w:t>
      </w:r>
      <w:r w:rsidR="00A252DC" w:rsidRPr="00A252DC">
        <w:t>/BiVO</w:t>
      </w:r>
      <w:r w:rsidR="00A252DC" w:rsidRPr="00A252DC">
        <w:rPr>
          <w:vertAlign w:val="subscript"/>
        </w:rPr>
        <w:t>4</w:t>
      </w:r>
      <w:r w:rsidR="00A252DC" w:rsidRPr="00A252DC">
        <w:t xml:space="preserve"> coa</w:t>
      </w:r>
      <w:r w:rsidR="00A252DC" w:rsidRPr="00A252DC">
        <w:t>t</w:t>
      </w:r>
      <w:r w:rsidR="00A252DC" w:rsidRPr="00A252DC">
        <w:t xml:space="preserve">ings </w:t>
      </w:r>
      <w:r w:rsidR="00DE1629">
        <w:t>demonstrate the different trends</w:t>
      </w:r>
      <w:r w:rsidR="00A252DC" w:rsidRPr="00A252DC">
        <w:t xml:space="preserve"> </w:t>
      </w:r>
      <w:r w:rsidR="00DE1629" w:rsidRPr="00A252DC">
        <w:t xml:space="preserve">in the </w:t>
      </w:r>
      <w:r w:rsidR="00DE1629">
        <w:t xml:space="preserve">alteration of the </w:t>
      </w:r>
      <w:r w:rsidR="00DE1629" w:rsidRPr="00A252DC">
        <w:t xml:space="preserve">work function </w:t>
      </w:r>
      <w:r w:rsidR="00DE1629">
        <w:t xml:space="preserve">under </w:t>
      </w:r>
      <w:r w:rsidR="00A252DC" w:rsidRPr="00A252DC">
        <w:t>visible light</w:t>
      </w:r>
      <w:r w:rsidR="00DE1629">
        <w:t xml:space="preserve"> irradiation</w:t>
      </w:r>
      <w:r w:rsidR="00A252DC" w:rsidRPr="00A252DC">
        <w:t xml:space="preserve">. As </w:t>
      </w:r>
      <w:r w:rsidR="00DE1629">
        <w:t>shown</w:t>
      </w:r>
      <w:r w:rsidR="00A252DC" w:rsidRPr="00A252DC">
        <w:t xml:space="preserve"> in Figure 3а, the work function of TiO</w:t>
      </w:r>
      <w:r w:rsidR="00A252DC" w:rsidRPr="00A252DC">
        <w:rPr>
          <w:vertAlign w:val="subscript"/>
        </w:rPr>
        <w:t>2</w:t>
      </w:r>
      <w:r w:rsidR="00A252DC" w:rsidRPr="00A252DC">
        <w:t xml:space="preserve"> practically does not change, while the WF of the TiO</w:t>
      </w:r>
      <w:r w:rsidR="00A252DC" w:rsidRPr="00A252DC">
        <w:rPr>
          <w:vertAlign w:val="subscript"/>
        </w:rPr>
        <w:t>2</w:t>
      </w:r>
      <w:r w:rsidR="00A252DC" w:rsidRPr="00A252DC">
        <w:t>/BiVO</w:t>
      </w:r>
      <w:r w:rsidR="00A252DC" w:rsidRPr="00A252DC">
        <w:rPr>
          <w:vertAlign w:val="subscript"/>
        </w:rPr>
        <w:t>4</w:t>
      </w:r>
      <w:r w:rsidR="00A252DC" w:rsidRPr="00A252DC">
        <w:t xml:space="preserve"> heterosystem increases. These visible light-driven alterations of WFs corre</w:t>
      </w:r>
      <w:r w:rsidR="00E52031">
        <w:t>late with the</w:t>
      </w:r>
      <w:r w:rsidR="00A252DC" w:rsidRPr="00A252DC">
        <w:t xml:space="preserve"> different Vis-induced hydrophilic b</w:t>
      </w:r>
      <w:r w:rsidR="00A252DC" w:rsidRPr="00A252DC">
        <w:t>e</w:t>
      </w:r>
      <w:r w:rsidR="00A252DC" w:rsidRPr="00A252DC">
        <w:t>havior of TiO</w:t>
      </w:r>
      <w:r w:rsidR="00A252DC" w:rsidRPr="00A252DC">
        <w:rPr>
          <w:vertAlign w:val="subscript"/>
        </w:rPr>
        <w:t>2</w:t>
      </w:r>
      <w:r w:rsidR="00A252DC" w:rsidRPr="00A252DC">
        <w:t xml:space="preserve"> surface for individual and </w:t>
      </w:r>
      <w:r w:rsidR="00E52031">
        <w:t>heterostructured</w:t>
      </w:r>
      <w:r w:rsidR="00A252DC" w:rsidRPr="00A252DC">
        <w:t xml:space="preserve"> coatings (Figure 1).    </w:t>
      </w:r>
    </w:p>
    <w:p w14:paraId="1BDA92FA" w14:textId="21D80CE1" w:rsidR="00146DA7" w:rsidRPr="00146DA7" w:rsidRDefault="00A252DC" w:rsidP="001F42CB">
      <w:pPr>
        <w:pStyle w:val="MDPI31text"/>
      </w:pPr>
      <w:r w:rsidRPr="00A252DC">
        <w:t xml:space="preserve">The work functions for both </w:t>
      </w:r>
      <w:proofErr w:type="spellStart"/>
      <w:r w:rsidRPr="00A252DC">
        <w:t>ZnO</w:t>
      </w:r>
      <w:proofErr w:type="spellEnd"/>
      <w:r w:rsidR="00E52031">
        <w:t xml:space="preserve"> and </w:t>
      </w:r>
      <w:proofErr w:type="spellStart"/>
      <w:r w:rsidR="00E52031">
        <w:t>ZnO</w:t>
      </w:r>
      <w:proofErr w:type="spellEnd"/>
      <w:r w:rsidR="00E52031" w:rsidRPr="00A252DC">
        <w:t>/BiVO</w:t>
      </w:r>
      <w:r w:rsidR="00E52031" w:rsidRPr="00A252DC">
        <w:rPr>
          <w:vertAlign w:val="subscript"/>
        </w:rPr>
        <w:t>4</w:t>
      </w:r>
      <w:r w:rsidR="00E52031" w:rsidRPr="00A252DC">
        <w:t xml:space="preserve"> </w:t>
      </w:r>
      <w:r w:rsidRPr="00A252DC">
        <w:t>coatings decrease slightly when exposed to visible light and are very close in value</w:t>
      </w:r>
      <w:r>
        <w:t xml:space="preserve"> (Figure 3b)</w:t>
      </w:r>
      <w:r w:rsidRPr="00A252DC">
        <w:t xml:space="preserve">. Thus, the UV and </w:t>
      </w:r>
      <w:r w:rsidR="00E52031">
        <w:t>v</w:t>
      </w:r>
      <w:r w:rsidRPr="00A252DC">
        <w:t>is</w:t>
      </w:r>
      <w:r w:rsidR="00E52031">
        <w:t xml:space="preserve">ible light </w:t>
      </w:r>
      <w:r w:rsidRPr="00A252DC">
        <w:t>induced WF changes are similar in direction</w:t>
      </w:r>
      <w:r w:rsidR="00E52031">
        <w:t>s</w:t>
      </w:r>
      <w:r w:rsidRPr="00A252DC">
        <w:t xml:space="preserve"> and value</w:t>
      </w:r>
      <w:r w:rsidR="00E52031">
        <w:t>s</w:t>
      </w:r>
      <w:r w:rsidR="00E52031" w:rsidRPr="00E52031">
        <w:t xml:space="preserve"> </w:t>
      </w:r>
      <w:r w:rsidR="00E52031" w:rsidRPr="00A252DC">
        <w:t>for</w:t>
      </w:r>
      <w:r w:rsidR="00E52031">
        <w:t xml:space="preserve"> both</w:t>
      </w:r>
      <w:r w:rsidR="00E52031" w:rsidRPr="00A252DC">
        <w:t xml:space="preserve"> </w:t>
      </w:r>
      <w:proofErr w:type="spellStart"/>
      <w:r w:rsidR="00E52031" w:rsidRPr="00A252DC">
        <w:t>ZnO</w:t>
      </w:r>
      <w:proofErr w:type="spellEnd"/>
      <w:r w:rsidR="00E52031" w:rsidRPr="00A252DC">
        <w:t xml:space="preserve"> and </w:t>
      </w:r>
      <w:proofErr w:type="spellStart"/>
      <w:r w:rsidR="00E52031" w:rsidRPr="00A252DC">
        <w:t>ZnO</w:t>
      </w:r>
      <w:proofErr w:type="spellEnd"/>
      <w:r w:rsidR="00E52031" w:rsidRPr="00A252DC">
        <w:t>/BiVO</w:t>
      </w:r>
      <w:r w:rsidR="00E52031" w:rsidRPr="00A252DC">
        <w:rPr>
          <w:vertAlign w:val="subscript"/>
        </w:rPr>
        <w:t>4</w:t>
      </w:r>
      <w:r w:rsidR="00E52031" w:rsidRPr="00A252DC">
        <w:t xml:space="preserve"> planar systems</w:t>
      </w:r>
      <w:r w:rsidR="00E52031">
        <w:t xml:space="preserve">. </w:t>
      </w:r>
      <w:r w:rsidR="00E52031" w:rsidRPr="001F7CDE">
        <w:t xml:space="preserve">Thus, the trends of WF alterations also </w:t>
      </w:r>
      <w:r w:rsidR="005D3566" w:rsidRPr="001F7CDE">
        <w:t>quantitatively</w:t>
      </w:r>
      <w:r w:rsidR="00E52031" w:rsidRPr="001F7CDE">
        <w:t xml:space="preserve"> corr</w:t>
      </w:r>
      <w:r w:rsidR="00E52031" w:rsidRPr="001F7CDE">
        <w:t>e</w:t>
      </w:r>
      <w:r w:rsidR="00E52031" w:rsidRPr="001F7CDE">
        <w:t xml:space="preserve">late with </w:t>
      </w:r>
      <w:r w:rsidRPr="001F7CDE">
        <w:t>their UV- and Vis-induced hydrophilicity changes</w:t>
      </w:r>
      <w:r>
        <w:t xml:space="preserve"> (Figure 2)</w:t>
      </w:r>
      <w:r w:rsidRPr="00A252DC">
        <w:t>.</w:t>
      </w:r>
    </w:p>
    <w:p w14:paraId="2B4550B2" w14:textId="0808A496" w:rsidR="00146DA7" w:rsidRPr="00146DA7" w:rsidRDefault="00D21026" w:rsidP="001F42CB">
      <w:pPr>
        <w:pStyle w:val="MDPI31text"/>
      </w:pPr>
      <w:r w:rsidRPr="00D21026">
        <w:t>Table 4 presents data on the total surface free energy (SFE), its dispersive and polar components</w:t>
      </w:r>
      <w:r w:rsidR="00E52031">
        <w:t>,</w:t>
      </w:r>
      <w:r w:rsidRPr="00D21026">
        <w:t xml:space="preserve"> for the surface of all systems studied.</w:t>
      </w:r>
    </w:p>
    <w:p w14:paraId="1D358845" w14:textId="77777777" w:rsidR="00C53451" w:rsidRPr="008C509F" w:rsidRDefault="00C53451" w:rsidP="00C53451">
      <w:pPr>
        <w:pStyle w:val="MDPI41tablecaption"/>
      </w:pPr>
      <w:proofErr w:type="gramStart"/>
      <w:r w:rsidRPr="008C509F">
        <w:rPr>
          <w:b/>
          <w:szCs w:val="18"/>
        </w:rPr>
        <w:t>Table 4.</w:t>
      </w:r>
      <w:proofErr w:type="gramEnd"/>
      <w:r w:rsidRPr="008C509F">
        <w:rPr>
          <w:b/>
          <w:szCs w:val="18"/>
        </w:rPr>
        <w:t xml:space="preserve"> </w:t>
      </w:r>
      <w:r w:rsidRPr="0061762C">
        <w:t>Total (t), polar (p), and dispersive (d)</w:t>
      </w:r>
      <w:r>
        <w:t xml:space="preserve"> surface free energies (SFE) for</w:t>
      </w:r>
      <w:r w:rsidRPr="0061762C">
        <w:t xml:space="preserve"> </w:t>
      </w:r>
      <w:r>
        <w:t>all</w:t>
      </w:r>
      <w:r w:rsidRPr="0061762C">
        <w:t xml:space="preserve"> coatings</w:t>
      </w:r>
      <w:r>
        <w:t xml:space="preserve"> studied</w:t>
      </w:r>
      <w:r w:rsidRPr="0061762C">
        <w:t xml:space="preserve"> after different treatments.</w:t>
      </w:r>
    </w:p>
    <w:tbl>
      <w:tblPr>
        <w:tblW w:w="7857" w:type="dxa"/>
        <w:tblInd w:w="2608" w:type="dxa"/>
        <w:tblBorders>
          <w:top w:val="single" w:sz="8" w:space="0" w:color="auto"/>
          <w:bottom w:val="single" w:sz="8" w:space="0" w:color="auto"/>
        </w:tblBorders>
        <w:tblLayout w:type="fixed"/>
        <w:tblCellMar>
          <w:left w:w="0" w:type="dxa"/>
          <w:right w:w="0" w:type="dxa"/>
        </w:tblCellMar>
        <w:tblLook w:val="04A0" w:firstRow="1" w:lastRow="0" w:firstColumn="1" w:lastColumn="0" w:noHBand="0" w:noVBand="1"/>
      </w:tblPr>
      <w:tblGrid>
        <w:gridCol w:w="1965"/>
        <w:gridCol w:w="654"/>
        <w:gridCol w:w="655"/>
        <w:gridCol w:w="655"/>
        <w:gridCol w:w="654"/>
        <w:gridCol w:w="655"/>
        <w:gridCol w:w="655"/>
        <w:gridCol w:w="654"/>
        <w:gridCol w:w="655"/>
        <w:gridCol w:w="655"/>
      </w:tblGrid>
      <w:tr w:rsidR="006316C0" w:rsidRPr="008C509F" w14:paraId="6B7D6D97" w14:textId="77777777" w:rsidTr="00A248FD">
        <w:tc>
          <w:tcPr>
            <w:tcW w:w="1965" w:type="dxa"/>
            <w:vMerge w:val="restart"/>
            <w:tcBorders>
              <w:top w:val="single" w:sz="8" w:space="0" w:color="auto"/>
              <w:bottom w:val="nil"/>
            </w:tcBorders>
            <w:shd w:val="clear" w:color="auto" w:fill="auto"/>
            <w:vAlign w:val="center"/>
          </w:tcPr>
          <w:p w14:paraId="29B97D1C" w14:textId="77777777" w:rsidR="006316C0" w:rsidRPr="008C509F" w:rsidRDefault="006316C0" w:rsidP="00400E33">
            <w:pPr>
              <w:pStyle w:val="MDPI42tablebody"/>
              <w:autoSpaceDE w:val="0"/>
              <w:autoSpaceDN w:val="0"/>
              <w:rPr>
                <w:b/>
              </w:rPr>
            </w:pPr>
            <w:r w:rsidRPr="001215B8">
              <w:rPr>
                <w:b/>
              </w:rPr>
              <w:t>Coating</w:t>
            </w:r>
          </w:p>
        </w:tc>
        <w:tc>
          <w:tcPr>
            <w:tcW w:w="5892" w:type="dxa"/>
            <w:gridSpan w:val="9"/>
            <w:tcBorders>
              <w:top w:val="single" w:sz="8" w:space="0" w:color="auto"/>
              <w:bottom w:val="single" w:sz="4" w:space="0" w:color="auto"/>
            </w:tcBorders>
            <w:shd w:val="clear" w:color="auto" w:fill="auto"/>
            <w:vAlign w:val="center"/>
          </w:tcPr>
          <w:p w14:paraId="4C015DEF" w14:textId="77777777" w:rsidR="006316C0" w:rsidRPr="008C509F" w:rsidRDefault="00A248FD" w:rsidP="006316C0">
            <w:pPr>
              <w:pStyle w:val="MDPI42tablebody"/>
              <w:autoSpaceDE w:val="0"/>
              <w:autoSpaceDN w:val="0"/>
              <w:rPr>
                <w:b/>
              </w:rPr>
            </w:pPr>
            <w:r w:rsidRPr="00A248FD">
              <w:rPr>
                <w:b/>
              </w:rPr>
              <w:t>SFE, mN/m (± 0.02 eV)</w:t>
            </w:r>
          </w:p>
        </w:tc>
      </w:tr>
      <w:tr w:rsidR="006316C0" w:rsidRPr="008C509F" w14:paraId="63EE062B" w14:textId="77777777" w:rsidTr="00A248FD">
        <w:tc>
          <w:tcPr>
            <w:tcW w:w="1965" w:type="dxa"/>
            <w:vMerge/>
            <w:tcBorders>
              <w:top w:val="single" w:sz="8" w:space="0" w:color="auto"/>
              <w:bottom w:val="nil"/>
            </w:tcBorders>
            <w:shd w:val="clear" w:color="auto" w:fill="auto"/>
            <w:vAlign w:val="center"/>
          </w:tcPr>
          <w:p w14:paraId="45E23CE8" w14:textId="77777777" w:rsidR="006316C0" w:rsidRPr="001215B8" w:rsidRDefault="006316C0" w:rsidP="00400E33">
            <w:pPr>
              <w:pStyle w:val="MDPI42tablebody"/>
              <w:autoSpaceDE w:val="0"/>
              <w:autoSpaceDN w:val="0"/>
              <w:rPr>
                <w:b/>
              </w:rPr>
            </w:pPr>
          </w:p>
        </w:tc>
        <w:tc>
          <w:tcPr>
            <w:tcW w:w="1964" w:type="dxa"/>
            <w:gridSpan w:val="3"/>
            <w:tcBorders>
              <w:top w:val="single" w:sz="4" w:space="0" w:color="auto"/>
              <w:bottom w:val="single" w:sz="4" w:space="0" w:color="auto"/>
            </w:tcBorders>
            <w:shd w:val="clear" w:color="auto" w:fill="auto"/>
            <w:vAlign w:val="center"/>
          </w:tcPr>
          <w:p w14:paraId="13475E49" w14:textId="77777777" w:rsidR="006316C0" w:rsidRDefault="006316C0" w:rsidP="00400E33">
            <w:pPr>
              <w:pStyle w:val="MDPI42tablebody"/>
              <w:autoSpaceDE w:val="0"/>
              <w:autoSpaceDN w:val="0"/>
              <w:rPr>
                <w:b/>
              </w:rPr>
            </w:pPr>
            <w:r>
              <w:rPr>
                <w:b/>
              </w:rPr>
              <w:t>w</w:t>
            </w:r>
            <w:r w:rsidRPr="008C509F">
              <w:rPr>
                <w:b/>
              </w:rPr>
              <w:t>ett</w:t>
            </w:r>
            <w:r>
              <w:rPr>
                <w:b/>
              </w:rPr>
              <w:t>ed</w:t>
            </w:r>
          </w:p>
        </w:tc>
        <w:tc>
          <w:tcPr>
            <w:tcW w:w="1964" w:type="dxa"/>
            <w:gridSpan w:val="3"/>
            <w:tcBorders>
              <w:top w:val="single" w:sz="4" w:space="0" w:color="auto"/>
              <w:bottom w:val="single" w:sz="4" w:space="0" w:color="auto"/>
            </w:tcBorders>
            <w:shd w:val="clear" w:color="auto" w:fill="auto"/>
            <w:vAlign w:val="center"/>
          </w:tcPr>
          <w:p w14:paraId="33F8CD5E" w14:textId="77777777" w:rsidR="006316C0" w:rsidRPr="008C509F" w:rsidRDefault="006316C0" w:rsidP="00400E33">
            <w:pPr>
              <w:pStyle w:val="MDPI42tablebody"/>
              <w:autoSpaceDE w:val="0"/>
              <w:autoSpaceDN w:val="0"/>
              <w:rPr>
                <w:b/>
              </w:rPr>
            </w:pPr>
            <w:r w:rsidRPr="008C509F">
              <w:rPr>
                <w:b/>
              </w:rPr>
              <w:t>UV</w:t>
            </w:r>
            <w:r>
              <w:rPr>
                <w:b/>
              </w:rPr>
              <w:t>-i</w:t>
            </w:r>
            <w:r w:rsidRPr="008C509F">
              <w:rPr>
                <w:b/>
              </w:rPr>
              <w:t>rradiat</w:t>
            </w:r>
            <w:r>
              <w:rPr>
                <w:b/>
              </w:rPr>
              <w:t>ed</w:t>
            </w:r>
          </w:p>
        </w:tc>
        <w:tc>
          <w:tcPr>
            <w:tcW w:w="1964" w:type="dxa"/>
            <w:gridSpan w:val="3"/>
            <w:tcBorders>
              <w:top w:val="single" w:sz="4" w:space="0" w:color="auto"/>
              <w:bottom w:val="single" w:sz="4" w:space="0" w:color="auto"/>
            </w:tcBorders>
            <w:shd w:val="clear" w:color="auto" w:fill="auto"/>
            <w:vAlign w:val="center"/>
          </w:tcPr>
          <w:p w14:paraId="6AEB677D" w14:textId="77777777" w:rsidR="006316C0" w:rsidRDefault="006316C0" w:rsidP="00400E33">
            <w:pPr>
              <w:pStyle w:val="MDPI42tablebody"/>
              <w:autoSpaceDE w:val="0"/>
              <w:autoSpaceDN w:val="0"/>
              <w:rPr>
                <w:b/>
              </w:rPr>
            </w:pPr>
            <w:r w:rsidRPr="008C509F">
              <w:rPr>
                <w:b/>
              </w:rPr>
              <w:t>Vis</w:t>
            </w:r>
            <w:r>
              <w:rPr>
                <w:b/>
              </w:rPr>
              <w:t>-i</w:t>
            </w:r>
            <w:r w:rsidRPr="008C509F">
              <w:rPr>
                <w:b/>
              </w:rPr>
              <w:t>rradiat</w:t>
            </w:r>
            <w:r>
              <w:rPr>
                <w:b/>
              </w:rPr>
              <w:t>ed</w:t>
            </w:r>
          </w:p>
        </w:tc>
      </w:tr>
      <w:tr w:rsidR="00C53451" w:rsidRPr="008C509F" w14:paraId="334B2344" w14:textId="77777777" w:rsidTr="006316C0">
        <w:tc>
          <w:tcPr>
            <w:tcW w:w="1965" w:type="dxa"/>
            <w:vMerge/>
            <w:tcBorders>
              <w:top w:val="nil"/>
              <w:bottom w:val="single" w:sz="4" w:space="0" w:color="auto"/>
            </w:tcBorders>
            <w:shd w:val="clear" w:color="auto" w:fill="auto"/>
            <w:vAlign w:val="center"/>
          </w:tcPr>
          <w:p w14:paraId="3D6F7EDB" w14:textId="77777777" w:rsidR="00C53451" w:rsidRPr="008C509F" w:rsidRDefault="00C53451" w:rsidP="00400E33">
            <w:pPr>
              <w:pStyle w:val="MDPI42tablebody"/>
              <w:autoSpaceDE w:val="0"/>
              <w:autoSpaceDN w:val="0"/>
              <w:rPr>
                <w:b/>
              </w:rPr>
            </w:pPr>
          </w:p>
        </w:tc>
        <w:tc>
          <w:tcPr>
            <w:tcW w:w="654" w:type="dxa"/>
            <w:tcBorders>
              <w:top w:val="single" w:sz="4" w:space="0" w:color="auto"/>
              <w:bottom w:val="single" w:sz="4" w:space="0" w:color="auto"/>
            </w:tcBorders>
            <w:shd w:val="clear" w:color="auto" w:fill="auto"/>
            <w:vAlign w:val="center"/>
          </w:tcPr>
          <w:p w14:paraId="79626C39" w14:textId="77777777" w:rsidR="00C53451" w:rsidRPr="008C509F" w:rsidRDefault="00C53451" w:rsidP="00400E33">
            <w:pPr>
              <w:pStyle w:val="MDPI42tablebody"/>
              <w:autoSpaceDE w:val="0"/>
              <w:autoSpaceDN w:val="0"/>
              <w:rPr>
                <w:b/>
              </w:rPr>
            </w:pPr>
            <w:r w:rsidRPr="008C509F">
              <w:rPr>
                <w:b/>
              </w:rPr>
              <w:t>t</w:t>
            </w:r>
          </w:p>
        </w:tc>
        <w:tc>
          <w:tcPr>
            <w:tcW w:w="655" w:type="dxa"/>
            <w:tcBorders>
              <w:top w:val="single" w:sz="4" w:space="0" w:color="auto"/>
              <w:bottom w:val="single" w:sz="4" w:space="0" w:color="auto"/>
            </w:tcBorders>
            <w:shd w:val="clear" w:color="auto" w:fill="auto"/>
            <w:vAlign w:val="center"/>
          </w:tcPr>
          <w:p w14:paraId="4FDED0A6" w14:textId="77777777" w:rsidR="00C53451" w:rsidRPr="008C509F" w:rsidRDefault="007A1C74" w:rsidP="00400E33">
            <w:pPr>
              <w:pStyle w:val="MDPI42tablebody"/>
              <w:autoSpaceDE w:val="0"/>
              <w:autoSpaceDN w:val="0"/>
              <w:rPr>
                <w:b/>
              </w:rPr>
            </w:pPr>
            <w:r w:rsidRPr="008C509F">
              <w:rPr>
                <w:b/>
              </w:rPr>
              <w:t>d</w:t>
            </w:r>
          </w:p>
        </w:tc>
        <w:tc>
          <w:tcPr>
            <w:tcW w:w="655" w:type="dxa"/>
            <w:tcBorders>
              <w:top w:val="single" w:sz="4" w:space="0" w:color="auto"/>
              <w:bottom w:val="single" w:sz="4" w:space="0" w:color="auto"/>
            </w:tcBorders>
            <w:shd w:val="clear" w:color="auto" w:fill="auto"/>
            <w:vAlign w:val="center"/>
          </w:tcPr>
          <w:p w14:paraId="31F75995" w14:textId="77777777" w:rsidR="00C53451" w:rsidRPr="008C509F" w:rsidRDefault="007A1C74" w:rsidP="00400E33">
            <w:pPr>
              <w:pStyle w:val="MDPI42tablebody"/>
              <w:autoSpaceDE w:val="0"/>
              <w:autoSpaceDN w:val="0"/>
              <w:rPr>
                <w:b/>
              </w:rPr>
            </w:pPr>
            <w:r w:rsidRPr="008C509F">
              <w:rPr>
                <w:b/>
              </w:rPr>
              <w:t>p</w:t>
            </w:r>
          </w:p>
        </w:tc>
        <w:tc>
          <w:tcPr>
            <w:tcW w:w="654" w:type="dxa"/>
            <w:tcBorders>
              <w:top w:val="single" w:sz="4" w:space="0" w:color="auto"/>
              <w:bottom w:val="single" w:sz="4" w:space="0" w:color="auto"/>
            </w:tcBorders>
            <w:shd w:val="clear" w:color="auto" w:fill="auto"/>
            <w:vAlign w:val="center"/>
          </w:tcPr>
          <w:p w14:paraId="79346478" w14:textId="77777777" w:rsidR="00C53451" w:rsidRPr="008C509F" w:rsidRDefault="00C53451" w:rsidP="00400E33">
            <w:pPr>
              <w:pStyle w:val="MDPI42tablebody"/>
              <w:autoSpaceDE w:val="0"/>
              <w:autoSpaceDN w:val="0"/>
              <w:rPr>
                <w:b/>
              </w:rPr>
            </w:pPr>
            <w:r w:rsidRPr="008C509F">
              <w:rPr>
                <w:b/>
              </w:rPr>
              <w:t>t</w:t>
            </w:r>
          </w:p>
        </w:tc>
        <w:tc>
          <w:tcPr>
            <w:tcW w:w="655" w:type="dxa"/>
            <w:tcBorders>
              <w:top w:val="single" w:sz="4" w:space="0" w:color="auto"/>
              <w:bottom w:val="single" w:sz="4" w:space="0" w:color="auto"/>
            </w:tcBorders>
            <w:shd w:val="clear" w:color="auto" w:fill="auto"/>
            <w:vAlign w:val="center"/>
          </w:tcPr>
          <w:p w14:paraId="69FF4A66" w14:textId="77777777" w:rsidR="00C53451" w:rsidRPr="008C509F" w:rsidRDefault="007A1C74" w:rsidP="00400E33">
            <w:pPr>
              <w:pStyle w:val="MDPI42tablebody"/>
              <w:autoSpaceDE w:val="0"/>
              <w:autoSpaceDN w:val="0"/>
              <w:rPr>
                <w:b/>
              </w:rPr>
            </w:pPr>
            <w:r w:rsidRPr="008C509F">
              <w:rPr>
                <w:b/>
              </w:rPr>
              <w:t>d</w:t>
            </w:r>
          </w:p>
        </w:tc>
        <w:tc>
          <w:tcPr>
            <w:tcW w:w="655" w:type="dxa"/>
            <w:tcBorders>
              <w:top w:val="single" w:sz="4" w:space="0" w:color="auto"/>
              <w:bottom w:val="single" w:sz="4" w:space="0" w:color="auto"/>
            </w:tcBorders>
            <w:shd w:val="clear" w:color="auto" w:fill="auto"/>
            <w:vAlign w:val="center"/>
          </w:tcPr>
          <w:p w14:paraId="01D6202C" w14:textId="77777777" w:rsidR="00C53451" w:rsidRPr="008C509F" w:rsidRDefault="007A1C74" w:rsidP="00400E33">
            <w:pPr>
              <w:pStyle w:val="MDPI42tablebody"/>
              <w:autoSpaceDE w:val="0"/>
              <w:autoSpaceDN w:val="0"/>
              <w:rPr>
                <w:b/>
              </w:rPr>
            </w:pPr>
            <w:r w:rsidRPr="008C509F">
              <w:rPr>
                <w:b/>
              </w:rPr>
              <w:t>p</w:t>
            </w:r>
          </w:p>
        </w:tc>
        <w:tc>
          <w:tcPr>
            <w:tcW w:w="654" w:type="dxa"/>
            <w:tcBorders>
              <w:top w:val="single" w:sz="4" w:space="0" w:color="auto"/>
              <w:bottom w:val="single" w:sz="4" w:space="0" w:color="auto"/>
            </w:tcBorders>
            <w:shd w:val="clear" w:color="auto" w:fill="auto"/>
            <w:vAlign w:val="center"/>
          </w:tcPr>
          <w:p w14:paraId="0E9CE7CB" w14:textId="77777777" w:rsidR="00C53451" w:rsidRPr="008C509F" w:rsidRDefault="00C53451" w:rsidP="00400E33">
            <w:pPr>
              <w:pStyle w:val="MDPI42tablebody"/>
              <w:autoSpaceDE w:val="0"/>
              <w:autoSpaceDN w:val="0"/>
              <w:rPr>
                <w:b/>
              </w:rPr>
            </w:pPr>
            <w:r w:rsidRPr="008C509F">
              <w:rPr>
                <w:b/>
              </w:rPr>
              <w:t>t</w:t>
            </w:r>
          </w:p>
        </w:tc>
        <w:tc>
          <w:tcPr>
            <w:tcW w:w="655" w:type="dxa"/>
            <w:tcBorders>
              <w:top w:val="single" w:sz="4" w:space="0" w:color="auto"/>
              <w:bottom w:val="single" w:sz="4" w:space="0" w:color="auto"/>
            </w:tcBorders>
            <w:shd w:val="clear" w:color="auto" w:fill="auto"/>
            <w:vAlign w:val="center"/>
          </w:tcPr>
          <w:p w14:paraId="347505E1" w14:textId="77777777" w:rsidR="00C53451" w:rsidRPr="008C509F" w:rsidRDefault="007A1C74" w:rsidP="00400E33">
            <w:pPr>
              <w:pStyle w:val="MDPI42tablebody"/>
              <w:autoSpaceDE w:val="0"/>
              <w:autoSpaceDN w:val="0"/>
              <w:rPr>
                <w:b/>
              </w:rPr>
            </w:pPr>
            <w:r w:rsidRPr="008C509F">
              <w:rPr>
                <w:b/>
              </w:rPr>
              <w:t>d</w:t>
            </w:r>
          </w:p>
        </w:tc>
        <w:tc>
          <w:tcPr>
            <w:tcW w:w="655" w:type="dxa"/>
            <w:tcBorders>
              <w:top w:val="single" w:sz="4" w:space="0" w:color="auto"/>
              <w:bottom w:val="single" w:sz="4" w:space="0" w:color="auto"/>
            </w:tcBorders>
            <w:shd w:val="clear" w:color="auto" w:fill="auto"/>
            <w:vAlign w:val="center"/>
          </w:tcPr>
          <w:p w14:paraId="086F5CE3" w14:textId="77777777" w:rsidR="00C53451" w:rsidRPr="008C509F" w:rsidRDefault="007A1C74" w:rsidP="00400E33">
            <w:pPr>
              <w:pStyle w:val="MDPI42tablebody"/>
              <w:autoSpaceDE w:val="0"/>
              <w:autoSpaceDN w:val="0"/>
              <w:rPr>
                <w:b/>
              </w:rPr>
            </w:pPr>
            <w:r w:rsidRPr="008C509F">
              <w:rPr>
                <w:b/>
              </w:rPr>
              <w:t>p</w:t>
            </w:r>
          </w:p>
        </w:tc>
      </w:tr>
      <w:tr w:rsidR="00EE30FB" w:rsidRPr="008C509F" w14:paraId="0A8ABC55" w14:textId="77777777" w:rsidTr="000F10B9">
        <w:tc>
          <w:tcPr>
            <w:tcW w:w="1965" w:type="dxa"/>
            <w:shd w:val="clear" w:color="auto" w:fill="auto"/>
            <w:vAlign w:val="center"/>
          </w:tcPr>
          <w:p w14:paraId="6494C762" w14:textId="77777777" w:rsidR="00EE30FB" w:rsidRPr="00C02D02" w:rsidRDefault="00EE30FB" w:rsidP="00C02D02">
            <w:pPr>
              <w:spacing w:line="240" w:lineRule="auto"/>
              <w:ind w:left="-98" w:right="-94"/>
              <w:jc w:val="center"/>
            </w:pPr>
            <w:r w:rsidRPr="00C02D02">
              <w:t>TiO</w:t>
            </w:r>
            <w:r w:rsidRPr="00C02D02">
              <w:rPr>
                <w:vertAlign w:val="subscript"/>
              </w:rPr>
              <w:t>2</w:t>
            </w:r>
          </w:p>
        </w:tc>
        <w:tc>
          <w:tcPr>
            <w:tcW w:w="654" w:type="dxa"/>
            <w:tcBorders>
              <w:top w:val="single" w:sz="4" w:space="0" w:color="auto"/>
            </w:tcBorders>
            <w:shd w:val="clear" w:color="auto" w:fill="auto"/>
          </w:tcPr>
          <w:p w14:paraId="3AB1F915" w14:textId="77777777" w:rsidR="00EE30FB" w:rsidRPr="00A71CCB" w:rsidRDefault="00EE30FB" w:rsidP="00F15759">
            <w:pPr>
              <w:spacing w:line="240" w:lineRule="auto"/>
              <w:jc w:val="center"/>
            </w:pPr>
            <w:r w:rsidRPr="00A71CCB">
              <w:t>65.7</w:t>
            </w:r>
          </w:p>
        </w:tc>
        <w:tc>
          <w:tcPr>
            <w:tcW w:w="655" w:type="dxa"/>
            <w:tcBorders>
              <w:top w:val="single" w:sz="4" w:space="0" w:color="auto"/>
            </w:tcBorders>
            <w:shd w:val="clear" w:color="auto" w:fill="auto"/>
          </w:tcPr>
          <w:p w14:paraId="58AD657B" w14:textId="77777777" w:rsidR="00EE30FB" w:rsidRPr="00AA665A" w:rsidRDefault="00EE30FB" w:rsidP="00F15759">
            <w:pPr>
              <w:jc w:val="center"/>
            </w:pPr>
            <w:r w:rsidRPr="00AA665A">
              <w:t>39.6</w:t>
            </w:r>
          </w:p>
        </w:tc>
        <w:tc>
          <w:tcPr>
            <w:tcW w:w="655" w:type="dxa"/>
            <w:tcBorders>
              <w:top w:val="single" w:sz="4" w:space="0" w:color="auto"/>
            </w:tcBorders>
            <w:shd w:val="clear" w:color="auto" w:fill="auto"/>
          </w:tcPr>
          <w:p w14:paraId="0F1B0B22" w14:textId="77777777" w:rsidR="00EE30FB" w:rsidRPr="00966917" w:rsidRDefault="00EE30FB" w:rsidP="00F15759">
            <w:pPr>
              <w:jc w:val="center"/>
            </w:pPr>
            <w:r w:rsidRPr="00966917">
              <w:t>26.1</w:t>
            </w:r>
          </w:p>
        </w:tc>
        <w:tc>
          <w:tcPr>
            <w:tcW w:w="654" w:type="dxa"/>
            <w:tcBorders>
              <w:top w:val="single" w:sz="4" w:space="0" w:color="auto"/>
            </w:tcBorders>
            <w:shd w:val="clear" w:color="auto" w:fill="auto"/>
          </w:tcPr>
          <w:p w14:paraId="1B86DCF6" w14:textId="77777777" w:rsidR="00EE30FB" w:rsidRPr="0028371E" w:rsidRDefault="00EE30FB" w:rsidP="00F15759">
            <w:pPr>
              <w:jc w:val="center"/>
            </w:pPr>
            <w:r w:rsidRPr="0028371E">
              <w:t>79.8</w:t>
            </w:r>
          </w:p>
        </w:tc>
        <w:tc>
          <w:tcPr>
            <w:tcW w:w="655" w:type="dxa"/>
            <w:tcBorders>
              <w:top w:val="single" w:sz="4" w:space="0" w:color="auto"/>
            </w:tcBorders>
            <w:shd w:val="clear" w:color="auto" w:fill="auto"/>
          </w:tcPr>
          <w:p w14:paraId="1FD79965" w14:textId="77777777" w:rsidR="00EE30FB" w:rsidRPr="002530C1" w:rsidRDefault="00EE30FB" w:rsidP="001777E8">
            <w:pPr>
              <w:jc w:val="center"/>
            </w:pPr>
            <w:r w:rsidRPr="002530C1">
              <w:t>47.6</w:t>
            </w:r>
          </w:p>
        </w:tc>
        <w:tc>
          <w:tcPr>
            <w:tcW w:w="655" w:type="dxa"/>
            <w:tcBorders>
              <w:top w:val="single" w:sz="4" w:space="0" w:color="auto"/>
            </w:tcBorders>
            <w:shd w:val="clear" w:color="auto" w:fill="auto"/>
          </w:tcPr>
          <w:p w14:paraId="2D246ADE" w14:textId="77777777" w:rsidR="00EE30FB" w:rsidRPr="00C1130B" w:rsidRDefault="00EE30FB" w:rsidP="000505E6">
            <w:pPr>
              <w:jc w:val="center"/>
            </w:pPr>
            <w:r w:rsidRPr="00C1130B">
              <w:t>32.2</w:t>
            </w:r>
          </w:p>
        </w:tc>
        <w:tc>
          <w:tcPr>
            <w:tcW w:w="654" w:type="dxa"/>
            <w:tcBorders>
              <w:top w:val="single" w:sz="4" w:space="0" w:color="auto"/>
            </w:tcBorders>
            <w:shd w:val="clear" w:color="auto" w:fill="auto"/>
          </w:tcPr>
          <w:p w14:paraId="6924A2CF" w14:textId="77777777" w:rsidR="00EE30FB" w:rsidRPr="002F1F85" w:rsidRDefault="00EE30FB" w:rsidP="00EE30FB">
            <w:pPr>
              <w:jc w:val="center"/>
            </w:pPr>
            <w:r w:rsidRPr="002F1F85">
              <w:t>67.0</w:t>
            </w:r>
          </w:p>
        </w:tc>
        <w:tc>
          <w:tcPr>
            <w:tcW w:w="655" w:type="dxa"/>
            <w:tcBorders>
              <w:top w:val="single" w:sz="4" w:space="0" w:color="auto"/>
            </w:tcBorders>
            <w:shd w:val="clear" w:color="auto" w:fill="auto"/>
          </w:tcPr>
          <w:p w14:paraId="3D86C913" w14:textId="77777777" w:rsidR="00EE30FB" w:rsidRPr="00EE3702" w:rsidRDefault="00EE30FB" w:rsidP="00EE30FB">
            <w:pPr>
              <w:jc w:val="center"/>
            </w:pPr>
            <w:r w:rsidRPr="00EE3702">
              <w:t>40.1</w:t>
            </w:r>
          </w:p>
        </w:tc>
        <w:tc>
          <w:tcPr>
            <w:tcW w:w="655" w:type="dxa"/>
            <w:tcBorders>
              <w:top w:val="single" w:sz="4" w:space="0" w:color="auto"/>
            </w:tcBorders>
            <w:shd w:val="clear" w:color="auto" w:fill="auto"/>
          </w:tcPr>
          <w:p w14:paraId="76DCAAA0" w14:textId="77777777" w:rsidR="00EE30FB" w:rsidRPr="0055667A" w:rsidRDefault="00EE30FB" w:rsidP="00EE30FB">
            <w:pPr>
              <w:jc w:val="center"/>
            </w:pPr>
            <w:r w:rsidRPr="0055667A">
              <w:t>26.8</w:t>
            </w:r>
          </w:p>
        </w:tc>
      </w:tr>
      <w:tr w:rsidR="00EE30FB" w:rsidRPr="008C509F" w14:paraId="3AA4B0B3" w14:textId="77777777" w:rsidTr="000F10B9">
        <w:tc>
          <w:tcPr>
            <w:tcW w:w="1965" w:type="dxa"/>
            <w:shd w:val="clear" w:color="auto" w:fill="auto"/>
            <w:vAlign w:val="center"/>
          </w:tcPr>
          <w:p w14:paraId="0767B444" w14:textId="77777777" w:rsidR="00EE30FB" w:rsidRPr="00C02D02" w:rsidRDefault="00EE30FB" w:rsidP="00C02D02">
            <w:pPr>
              <w:spacing w:line="240" w:lineRule="auto"/>
              <w:ind w:left="-98" w:right="-94"/>
              <w:jc w:val="center"/>
            </w:pPr>
            <w:r w:rsidRPr="00C02D02">
              <w:t>TiO</w:t>
            </w:r>
            <w:r w:rsidRPr="00C02D02">
              <w:rPr>
                <w:vertAlign w:val="subscript"/>
              </w:rPr>
              <w:t>2</w:t>
            </w:r>
            <w:r w:rsidRPr="00C02D02">
              <w:t>/BiVO</w:t>
            </w:r>
            <w:r w:rsidRPr="00C02D02">
              <w:rPr>
                <w:vertAlign w:val="subscript"/>
              </w:rPr>
              <w:t>4</w:t>
            </w:r>
          </w:p>
        </w:tc>
        <w:tc>
          <w:tcPr>
            <w:tcW w:w="654" w:type="dxa"/>
            <w:shd w:val="clear" w:color="auto" w:fill="auto"/>
          </w:tcPr>
          <w:p w14:paraId="307B4EB3" w14:textId="77777777" w:rsidR="00EE30FB" w:rsidRPr="00A71CCB" w:rsidRDefault="00EE30FB" w:rsidP="00F15759">
            <w:pPr>
              <w:spacing w:line="240" w:lineRule="auto"/>
              <w:jc w:val="center"/>
            </w:pPr>
            <w:r w:rsidRPr="00A71CCB">
              <w:t>62.0</w:t>
            </w:r>
          </w:p>
        </w:tc>
        <w:tc>
          <w:tcPr>
            <w:tcW w:w="655" w:type="dxa"/>
            <w:shd w:val="clear" w:color="auto" w:fill="auto"/>
          </w:tcPr>
          <w:p w14:paraId="0586F323" w14:textId="77777777" w:rsidR="00EE30FB" w:rsidRPr="00AA665A" w:rsidRDefault="00EE30FB" w:rsidP="00F15759">
            <w:pPr>
              <w:jc w:val="center"/>
            </w:pPr>
            <w:r w:rsidRPr="00AA665A">
              <w:t>40.1</w:t>
            </w:r>
          </w:p>
        </w:tc>
        <w:tc>
          <w:tcPr>
            <w:tcW w:w="655" w:type="dxa"/>
            <w:shd w:val="clear" w:color="auto" w:fill="auto"/>
          </w:tcPr>
          <w:p w14:paraId="252A2B7B" w14:textId="77777777" w:rsidR="00EE30FB" w:rsidRPr="00966917" w:rsidRDefault="00EE30FB" w:rsidP="00F15759">
            <w:pPr>
              <w:jc w:val="center"/>
            </w:pPr>
            <w:r w:rsidRPr="00966917">
              <w:t>21.9</w:t>
            </w:r>
          </w:p>
        </w:tc>
        <w:tc>
          <w:tcPr>
            <w:tcW w:w="654" w:type="dxa"/>
            <w:shd w:val="clear" w:color="auto" w:fill="auto"/>
          </w:tcPr>
          <w:p w14:paraId="5DD2D623" w14:textId="77777777" w:rsidR="00EE30FB" w:rsidRPr="0028371E" w:rsidRDefault="00EE30FB" w:rsidP="00F15759">
            <w:pPr>
              <w:jc w:val="center"/>
            </w:pPr>
            <w:r w:rsidRPr="0028371E">
              <w:t>80.1</w:t>
            </w:r>
          </w:p>
        </w:tc>
        <w:tc>
          <w:tcPr>
            <w:tcW w:w="655" w:type="dxa"/>
            <w:shd w:val="clear" w:color="auto" w:fill="auto"/>
          </w:tcPr>
          <w:p w14:paraId="7C6DEF5A" w14:textId="77777777" w:rsidR="00EE30FB" w:rsidRPr="002530C1" w:rsidRDefault="00EE30FB" w:rsidP="001777E8">
            <w:pPr>
              <w:jc w:val="center"/>
            </w:pPr>
            <w:r w:rsidRPr="002530C1">
              <w:t>48.1</w:t>
            </w:r>
          </w:p>
        </w:tc>
        <w:tc>
          <w:tcPr>
            <w:tcW w:w="655" w:type="dxa"/>
            <w:shd w:val="clear" w:color="auto" w:fill="auto"/>
          </w:tcPr>
          <w:p w14:paraId="20844C74" w14:textId="77777777" w:rsidR="00EE30FB" w:rsidRPr="00C1130B" w:rsidRDefault="00EE30FB" w:rsidP="000505E6">
            <w:pPr>
              <w:jc w:val="center"/>
            </w:pPr>
            <w:r w:rsidRPr="00C1130B">
              <w:t>32.0</w:t>
            </w:r>
          </w:p>
        </w:tc>
        <w:tc>
          <w:tcPr>
            <w:tcW w:w="654" w:type="dxa"/>
            <w:shd w:val="clear" w:color="auto" w:fill="auto"/>
          </w:tcPr>
          <w:p w14:paraId="0E75C241" w14:textId="77777777" w:rsidR="00EE30FB" w:rsidRPr="002F1F85" w:rsidRDefault="00EE30FB" w:rsidP="00EE30FB">
            <w:pPr>
              <w:jc w:val="center"/>
            </w:pPr>
            <w:r w:rsidRPr="002F1F85">
              <w:t>77.8</w:t>
            </w:r>
          </w:p>
        </w:tc>
        <w:tc>
          <w:tcPr>
            <w:tcW w:w="655" w:type="dxa"/>
            <w:shd w:val="clear" w:color="auto" w:fill="auto"/>
          </w:tcPr>
          <w:p w14:paraId="56A9EF5C" w14:textId="77777777" w:rsidR="00EE30FB" w:rsidRPr="00EE3702" w:rsidRDefault="00EE30FB" w:rsidP="00EE30FB">
            <w:pPr>
              <w:jc w:val="center"/>
            </w:pPr>
            <w:r w:rsidRPr="00EE3702">
              <w:t>44.2</w:t>
            </w:r>
          </w:p>
        </w:tc>
        <w:tc>
          <w:tcPr>
            <w:tcW w:w="655" w:type="dxa"/>
            <w:shd w:val="clear" w:color="auto" w:fill="auto"/>
          </w:tcPr>
          <w:p w14:paraId="50507BA8" w14:textId="77777777" w:rsidR="00EE30FB" w:rsidRPr="0055667A" w:rsidRDefault="00EE30FB" w:rsidP="00EE30FB">
            <w:pPr>
              <w:jc w:val="center"/>
            </w:pPr>
            <w:r w:rsidRPr="0055667A">
              <w:t>33.6</w:t>
            </w:r>
          </w:p>
        </w:tc>
      </w:tr>
      <w:tr w:rsidR="00EE30FB" w:rsidRPr="008C509F" w14:paraId="2EC36E90" w14:textId="77777777" w:rsidTr="000F10B9">
        <w:tc>
          <w:tcPr>
            <w:tcW w:w="1965" w:type="dxa"/>
            <w:shd w:val="clear" w:color="auto" w:fill="auto"/>
            <w:vAlign w:val="center"/>
          </w:tcPr>
          <w:p w14:paraId="5B1BA69B" w14:textId="77777777" w:rsidR="00EE30FB" w:rsidRPr="00C02D02" w:rsidRDefault="00EE30FB" w:rsidP="00C02D02">
            <w:pPr>
              <w:spacing w:line="240" w:lineRule="auto"/>
              <w:ind w:left="-98" w:right="-94"/>
              <w:jc w:val="center"/>
            </w:pPr>
            <w:r w:rsidRPr="00C02D02">
              <w:t>ZnO</w:t>
            </w:r>
          </w:p>
        </w:tc>
        <w:tc>
          <w:tcPr>
            <w:tcW w:w="654" w:type="dxa"/>
            <w:shd w:val="clear" w:color="auto" w:fill="auto"/>
          </w:tcPr>
          <w:p w14:paraId="4ED37182" w14:textId="77777777" w:rsidR="00EE30FB" w:rsidRPr="00A71CCB" w:rsidRDefault="00EE30FB" w:rsidP="00F15759">
            <w:pPr>
              <w:spacing w:line="240" w:lineRule="auto"/>
              <w:jc w:val="center"/>
            </w:pPr>
            <w:r w:rsidRPr="00A71CCB">
              <w:t>77.8</w:t>
            </w:r>
          </w:p>
        </w:tc>
        <w:tc>
          <w:tcPr>
            <w:tcW w:w="655" w:type="dxa"/>
            <w:shd w:val="clear" w:color="auto" w:fill="auto"/>
          </w:tcPr>
          <w:p w14:paraId="20B662F8" w14:textId="77777777" w:rsidR="00EE30FB" w:rsidRPr="00AA665A" w:rsidRDefault="00EE30FB" w:rsidP="00F15759">
            <w:pPr>
              <w:jc w:val="center"/>
            </w:pPr>
            <w:r w:rsidRPr="00AA665A">
              <w:t>44.2</w:t>
            </w:r>
          </w:p>
        </w:tc>
        <w:tc>
          <w:tcPr>
            <w:tcW w:w="655" w:type="dxa"/>
            <w:shd w:val="clear" w:color="auto" w:fill="auto"/>
          </w:tcPr>
          <w:p w14:paraId="0FFF764D" w14:textId="77777777" w:rsidR="00EE30FB" w:rsidRPr="00966917" w:rsidRDefault="00EE30FB" w:rsidP="00F15759">
            <w:pPr>
              <w:jc w:val="center"/>
            </w:pPr>
            <w:r w:rsidRPr="00966917">
              <w:t>33.6</w:t>
            </w:r>
          </w:p>
        </w:tc>
        <w:tc>
          <w:tcPr>
            <w:tcW w:w="654" w:type="dxa"/>
            <w:shd w:val="clear" w:color="auto" w:fill="auto"/>
          </w:tcPr>
          <w:p w14:paraId="566A0FE9" w14:textId="77777777" w:rsidR="00EE30FB" w:rsidRPr="0028371E" w:rsidRDefault="00EE30FB" w:rsidP="00F15759">
            <w:pPr>
              <w:jc w:val="center"/>
            </w:pPr>
            <w:r w:rsidRPr="0028371E">
              <w:t>80.8</w:t>
            </w:r>
          </w:p>
        </w:tc>
        <w:tc>
          <w:tcPr>
            <w:tcW w:w="655" w:type="dxa"/>
            <w:shd w:val="clear" w:color="auto" w:fill="auto"/>
          </w:tcPr>
          <w:p w14:paraId="3DF1305E" w14:textId="77777777" w:rsidR="00EE30FB" w:rsidRPr="002530C1" w:rsidRDefault="00EE30FB" w:rsidP="001777E8">
            <w:pPr>
              <w:jc w:val="center"/>
            </w:pPr>
            <w:r w:rsidRPr="002530C1">
              <w:t>50.0</w:t>
            </w:r>
          </w:p>
        </w:tc>
        <w:tc>
          <w:tcPr>
            <w:tcW w:w="655" w:type="dxa"/>
            <w:shd w:val="clear" w:color="auto" w:fill="auto"/>
          </w:tcPr>
          <w:p w14:paraId="68D94E01" w14:textId="77777777" w:rsidR="00EE30FB" w:rsidRPr="00C1130B" w:rsidRDefault="00EE30FB" w:rsidP="000505E6">
            <w:pPr>
              <w:jc w:val="center"/>
            </w:pPr>
            <w:r w:rsidRPr="00C1130B">
              <w:t>30.8</w:t>
            </w:r>
          </w:p>
        </w:tc>
        <w:tc>
          <w:tcPr>
            <w:tcW w:w="654" w:type="dxa"/>
            <w:shd w:val="clear" w:color="auto" w:fill="auto"/>
          </w:tcPr>
          <w:p w14:paraId="73925D9E" w14:textId="77777777" w:rsidR="00EE30FB" w:rsidRPr="002F1F85" w:rsidRDefault="00EE30FB" w:rsidP="00EE30FB">
            <w:pPr>
              <w:jc w:val="center"/>
            </w:pPr>
            <w:r w:rsidRPr="002F1F85">
              <w:t>74.1</w:t>
            </w:r>
          </w:p>
        </w:tc>
        <w:tc>
          <w:tcPr>
            <w:tcW w:w="655" w:type="dxa"/>
            <w:shd w:val="clear" w:color="auto" w:fill="auto"/>
          </w:tcPr>
          <w:p w14:paraId="511E6DC2" w14:textId="77777777" w:rsidR="00EE30FB" w:rsidRPr="00EE3702" w:rsidRDefault="00EE30FB" w:rsidP="00EE30FB">
            <w:pPr>
              <w:jc w:val="center"/>
            </w:pPr>
            <w:r w:rsidRPr="00EE3702">
              <w:t>47.2</w:t>
            </w:r>
          </w:p>
        </w:tc>
        <w:tc>
          <w:tcPr>
            <w:tcW w:w="655" w:type="dxa"/>
            <w:shd w:val="clear" w:color="auto" w:fill="auto"/>
          </w:tcPr>
          <w:p w14:paraId="176592F5" w14:textId="77777777" w:rsidR="00EE30FB" w:rsidRPr="0055667A" w:rsidRDefault="00EE30FB" w:rsidP="00EE30FB">
            <w:pPr>
              <w:jc w:val="center"/>
            </w:pPr>
            <w:r w:rsidRPr="0055667A">
              <w:t>26.9</w:t>
            </w:r>
          </w:p>
        </w:tc>
      </w:tr>
      <w:tr w:rsidR="00EE30FB" w:rsidRPr="008C509F" w14:paraId="633E4210" w14:textId="77777777" w:rsidTr="000F10B9">
        <w:tc>
          <w:tcPr>
            <w:tcW w:w="1965" w:type="dxa"/>
            <w:tcBorders>
              <w:bottom w:val="single" w:sz="8" w:space="0" w:color="auto"/>
            </w:tcBorders>
            <w:shd w:val="clear" w:color="auto" w:fill="auto"/>
            <w:vAlign w:val="center"/>
          </w:tcPr>
          <w:p w14:paraId="1A754E93" w14:textId="77777777" w:rsidR="00EE30FB" w:rsidRPr="00C02D02" w:rsidRDefault="00EE30FB" w:rsidP="00C02D02">
            <w:pPr>
              <w:spacing w:line="240" w:lineRule="auto"/>
              <w:ind w:left="-98" w:right="-94"/>
              <w:jc w:val="center"/>
            </w:pPr>
            <w:r w:rsidRPr="00C02D02">
              <w:t>ZnO/BiVO</w:t>
            </w:r>
            <w:r w:rsidRPr="00C02D02">
              <w:rPr>
                <w:vertAlign w:val="subscript"/>
              </w:rPr>
              <w:t>4</w:t>
            </w:r>
          </w:p>
        </w:tc>
        <w:tc>
          <w:tcPr>
            <w:tcW w:w="654" w:type="dxa"/>
            <w:tcBorders>
              <w:bottom w:val="single" w:sz="8" w:space="0" w:color="auto"/>
            </w:tcBorders>
            <w:shd w:val="clear" w:color="auto" w:fill="auto"/>
          </w:tcPr>
          <w:p w14:paraId="21542316" w14:textId="77777777" w:rsidR="00EE30FB" w:rsidRDefault="00EE30FB" w:rsidP="00F15759">
            <w:pPr>
              <w:spacing w:line="240" w:lineRule="auto"/>
              <w:jc w:val="center"/>
            </w:pPr>
            <w:r w:rsidRPr="00A71CCB">
              <w:t>76.1</w:t>
            </w:r>
          </w:p>
        </w:tc>
        <w:tc>
          <w:tcPr>
            <w:tcW w:w="655" w:type="dxa"/>
            <w:tcBorders>
              <w:bottom w:val="single" w:sz="8" w:space="0" w:color="auto"/>
            </w:tcBorders>
            <w:shd w:val="clear" w:color="auto" w:fill="auto"/>
          </w:tcPr>
          <w:p w14:paraId="33D2D9FC" w14:textId="77777777" w:rsidR="00EE30FB" w:rsidRDefault="00EE30FB" w:rsidP="00F15759">
            <w:pPr>
              <w:jc w:val="center"/>
            </w:pPr>
            <w:r w:rsidRPr="00AA665A">
              <w:t>46.8</w:t>
            </w:r>
          </w:p>
        </w:tc>
        <w:tc>
          <w:tcPr>
            <w:tcW w:w="655" w:type="dxa"/>
            <w:tcBorders>
              <w:bottom w:val="single" w:sz="8" w:space="0" w:color="auto"/>
            </w:tcBorders>
            <w:shd w:val="clear" w:color="auto" w:fill="auto"/>
          </w:tcPr>
          <w:p w14:paraId="3B016DF7" w14:textId="77777777" w:rsidR="00EE30FB" w:rsidRDefault="00EE30FB" w:rsidP="00F15759">
            <w:pPr>
              <w:jc w:val="center"/>
            </w:pPr>
            <w:r w:rsidRPr="00966917">
              <w:t>29.3</w:t>
            </w:r>
          </w:p>
        </w:tc>
        <w:tc>
          <w:tcPr>
            <w:tcW w:w="654" w:type="dxa"/>
            <w:tcBorders>
              <w:bottom w:val="single" w:sz="8" w:space="0" w:color="auto"/>
            </w:tcBorders>
            <w:shd w:val="clear" w:color="auto" w:fill="auto"/>
          </w:tcPr>
          <w:p w14:paraId="40E47944" w14:textId="77777777" w:rsidR="00EE30FB" w:rsidRDefault="00EE30FB" w:rsidP="00F15759">
            <w:pPr>
              <w:jc w:val="center"/>
            </w:pPr>
            <w:r w:rsidRPr="0028371E">
              <w:t>80.8</w:t>
            </w:r>
          </w:p>
        </w:tc>
        <w:tc>
          <w:tcPr>
            <w:tcW w:w="655" w:type="dxa"/>
            <w:tcBorders>
              <w:bottom w:val="single" w:sz="8" w:space="0" w:color="auto"/>
            </w:tcBorders>
            <w:shd w:val="clear" w:color="auto" w:fill="auto"/>
          </w:tcPr>
          <w:p w14:paraId="180D0C0F" w14:textId="77777777" w:rsidR="00EE30FB" w:rsidRDefault="00EE30FB" w:rsidP="001777E8">
            <w:pPr>
              <w:jc w:val="center"/>
            </w:pPr>
            <w:r w:rsidRPr="002530C1">
              <w:t>49.9</w:t>
            </w:r>
          </w:p>
        </w:tc>
        <w:tc>
          <w:tcPr>
            <w:tcW w:w="655" w:type="dxa"/>
            <w:tcBorders>
              <w:bottom w:val="single" w:sz="8" w:space="0" w:color="auto"/>
            </w:tcBorders>
            <w:shd w:val="clear" w:color="auto" w:fill="auto"/>
          </w:tcPr>
          <w:p w14:paraId="47945392" w14:textId="77777777" w:rsidR="00EE30FB" w:rsidRDefault="00EE30FB" w:rsidP="000505E6">
            <w:pPr>
              <w:jc w:val="center"/>
            </w:pPr>
            <w:r w:rsidRPr="00C1130B">
              <w:t>30.9</w:t>
            </w:r>
          </w:p>
        </w:tc>
        <w:tc>
          <w:tcPr>
            <w:tcW w:w="654" w:type="dxa"/>
            <w:tcBorders>
              <w:bottom w:val="single" w:sz="8" w:space="0" w:color="auto"/>
            </w:tcBorders>
            <w:shd w:val="clear" w:color="auto" w:fill="auto"/>
          </w:tcPr>
          <w:p w14:paraId="2056E3C1" w14:textId="77777777" w:rsidR="00EE30FB" w:rsidRDefault="00EE30FB" w:rsidP="00EE30FB">
            <w:pPr>
              <w:jc w:val="center"/>
            </w:pPr>
            <w:r w:rsidRPr="002F1F85">
              <w:t>75.0</w:t>
            </w:r>
          </w:p>
        </w:tc>
        <w:tc>
          <w:tcPr>
            <w:tcW w:w="655" w:type="dxa"/>
            <w:tcBorders>
              <w:bottom w:val="single" w:sz="8" w:space="0" w:color="auto"/>
            </w:tcBorders>
            <w:shd w:val="clear" w:color="auto" w:fill="auto"/>
          </w:tcPr>
          <w:p w14:paraId="406C232D" w14:textId="77777777" w:rsidR="00EE30FB" w:rsidRDefault="00EE30FB" w:rsidP="00EE30FB">
            <w:pPr>
              <w:jc w:val="center"/>
            </w:pPr>
            <w:r w:rsidRPr="00EE3702">
              <w:t>48.3</w:t>
            </w:r>
          </w:p>
        </w:tc>
        <w:tc>
          <w:tcPr>
            <w:tcW w:w="655" w:type="dxa"/>
            <w:tcBorders>
              <w:bottom w:val="single" w:sz="8" w:space="0" w:color="auto"/>
            </w:tcBorders>
            <w:shd w:val="clear" w:color="auto" w:fill="auto"/>
          </w:tcPr>
          <w:p w14:paraId="0F8E5ACE" w14:textId="77777777" w:rsidR="00EE30FB" w:rsidRDefault="00EE30FB" w:rsidP="00EE30FB">
            <w:pPr>
              <w:jc w:val="center"/>
            </w:pPr>
            <w:r w:rsidRPr="0055667A">
              <w:t>26.7</w:t>
            </w:r>
          </w:p>
        </w:tc>
      </w:tr>
    </w:tbl>
    <w:p w14:paraId="5596D6F7" w14:textId="2CF2A96C" w:rsidR="001A43CB" w:rsidRPr="0080460A" w:rsidRDefault="009177FD" w:rsidP="001F42CB">
      <w:pPr>
        <w:pStyle w:val="MDPI31text"/>
        <w:spacing w:before="240"/>
        <w:rPr>
          <w:b/>
        </w:rPr>
      </w:pPr>
      <w:r w:rsidRPr="009177FD">
        <w:t>The UV-stimulated WCA</w:t>
      </w:r>
      <w:r w:rsidR="00EE5BE6">
        <w:t xml:space="preserve"> change</w:t>
      </w:r>
      <w:r w:rsidRPr="009177FD">
        <w:t xml:space="preserve"> </w:t>
      </w:r>
      <w:r w:rsidR="00EE5BE6">
        <w:t>for</w:t>
      </w:r>
      <w:r w:rsidRPr="009177FD">
        <w:t xml:space="preserve"> the surface of mono-component TiO</w:t>
      </w:r>
      <w:r w:rsidRPr="00EE5BE6">
        <w:rPr>
          <w:vertAlign w:val="subscript"/>
        </w:rPr>
        <w:t>2</w:t>
      </w:r>
      <w:r w:rsidRPr="009177FD">
        <w:t xml:space="preserve"> coating is caused by an SFE increase mainly due to its polar component. Upon visible light irradi</w:t>
      </w:r>
      <w:r w:rsidRPr="009177FD">
        <w:t>a</w:t>
      </w:r>
      <w:r w:rsidRPr="009177FD">
        <w:t xml:space="preserve">tion, no significant </w:t>
      </w:r>
      <w:r w:rsidR="00EE5BE6" w:rsidRPr="00EE5BE6">
        <w:t>deviations</w:t>
      </w:r>
      <w:r w:rsidR="00EE5BE6">
        <w:t xml:space="preserve"> </w:t>
      </w:r>
      <w:r w:rsidRPr="009177FD">
        <w:t>were observed in the SFE value (Table 4), as well as in the surface hydrophilicity (Figure 1). The transformation of the TiO</w:t>
      </w:r>
      <w:r w:rsidRPr="00EE5BE6">
        <w:rPr>
          <w:vertAlign w:val="subscript"/>
        </w:rPr>
        <w:t>2</w:t>
      </w:r>
      <w:r w:rsidRPr="009177FD">
        <w:t>/BiVO</w:t>
      </w:r>
      <w:r w:rsidRPr="00EE5BE6">
        <w:rPr>
          <w:vertAlign w:val="subscript"/>
        </w:rPr>
        <w:t>4</w:t>
      </w:r>
      <w:r w:rsidRPr="009177FD">
        <w:t xml:space="preserve"> heterostructured coating surface into a more hydrophilic state under UV irradiation as well as visible light is accompanied by an increase in SFE due to both components. However, the increase in the polar component contributes more to the </w:t>
      </w:r>
      <w:r w:rsidR="00E52031">
        <w:t>alteration of</w:t>
      </w:r>
      <w:r w:rsidRPr="009177FD">
        <w:t xml:space="preserve"> the total surface free energy when TiO</w:t>
      </w:r>
      <w:r w:rsidRPr="00EE5BE6">
        <w:rPr>
          <w:vertAlign w:val="subscript"/>
        </w:rPr>
        <w:t>2</w:t>
      </w:r>
      <w:r w:rsidRPr="009177FD">
        <w:t>/BiVO</w:t>
      </w:r>
      <w:r w:rsidRPr="00EE5BE6">
        <w:rPr>
          <w:vertAlign w:val="subscript"/>
        </w:rPr>
        <w:t>4</w:t>
      </w:r>
      <w:r w:rsidRPr="009177FD">
        <w:t xml:space="preserve"> sample was exposed to visible light.</w:t>
      </w:r>
    </w:p>
    <w:p w14:paraId="16C1AB15" w14:textId="0498F48A" w:rsidR="00597AAF" w:rsidRPr="0026510A" w:rsidRDefault="0026510A" w:rsidP="001F42CB">
      <w:pPr>
        <w:pStyle w:val="MDPI31text"/>
        <w:rPr>
          <w:b/>
        </w:rPr>
      </w:pPr>
      <w:r w:rsidRPr="0026510A">
        <w:t xml:space="preserve">For the </w:t>
      </w:r>
      <w:proofErr w:type="spellStart"/>
      <w:r w:rsidRPr="0026510A">
        <w:t>ZnO</w:t>
      </w:r>
      <w:proofErr w:type="spellEnd"/>
      <w:r w:rsidRPr="0026510A">
        <w:t xml:space="preserve"> and </w:t>
      </w:r>
      <w:proofErr w:type="spellStart"/>
      <w:r w:rsidRPr="0026510A">
        <w:t>ZnO</w:t>
      </w:r>
      <w:proofErr w:type="spellEnd"/>
      <w:r w:rsidRPr="0026510A">
        <w:t>/BiVO</w:t>
      </w:r>
      <w:r w:rsidRPr="0026510A">
        <w:rPr>
          <w:vertAlign w:val="subscript"/>
        </w:rPr>
        <w:t>4</w:t>
      </w:r>
      <w:r w:rsidRPr="0026510A">
        <w:t xml:space="preserve"> coatings, the UV-induced surface transition to the s</w:t>
      </w:r>
      <w:r w:rsidRPr="0026510A">
        <w:t>u</w:t>
      </w:r>
      <w:r w:rsidRPr="0026510A">
        <w:t>perhydrophilic state is characterized by a</w:t>
      </w:r>
      <w:r w:rsidR="00E52031">
        <w:t>n</w:t>
      </w:r>
      <w:r w:rsidRPr="0026510A">
        <w:t xml:space="preserve"> increase in the total surface energy to </w:t>
      </w:r>
      <w:r>
        <w:t xml:space="preserve">value </w:t>
      </w:r>
      <w:proofErr w:type="gramStart"/>
      <w:r>
        <w:t xml:space="preserve">of </w:t>
      </w:r>
      <w:r w:rsidRPr="0026510A">
        <w:t xml:space="preserve">80.8 mN/m, mainly due to </w:t>
      </w:r>
      <w:r w:rsidR="00E52031">
        <w:t>its</w:t>
      </w:r>
      <w:r w:rsidRPr="0026510A">
        <w:t xml:space="preserve"> dispersive component (Table 4)</w:t>
      </w:r>
      <w:proofErr w:type="gramEnd"/>
      <w:r w:rsidRPr="0026510A">
        <w:t xml:space="preserve">. When both systems are irradiated with visible light, their surface energy </w:t>
      </w:r>
      <w:r w:rsidR="00E52031">
        <w:t xml:space="preserve">slightly </w:t>
      </w:r>
      <w:r w:rsidRPr="0026510A">
        <w:t>decreases</w:t>
      </w:r>
      <w:r w:rsidR="00E52031">
        <w:t>,</w:t>
      </w:r>
      <w:r w:rsidRPr="0026510A">
        <w:t xml:space="preserve"> mainly due to the polar component. </w:t>
      </w:r>
    </w:p>
    <w:p w14:paraId="1ECD06F1" w14:textId="2F8AF8F4" w:rsidR="006E574C" w:rsidRPr="00325902" w:rsidRDefault="001F42CB" w:rsidP="001F42CB">
      <w:pPr>
        <w:pStyle w:val="MDPI21heading1"/>
      </w:pPr>
      <w:r>
        <w:t xml:space="preserve">3. </w:t>
      </w:r>
      <w:r w:rsidR="006E574C" w:rsidRPr="00325902">
        <w:t>Discussion</w:t>
      </w:r>
    </w:p>
    <w:p w14:paraId="3A901BE0" w14:textId="791992B9" w:rsidR="006E574C" w:rsidRDefault="00D517F6" w:rsidP="001F42CB">
      <w:pPr>
        <w:pStyle w:val="MDPI31text"/>
      </w:pPr>
      <w:r w:rsidRPr="00D517F6">
        <w:t>Based on the experimental results on determination of the electronic bands positions in the components (see the data in Table 2) of the formed heterostructures, the corr</w:t>
      </w:r>
      <w:r w:rsidRPr="00D517F6">
        <w:t>e</w:t>
      </w:r>
      <w:r w:rsidRPr="00D517F6">
        <w:t>sponding energy diagram can be plotted as shown in Figure 4. A successful formation of heterojunctions in heterostructured coatings is confirmed by the alteration of their work functions (Fermi level positions) comparing to the corresponding parameters for the i</w:t>
      </w:r>
      <w:r w:rsidRPr="00D517F6">
        <w:t>n</w:t>
      </w:r>
      <w:r w:rsidRPr="00D517F6">
        <w:t>dividual components (see the data presented in Tables 2 and 3): the work function values of the both heterostructured coatings are located between the corresponding values of the individual components that indicates the charge separation at heterojunctions. We</w:t>
      </w:r>
      <w:r w:rsidRPr="00D517F6">
        <w:t>t</w:t>
      </w:r>
      <w:r w:rsidRPr="00D517F6">
        <w:t xml:space="preserve">ting of the surfaces of both heterostructured and mono-component coatings results in the decrease of the work function values due to formation of the </w:t>
      </w:r>
      <w:proofErr w:type="spellStart"/>
      <w:r w:rsidRPr="00D517F6">
        <w:t>hydroxy</w:t>
      </w:r>
      <w:proofErr w:type="spellEnd"/>
      <w:r w:rsidRPr="00D517F6">
        <w:t>-hydrated mult</w:t>
      </w:r>
      <w:r w:rsidRPr="00D517F6">
        <w:t>i</w:t>
      </w:r>
      <w:r w:rsidRPr="00D517F6">
        <w:t>layers [</w:t>
      </w:r>
      <w:r w:rsidR="005D3566">
        <w:t>9, 33</w:t>
      </w:r>
      <w:r w:rsidRPr="001F7CDE">
        <w:t>]</w:t>
      </w:r>
      <w:r w:rsidRPr="00D517F6">
        <w:t>.</w:t>
      </w:r>
    </w:p>
    <w:tbl>
      <w:tblPr>
        <w:tblW w:w="0" w:type="auto"/>
        <w:jc w:val="center"/>
        <w:tblLook w:val="0000" w:firstRow="0" w:lastRow="0" w:firstColumn="0" w:lastColumn="0" w:noHBand="0" w:noVBand="0"/>
      </w:tblPr>
      <w:tblGrid>
        <w:gridCol w:w="5836"/>
        <w:gridCol w:w="4268"/>
      </w:tblGrid>
      <w:tr w:rsidR="007A1C74" w:rsidRPr="00196D5A" w14:paraId="63C33979" w14:textId="77777777" w:rsidTr="00400E33">
        <w:trPr>
          <w:jc w:val="center"/>
        </w:trPr>
        <w:tc>
          <w:tcPr>
            <w:tcW w:w="4057" w:type="dxa"/>
            <w:shd w:val="clear" w:color="auto" w:fill="auto"/>
            <w:vAlign w:val="center"/>
          </w:tcPr>
          <w:p w14:paraId="614A3446" w14:textId="77777777" w:rsidR="007A1C74" w:rsidRPr="00196D5A" w:rsidRDefault="007A1C74" w:rsidP="001F42CB">
            <w:pPr>
              <w:pStyle w:val="MDPI52figure"/>
              <w:ind w:left="2608"/>
              <w:jc w:val="left"/>
            </w:pPr>
            <w:r>
              <w:rPr>
                <w:noProof/>
                <w:snapToGrid/>
                <w:lang w:val="ru-RU" w:eastAsia="ru-RU" w:bidi="ar-SA"/>
              </w:rPr>
              <w:drawing>
                <wp:inline distT="0" distB="0" distL="0" distR="0" wp14:anchorId="4D6F8A70" wp14:editId="4B1EC0EE">
                  <wp:extent cx="1912620" cy="274828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912620" cy="2748280"/>
                          </a:xfrm>
                          <a:prstGeom prst="rect">
                            <a:avLst/>
                          </a:prstGeom>
                          <a:noFill/>
                          <a:ln>
                            <a:noFill/>
                          </a:ln>
                        </pic:spPr>
                      </pic:pic>
                    </a:graphicData>
                  </a:graphic>
                </wp:inline>
              </w:drawing>
            </w:r>
          </w:p>
        </w:tc>
        <w:tc>
          <w:tcPr>
            <w:tcW w:w="4268" w:type="dxa"/>
          </w:tcPr>
          <w:p w14:paraId="76C44CCD" w14:textId="77777777" w:rsidR="007A1C74" w:rsidRPr="00196D5A" w:rsidRDefault="005E1D84" w:rsidP="00400E33">
            <w:pPr>
              <w:pStyle w:val="MDPI52figure"/>
              <w:spacing w:before="0"/>
            </w:pPr>
            <w:r>
              <w:rPr>
                <w:rFonts w:ascii="Times New Roman" w:hAnsi="Times New Roman"/>
                <w:noProof/>
                <w:snapToGrid/>
                <w:sz w:val="24"/>
                <w:szCs w:val="24"/>
                <w:lang w:val="ru-RU" w:eastAsia="ru-RU" w:bidi="ar-SA"/>
              </w:rPr>
              <w:drawing>
                <wp:inline distT="0" distB="0" distL="0" distR="0" wp14:anchorId="75DC46EB" wp14:editId="1E99AB1F">
                  <wp:extent cx="1867687" cy="2750348"/>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868688" cy="2751823"/>
                          </a:xfrm>
                          <a:prstGeom prst="rect">
                            <a:avLst/>
                          </a:prstGeom>
                          <a:noFill/>
                          <a:ln>
                            <a:noFill/>
                          </a:ln>
                        </pic:spPr>
                      </pic:pic>
                    </a:graphicData>
                  </a:graphic>
                </wp:inline>
              </w:drawing>
            </w:r>
          </w:p>
        </w:tc>
      </w:tr>
      <w:tr w:rsidR="007A1C74" w:rsidRPr="00196D5A" w14:paraId="1C865161" w14:textId="77777777" w:rsidTr="00400E33">
        <w:trPr>
          <w:jc w:val="center"/>
        </w:trPr>
        <w:tc>
          <w:tcPr>
            <w:tcW w:w="4057" w:type="dxa"/>
            <w:shd w:val="clear" w:color="auto" w:fill="auto"/>
            <w:vAlign w:val="center"/>
          </w:tcPr>
          <w:p w14:paraId="5380D177" w14:textId="77777777" w:rsidR="007A1C74" w:rsidRPr="00196D5A" w:rsidRDefault="007A1C74" w:rsidP="00400E33">
            <w:pPr>
              <w:pStyle w:val="MDPI42tablebody"/>
            </w:pPr>
            <w:r w:rsidRPr="00196D5A">
              <w:t>(</w:t>
            </w:r>
            <w:r w:rsidRPr="000011E0">
              <w:rPr>
                <w:b/>
              </w:rPr>
              <w:t>a</w:t>
            </w:r>
            <w:r w:rsidRPr="00196D5A">
              <w:t>)</w:t>
            </w:r>
          </w:p>
        </w:tc>
        <w:tc>
          <w:tcPr>
            <w:tcW w:w="4268" w:type="dxa"/>
          </w:tcPr>
          <w:p w14:paraId="0FF09B66" w14:textId="77777777" w:rsidR="007A1C74" w:rsidRPr="00196D5A" w:rsidRDefault="007A1C74" w:rsidP="00400E33">
            <w:pPr>
              <w:pStyle w:val="MDPI42tablebody"/>
            </w:pPr>
            <w:r w:rsidRPr="00196D5A">
              <w:t>(</w:t>
            </w:r>
            <w:r w:rsidRPr="000011E0">
              <w:rPr>
                <w:b/>
              </w:rPr>
              <w:t>b</w:t>
            </w:r>
            <w:r w:rsidRPr="00196D5A">
              <w:t>)</w:t>
            </w:r>
          </w:p>
        </w:tc>
      </w:tr>
    </w:tbl>
    <w:p w14:paraId="67ECA7FD" w14:textId="70974A2A" w:rsidR="007A1C74" w:rsidRDefault="007C7039" w:rsidP="007C7039">
      <w:pPr>
        <w:pStyle w:val="MDPI51figurecaption"/>
        <w:jc w:val="both"/>
      </w:pPr>
      <w:proofErr w:type="gramStart"/>
      <w:r w:rsidRPr="007C7039">
        <w:rPr>
          <w:b/>
        </w:rPr>
        <w:t>Figure 4.</w:t>
      </w:r>
      <w:proofErr w:type="gramEnd"/>
      <w:r w:rsidRPr="007C7039">
        <w:rPr>
          <w:b/>
        </w:rPr>
        <w:t xml:space="preserve"> </w:t>
      </w:r>
      <w:r w:rsidR="007A1C74" w:rsidRPr="007A1C74">
        <w:t>Energy diagrams of the positions of the top of the valence bands and the bottom of the conduction bands and Fermi level positions for TiO</w:t>
      </w:r>
      <w:r w:rsidR="007A1C74" w:rsidRPr="007A1C74">
        <w:rPr>
          <w:vertAlign w:val="subscript"/>
        </w:rPr>
        <w:t>2</w:t>
      </w:r>
      <w:r w:rsidR="007A1C74" w:rsidRPr="007A1C74">
        <w:t xml:space="preserve"> and BiVO</w:t>
      </w:r>
      <w:r w:rsidR="007A1C74" w:rsidRPr="007A1C74">
        <w:rPr>
          <w:vertAlign w:val="subscript"/>
        </w:rPr>
        <w:t>4</w:t>
      </w:r>
      <w:r w:rsidR="007A1C74" w:rsidRPr="007A1C74">
        <w:t xml:space="preserve"> (</w:t>
      </w:r>
      <w:r w:rsidR="007A1C74" w:rsidRPr="007A1C74">
        <w:rPr>
          <w:b/>
        </w:rPr>
        <w:t>a</w:t>
      </w:r>
      <w:r w:rsidR="007A1C74" w:rsidRPr="007A1C74">
        <w:t xml:space="preserve">) and </w:t>
      </w:r>
      <w:proofErr w:type="spellStart"/>
      <w:r w:rsidR="007A1C74" w:rsidRPr="007A1C74">
        <w:t>ZnO</w:t>
      </w:r>
      <w:proofErr w:type="spellEnd"/>
      <w:r w:rsidR="007A1C74" w:rsidRPr="007A1C74">
        <w:t xml:space="preserve"> and BiVO</w:t>
      </w:r>
      <w:r w:rsidR="007A1C74" w:rsidRPr="007A1C74">
        <w:rPr>
          <w:vertAlign w:val="subscript"/>
        </w:rPr>
        <w:t>4</w:t>
      </w:r>
      <w:r w:rsidR="007A1C74" w:rsidRPr="007A1C74">
        <w:t xml:space="preserve"> (</w:t>
      </w:r>
      <w:r w:rsidR="007A1C74" w:rsidRPr="007A1C74">
        <w:rPr>
          <w:b/>
        </w:rPr>
        <w:t>b</w:t>
      </w:r>
      <w:r w:rsidR="007A1C74" w:rsidRPr="007A1C74">
        <w:t>) hete</w:t>
      </w:r>
      <w:r w:rsidR="007A1C74" w:rsidRPr="007A1C74">
        <w:t>r</w:t>
      </w:r>
      <w:r w:rsidR="007A1C74" w:rsidRPr="007A1C74">
        <w:t>osystems.</w:t>
      </w:r>
    </w:p>
    <w:p w14:paraId="7CF58620" w14:textId="7A902662" w:rsidR="00400E33" w:rsidRPr="00A921E1" w:rsidRDefault="00400E33" w:rsidP="007C7039">
      <w:pPr>
        <w:pStyle w:val="MDPI31text"/>
      </w:pPr>
      <w:r w:rsidRPr="00A921E1">
        <w:t>According the energy diagrams, the heterostructure formed from TiO</w:t>
      </w:r>
      <w:r w:rsidRPr="001C0589">
        <w:rPr>
          <w:vertAlign w:val="subscript"/>
        </w:rPr>
        <w:t>2</w:t>
      </w:r>
      <w:r w:rsidRPr="00A921E1">
        <w:t xml:space="preserve"> and BiVO</w:t>
      </w:r>
      <w:r w:rsidRPr="001C0589">
        <w:rPr>
          <w:vertAlign w:val="subscript"/>
        </w:rPr>
        <w:t>4</w:t>
      </w:r>
      <w:r w:rsidRPr="00A921E1">
        <w:t xml:space="preserve"> corresponds to the type II and energy levels of conduction and valence bands of its components favor to the photogenerated electron transfer from TiO</w:t>
      </w:r>
      <w:r w:rsidRPr="001C0589">
        <w:rPr>
          <w:vertAlign w:val="subscript"/>
        </w:rPr>
        <w:t>2</w:t>
      </w:r>
      <w:r w:rsidRPr="00A921E1">
        <w:t xml:space="preserve"> to BiVO</w:t>
      </w:r>
      <w:r w:rsidRPr="001C0589">
        <w:rPr>
          <w:vertAlign w:val="subscript"/>
        </w:rPr>
        <w:t>4</w:t>
      </w:r>
      <w:r w:rsidRPr="00A921E1">
        <w:t xml:space="preserve"> and to the photogenerated </w:t>
      </w:r>
      <w:proofErr w:type="gramStart"/>
      <w:r w:rsidRPr="00A921E1">
        <w:t>hole</w:t>
      </w:r>
      <w:proofErr w:type="gramEnd"/>
      <w:r w:rsidRPr="00A921E1">
        <w:t xml:space="preserve"> transfer back from BiVO</w:t>
      </w:r>
      <w:r w:rsidRPr="001C0589">
        <w:rPr>
          <w:vertAlign w:val="subscript"/>
        </w:rPr>
        <w:t>4</w:t>
      </w:r>
      <w:r w:rsidRPr="00A921E1">
        <w:t xml:space="preserve"> to TiO</w:t>
      </w:r>
      <w:r w:rsidRPr="001C0589">
        <w:rPr>
          <w:vertAlign w:val="subscript"/>
        </w:rPr>
        <w:t>2</w:t>
      </w:r>
      <w:r w:rsidRPr="00A921E1">
        <w:t>. As a result, charge separation at heterojunction in such type of heterostructure results in hole accumulation in TiO</w:t>
      </w:r>
      <w:r w:rsidRPr="001C0589">
        <w:rPr>
          <w:vertAlign w:val="subscript"/>
        </w:rPr>
        <w:t>2</w:t>
      </w:r>
      <w:r w:rsidRPr="00A921E1">
        <w:t xml:space="preserve"> and accordingly, at the surface of the heterostructured coating. At the same time, mutual p</w:t>
      </w:r>
      <w:r w:rsidRPr="00A921E1">
        <w:t>o</w:t>
      </w:r>
      <w:r w:rsidRPr="00A921E1">
        <w:t xml:space="preserve">sitions of the conduction and valence bands of </w:t>
      </w:r>
      <w:proofErr w:type="spellStart"/>
      <w:r w:rsidRPr="00A921E1">
        <w:t>ZnO</w:t>
      </w:r>
      <w:proofErr w:type="spellEnd"/>
      <w:r w:rsidRPr="00A921E1">
        <w:t xml:space="preserve"> and BiVO</w:t>
      </w:r>
      <w:r w:rsidRPr="001C0589">
        <w:rPr>
          <w:vertAlign w:val="subscript"/>
        </w:rPr>
        <w:t>4</w:t>
      </w:r>
      <w:r w:rsidRPr="00A921E1">
        <w:t xml:space="preserve"> indicate that corr</w:t>
      </w:r>
      <w:r w:rsidRPr="00A921E1">
        <w:t>e</w:t>
      </w:r>
      <w:r w:rsidRPr="00A921E1">
        <w:t>sponding heterostructure ZnO‒BiVO</w:t>
      </w:r>
      <w:r w:rsidRPr="001C0589">
        <w:rPr>
          <w:vertAlign w:val="subscript"/>
        </w:rPr>
        <w:t>4</w:t>
      </w:r>
      <w:r w:rsidRPr="00A921E1">
        <w:t xml:space="preserve"> belongs to the type I that means that both phot</w:t>
      </w:r>
      <w:r w:rsidRPr="00A921E1">
        <w:t>o</w:t>
      </w:r>
      <w:r w:rsidRPr="00A921E1">
        <w:t xml:space="preserve">generated electrons and holes are transferred from </w:t>
      </w:r>
      <w:proofErr w:type="spellStart"/>
      <w:r w:rsidRPr="00A921E1">
        <w:t>ZnO</w:t>
      </w:r>
      <w:proofErr w:type="spellEnd"/>
      <w:r w:rsidRPr="00A921E1">
        <w:t xml:space="preserve"> to BiVO</w:t>
      </w:r>
      <w:r w:rsidRPr="001C0589">
        <w:rPr>
          <w:vertAlign w:val="subscript"/>
        </w:rPr>
        <w:t>4</w:t>
      </w:r>
      <w:r w:rsidRPr="00A921E1">
        <w:t xml:space="preserve">. </w:t>
      </w:r>
      <w:r w:rsidR="003805D0" w:rsidRPr="001F7CDE">
        <w:t xml:space="preserve">The possibility of forming a type I heterostructure for the </w:t>
      </w:r>
      <w:proofErr w:type="spellStart"/>
      <w:r w:rsidR="003805D0" w:rsidRPr="001F7CDE">
        <w:t>ZnO</w:t>
      </w:r>
      <w:proofErr w:type="spellEnd"/>
      <w:r w:rsidR="003805D0" w:rsidRPr="001F7CDE">
        <w:t>/BiVO</w:t>
      </w:r>
      <w:r w:rsidR="003805D0" w:rsidRPr="001F7CDE">
        <w:rPr>
          <w:vertAlign w:val="subscript"/>
        </w:rPr>
        <w:t>4</w:t>
      </w:r>
      <w:r w:rsidR="003805D0" w:rsidRPr="001F7CDE">
        <w:t xml:space="preserve"> heterosystem and a type II heter</w:t>
      </w:r>
      <w:r w:rsidR="003805D0" w:rsidRPr="001F7CDE">
        <w:t>o</w:t>
      </w:r>
      <w:r w:rsidR="003805D0" w:rsidRPr="001F7CDE">
        <w:t>structure for the TiO</w:t>
      </w:r>
      <w:r w:rsidR="003805D0" w:rsidRPr="001F7CDE">
        <w:rPr>
          <w:vertAlign w:val="subscript"/>
        </w:rPr>
        <w:t>2</w:t>
      </w:r>
      <w:r w:rsidR="003805D0" w:rsidRPr="001F7CDE">
        <w:t>/BiVO</w:t>
      </w:r>
      <w:r w:rsidR="003805D0" w:rsidRPr="001F7CDE">
        <w:rPr>
          <w:vertAlign w:val="subscript"/>
        </w:rPr>
        <w:t>4</w:t>
      </w:r>
      <w:r w:rsidR="003805D0" w:rsidRPr="001F7CDE">
        <w:t xml:space="preserve"> heterosystem has been mentioned earlier [</w:t>
      </w:r>
      <w:r w:rsidR="00984C03" w:rsidRPr="001F7CDE">
        <w:t>7</w:t>
      </w:r>
      <w:r w:rsidR="0001390C" w:rsidRPr="001F7CDE">
        <w:t>, 2</w:t>
      </w:r>
      <w:r w:rsidR="00984C03" w:rsidRPr="001F7CDE">
        <w:t>9</w:t>
      </w:r>
      <w:r w:rsidR="00077A06" w:rsidRPr="001F7CDE">
        <w:t>-</w:t>
      </w:r>
      <w:r w:rsidR="00BA49DD" w:rsidRPr="001F7CDE">
        <w:t xml:space="preserve">32, </w:t>
      </w:r>
      <w:r w:rsidR="006E39F8" w:rsidRPr="001F7CDE">
        <w:t>34</w:t>
      </w:r>
      <w:r w:rsidR="00077A06" w:rsidRPr="001F7CDE">
        <w:t>-</w:t>
      </w:r>
      <w:r w:rsidR="00F53BD2" w:rsidRPr="001F7CDE">
        <w:t>36</w:t>
      </w:r>
      <w:r w:rsidR="003805D0" w:rsidRPr="001F7CDE">
        <w:t>].</w:t>
      </w:r>
      <w:r w:rsidR="003805D0">
        <w:t xml:space="preserve"> </w:t>
      </w:r>
      <w:r w:rsidRPr="00A921E1">
        <w:t xml:space="preserve">Thus, there is no charge separation at heterojunction occurred in such heterostructure and therefore, there is no alteration of the dominating charge carriers at the surface of heterostructured coating comparing to the mono-component </w:t>
      </w:r>
      <w:proofErr w:type="spellStart"/>
      <w:r w:rsidRPr="00A921E1">
        <w:t>ZnO</w:t>
      </w:r>
      <w:proofErr w:type="spellEnd"/>
      <w:r w:rsidRPr="00A921E1">
        <w:t xml:space="preserve"> coating.</w:t>
      </w:r>
      <w:r w:rsidR="003805D0">
        <w:t xml:space="preserve"> </w:t>
      </w:r>
    </w:p>
    <w:p w14:paraId="72276512" w14:textId="77777777" w:rsidR="00400E33" w:rsidRDefault="00400E33" w:rsidP="007C7039">
      <w:pPr>
        <w:pStyle w:val="MDPI31text"/>
      </w:pPr>
      <w:r w:rsidRPr="00A921E1">
        <w:t>The corresponding processes of the charge transfer and separation of photogene</w:t>
      </w:r>
      <w:r w:rsidRPr="00A921E1">
        <w:t>r</w:t>
      </w:r>
      <w:r w:rsidRPr="00A921E1">
        <w:t>ated charge carriers at heterojunctions are shown for TiO</w:t>
      </w:r>
      <w:r w:rsidRPr="001C0589">
        <w:rPr>
          <w:vertAlign w:val="subscript"/>
        </w:rPr>
        <w:t>2</w:t>
      </w:r>
      <w:r w:rsidRPr="00A921E1">
        <w:t>/BiVO</w:t>
      </w:r>
      <w:r w:rsidRPr="001C0589">
        <w:rPr>
          <w:vertAlign w:val="subscript"/>
        </w:rPr>
        <w:t>4</w:t>
      </w:r>
      <w:r w:rsidRPr="00A921E1">
        <w:t xml:space="preserve"> heterostructure in Fi</w:t>
      </w:r>
      <w:r w:rsidRPr="00A921E1">
        <w:t>g</w:t>
      </w:r>
      <w:r w:rsidRPr="00A921E1">
        <w:t xml:space="preserve">ures 5 and for </w:t>
      </w:r>
      <w:proofErr w:type="spellStart"/>
      <w:r w:rsidRPr="00A921E1">
        <w:t>ZnO</w:t>
      </w:r>
      <w:proofErr w:type="spellEnd"/>
      <w:r w:rsidRPr="00A921E1">
        <w:t>/BiVO</w:t>
      </w:r>
      <w:r w:rsidRPr="001C0589">
        <w:rPr>
          <w:vertAlign w:val="subscript"/>
        </w:rPr>
        <w:t>4</w:t>
      </w:r>
      <w:r w:rsidRPr="00A921E1">
        <w:t xml:space="preserve"> heterostructure in Figure 6, respectively. Note that in TiO</w:t>
      </w:r>
      <w:r w:rsidRPr="001C0589">
        <w:rPr>
          <w:vertAlign w:val="subscript"/>
        </w:rPr>
        <w:t>2</w:t>
      </w:r>
      <w:r w:rsidRPr="00A921E1">
        <w:t>/BiVO</w:t>
      </w:r>
      <w:r w:rsidRPr="001C0589">
        <w:rPr>
          <w:vertAlign w:val="subscript"/>
        </w:rPr>
        <w:t>4</w:t>
      </w:r>
      <w:r w:rsidRPr="00A921E1">
        <w:t xml:space="preserve"> heterostructure of type II the accumulation of photogenerated holes is o</w:t>
      </w:r>
      <w:r w:rsidRPr="00A921E1">
        <w:t>c</w:t>
      </w:r>
      <w:r w:rsidRPr="00A921E1">
        <w:t>curred at the TiO</w:t>
      </w:r>
      <w:r w:rsidRPr="001C0589">
        <w:rPr>
          <w:vertAlign w:val="subscript"/>
        </w:rPr>
        <w:t>2</w:t>
      </w:r>
      <w:r w:rsidRPr="00A921E1">
        <w:t xml:space="preserve"> surface under both UV and visible</w:t>
      </w:r>
      <w:r w:rsidR="001C0589">
        <w:t xml:space="preserve"> </w:t>
      </w:r>
      <w:r w:rsidRPr="00A921E1">
        <w:t xml:space="preserve">light photoexcitation corresponding to photoexcitation of both components and BiVO4 only, respectively. At the same time, regardless the type of photoexcitation there is no charge transfer process to </w:t>
      </w:r>
      <w:proofErr w:type="spellStart"/>
      <w:r w:rsidRPr="00A921E1">
        <w:t>ZnO</w:t>
      </w:r>
      <w:proofErr w:type="spellEnd"/>
      <w:r w:rsidRPr="00A921E1">
        <w:t xml:space="preserve"> co</w:t>
      </w:r>
      <w:r w:rsidRPr="00A921E1">
        <w:t>m</w:t>
      </w:r>
      <w:r w:rsidRPr="00A921E1">
        <w:t xml:space="preserve">ponent due to energy barrier for both electrons and holes preventing the charge carrier transfer from </w:t>
      </w:r>
      <w:proofErr w:type="spellStart"/>
      <w:r w:rsidRPr="00A921E1">
        <w:t>ZnO</w:t>
      </w:r>
      <w:proofErr w:type="spellEnd"/>
      <w:r w:rsidRPr="00A921E1">
        <w:t xml:space="preserve"> to BiVO</w:t>
      </w:r>
      <w:r w:rsidRPr="000A1F88">
        <w:rPr>
          <w:vertAlign w:val="subscript"/>
        </w:rPr>
        <w:t>4</w:t>
      </w:r>
      <w:r w:rsidRPr="00A921E1">
        <w:t xml:space="preserve">. Thus, photoexcitation of the </w:t>
      </w:r>
      <w:proofErr w:type="spellStart"/>
      <w:r w:rsidRPr="00A921E1">
        <w:t>ZnO</w:t>
      </w:r>
      <w:proofErr w:type="spellEnd"/>
      <w:r w:rsidRPr="00A921E1">
        <w:t>/BiVO</w:t>
      </w:r>
      <w:r w:rsidRPr="000A1F88">
        <w:rPr>
          <w:vertAlign w:val="subscript"/>
        </w:rPr>
        <w:t>4</w:t>
      </w:r>
      <w:r w:rsidRPr="00A921E1">
        <w:t xml:space="preserve"> heterostructure of type I does not change the dominating type of the charge carrier at the </w:t>
      </w:r>
      <w:proofErr w:type="spellStart"/>
      <w:r w:rsidRPr="00A921E1">
        <w:t>ZnO</w:t>
      </w:r>
      <w:proofErr w:type="spellEnd"/>
      <w:r w:rsidRPr="00A921E1">
        <w:t xml:space="preserve"> surface.</w:t>
      </w:r>
    </w:p>
    <w:p w14:paraId="488B403A" w14:textId="77777777" w:rsidR="00E422C0" w:rsidRPr="00A921E1" w:rsidRDefault="00E422C0" w:rsidP="007C7039">
      <w:pPr>
        <w:pStyle w:val="MDPI31text"/>
      </w:pPr>
    </w:p>
    <w:tbl>
      <w:tblPr>
        <w:tblW w:w="0" w:type="auto"/>
        <w:jc w:val="center"/>
        <w:tblLook w:val="0000" w:firstRow="0" w:lastRow="0" w:firstColumn="0" w:lastColumn="0" w:noHBand="0" w:noVBand="0"/>
      </w:tblPr>
      <w:tblGrid>
        <w:gridCol w:w="6214"/>
        <w:gridCol w:w="4268"/>
      </w:tblGrid>
      <w:tr w:rsidR="007831D3" w:rsidRPr="00196D5A" w14:paraId="0CD9284E" w14:textId="77777777" w:rsidTr="00400E33">
        <w:trPr>
          <w:jc w:val="center"/>
        </w:trPr>
        <w:tc>
          <w:tcPr>
            <w:tcW w:w="4057" w:type="dxa"/>
            <w:shd w:val="clear" w:color="auto" w:fill="auto"/>
            <w:vAlign w:val="center"/>
          </w:tcPr>
          <w:p w14:paraId="6C5D4FA9" w14:textId="77777777" w:rsidR="007831D3" w:rsidRPr="00196D5A" w:rsidRDefault="00EA7985" w:rsidP="007C7039">
            <w:pPr>
              <w:pStyle w:val="MDPI52figure"/>
              <w:ind w:left="2608"/>
              <w:jc w:val="left"/>
            </w:pPr>
            <w:r>
              <w:rPr>
                <w:rFonts w:ascii="Times New Roman" w:hAnsi="Times New Roman"/>
                <w:noProof/>
                <w:snapToGrid/>
                <w:sz w:val="24"/>
                <w:szCs w:val="24"/>
                <w:lang w:val="ru-RU" w:eastAsia="ru-RU" w:bidi="ar-SA"/>
              </w:rPr>
              <w:drawing>
                <wp:inline distT="0" distB="0" distL="0" distR="0" wp14:anchorId="08468095" wp14:editId="13BF9013">
                  <wp:extent cx="2152759" cy="2368103"/>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153016" cy="2368385"/>
                          </a:xfrm>
                          <a:prstGeom prst="rect">
                            <a:avLst/>
                          </a:prstGeom>
                          <a:noFill/>
                          <a:ln>
                            <a:noFill/>
                          </a:ln>
                        </pic:spPr>
                      </pic:pic>
                    </a:graphicData>
                  </a:graphic>
                </wp:inline>
              </w:drawing>
            </w:r>
            <w:r>
              <w:t xml:space="preserve">     </w:t>
            </w:r>
          </w:p>
        </w:tc>
        <w:tc>
          <w:tcPr>
            <w:tcW w:w="4268" w:type="dxa"/>
          </w:tcPr>
          <w:p w14:paraId="52C5E46E" w14:textId="77777777" w:rsidR="007831D3" w:rsidRPr="00196D5A" w:rsidRDefault="00EA7985" w:rsidP="00400E33">
            <w:pPr>
              <w:pStyle w:val="MDPI52figure"/>
              <w:spacing w:before="0"/>
            </w:pPr>
            <w:r>
              <w:rPr>
                <w:rFonts w:ascii="Times New Roman" w:hAnsi="Times New Roman"/>
                <w:noProof/>
                <w:snapToGrid/>
                <w:sz w:val="24"/>
                <w:szCs w:val="24"/>
                <w:lang w:val="ru-RU" w:eastAsia="ru-RU" w:bidi="ar-SA"/>
              </w:rPr>
              <w:drawing>
                <wp:inline distT="0" distB="0" distL="0" distR="0" wp14:anchorId="3706E85E" wp14:editId="1F0D3238">
                  <wp:extent cx="2131859" cy="2350704"/>
                  <wp:effectExtent l="0" t="0" r="1905"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132000" cy="2350860"/>
                          </a:xfrm>
                          <a:prstGeom prst="rect">
                            <a:avLst/>
                          </a:prstGeom>
                          <a:noFill/>
                          <a:ln>
                            <a:noFill/>
                          </a:ln>
                        </pic:spPr>
                      </pic:pic>
                    </a:graphicData>
                  </a:graphic>
                </wp:inline>
              </w:drawing>
            </w:r>
          </w:p>
        </w:tc>
      </w:tr>
      <w:tr w:rsidR="007831D3" w:rsidRPr="00196D5A" w14:paraId="0D13F08E" w14:textId="77777777" w:rsidTr="00400E33">
        <w:trPr>
          <w:jc w:val="center"/>
        </w:trPr>
        <w:tc>
          <w:tcPr>
            <w:tcW w:w="4057" w:type="dxa"/>
            <w:shd w:val="clear" w:color="auto" w:fill="auto"/>
            <w:vAlign w:val="center"/>
          </w:tcPr>
          <w:p w14:paraId="01EBF1BC" w14:textId="77777777" w:rsidR="007831D3" w:rsidRPr="00196D5A" w:rsidRDefault="007831D3" w:rsidP="00400E33">
            <w:pPr>
              <w:pStyle w:val="MDPI42tablebody"/>
            </w:pPr>
            <w:r w:rsidRPr="00196D5A">
              <w:t>(</w:t>
            </w:r>
            <w:r w:rsidRPr="000011E0">
              <w:rPr>
                <w:b/>
              </w:rPr>
              <w:t>a</w:t>
            </w:r>
            <w:r w:rsidRPr="00196D5A">
              <w:t>)</w:t>
            </w:r>
          </w:p>
        </w:tc>
        <w:tc>
          <w:tcPr>
            <w:tcW w:w="4268" w:type="dxa"/>
          </w:tcPr>
          <w:p w14:paraId="53A57204" w14:textId="77777777" w:rsidR="007831D3" w:rsidRPr="00196D5A" w:rsidRDefault="007831D3" w:rsidP="00400E33">
            <w:pPr>
              <w:pStyle w:val="MDPI42tablebody"/>
            </w:pPr>
            <w:r w:rsidRPr="00196D5A">
              <w:t>(</w:t>
            </w:r>
            <w:r w:rsidRPr="000011E0">
              <w:rPr>
                <w:b/>
              </w:rPr>
              <w:t>b</w:t>
            </w:r>
            <w:r w:rsidRPr="00196D5A">
              <w:t>)</w:t>
            </w:r>
          </w:p>
        </w:tc>
      </w:tr>
    </w:tbl>
    <w:p w14:paraId="51002DAF" w14:textId="536A74EA" w:rsidR="007831D3" w:rsidRDefault="007C7039" w:rsidP="007C7039">
      <w:pPr>
        <w:pStyle w:val="MDPI51figurecaption"/>
        <w:jc w:val="both"/>
      </w:pPr>
      <w:proofErr w:type="gramStart"/>
      <w:r w:rsidRPr="007C7039">
        <w:rPr>
          <w:b/>
        </w:rPr>
        <w:t>Figure 5.</w:t>
      </w:r>
      <w:proofErr w:type="gramEnd"/>
      <w:r w:rsidRPr="007C7039">
        <w:rPr>
          <w:b/>
        </w:rPr>
        <w:t xml:space="preserve"> </w:t>
      </w:r>
      <w:r w:rsidR="002879CA" w:rsidRPr="002879CA">
        <w:t>Schemes of the electron transfer in heterostructured TiO</w:t>
      </w:r>
      <w:r w:rsidR="002879CA" w:rsidRPr="002879CA">
        <w:rPr>
          <w:vertAlign w:val="subscript"/>
        </w:rPr>
        <w:t>2</w:t>
      </w:r>
      <w:r w:rsidR="002879CA" w:rsidRPr="002879CA">
        <w:t>/BiVO</w:t>
      </w:r>
      <w:r w:rsidR="002879CA" w:rsidRPr="002879CA">
        <w:rPr>
          <w:vertAlign w:val="subscript"/>
        </w:rPr>
        <w:t>4</w:t>
      </w:r>
      <w:r w:rsidR="002879CA" w:rsidRPr="002879CA">
        <w:t xml:space="preserve"> coating under UV (</w:t>
      </w:r>
      <w:r w:rsidR="002879CA" w:rsidRPr="002879CA">
        <w:rPr>
          <w:b/>
        </w:rPr>
        <w:t>a</w:t>
      </w:r>
      <w:r w:rsidR="002879CA" w:rsidRPr="002879CA">
        <w:t>) and visible (</w:t>
      </w:r>
      <w:r w:rsidR="002879CA" w:rsidRPr="002879CA">
        <w:rPr>
          <w:b/>
        </w:rPr>
        <w:t>b</w:t>
      </w:r>
      <w:r w:rsidR="002879CA" w:rsidRPr="002879CA">
        <w:t>) light photoexcitation.</w:t>
      </w:r>
    </w:p>
    <w:tbl>
      <w:tblPr>
        <w:tblW w:w="0" w:type="auto"/>
        <w:jc w:val="center"/>
        <w:tblLook w:val="0000" w:firstRow="0" w:lastRow="0" w:firstColumn="0" w:lastColumn="0" w:noHBand="0" w:noVBand="0"/>
      </w:tblPr>
      <w:tblGrid>
        <w:gridCol w:w="6217"/>
        <w:gridCol w:w="4268"/>
      </w:tblGrid>
      <w:tr w:rsidR="007831D3" w:rsidRPr="00196D5A" w14:paraId="24C858AD" w14:textId="77777777" w:rsidTr="00400E33">
        <w:trPr>
          <w:jc w:val="center"/>
        </w:trPr>
        <w:tc>
          <w:tcPr>
            <w:tcW w:w="4057" w:type="dxa"/>
            <w:shd w:val="clear" w:color="auto" w:fill="auto"/>
            <w:vAlign w:val="center"/>
          </w:tcPr>
          <w:p w14:paraId="1351A69D" w14:textId="77777777" w:rsidR="007831D3" w:rsidRPr="00196D5A" w:rsidRDefault="000F0918" w:rsidP="007C7039">
            <w:pPr>
              <w:pStyle w:val="MDPI52figure"/>
              <w:ind w:left="2608"/>
              <w:jc w:val="left"/>
            </w:pPr>
            <w:r>
              <w:rPr>
                <w:noProof/>
                <w:snapToGrid/>
                <w:lang w:val="ru-RU" w:eastAsia="ru-RU" w:bidi="ar-SA"/>
              </w:rPr>
              <w:drawing>
                <wp:inline distT="0" distB="0" distL="0" distR="0" wp14:anchorId="584C608A" wp14:editId="052071F1">
                  <wp:extent cx="2154555" cy="2696845"/>
                  <wp:effectExtent l="0" t="0" r="0" b="8255"/>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54555" cy="2696845"/>
                          </a:xfrm>
                          <a:prstGeom prst="rect">
                            <a:avLst/>
                          </a:prstGeom>
                          <a:noFill/>
                          <a:ln>
                            <a:noFill/>
                          </a:ln>
                        </pic:spPr>
                      </pic:pic>
                    </a:graphicData>
                  </a:graphic>
                </wp:inline>
              </w:drawing>
            </w:r>
          </w:p>
        </w:tc>
        <w:tc>
          <w:tcPr>
            <w:tcW w:w="4268" w:type="dxa"/>
          </w:tcPr>
          <w:p w14:paraId="3E718A03" w14:textId="77777777" w:rsidR="007831D3" w:rsidRPr="00196D5A" w:rsidRDefault="000F0918" w:rsidP="00400E33">
            <w:pPr>
              <w:pStyle w:val="MDPI52figure"/>
              <w:spacing w:before="0"/>
            </w:pPr>
            <w:r>
              <w:rPr>
                <w:rFonts w:ascii="Times New Roman" w:hAnsi="Times New Roman"/>
                <w:noProof/>
                <w:snapToGrid/>
                <w:sz w:val="24"/>
                <w:szCs w:val="24"/>
                <w:lang w:val="ru-RU" w:eastAsia="ru-RU" w:bidi="ar-SA"/>
              </w:rPr>
              <w:drawing>
                <wp:inline distT="0" distB="0" distL="0" distR="0" wp14:anchorId="48BFDBEE" wp14:editId="036507D7">
                  <wp:extent cx="2211542" cy="2717020"/>
                  <wp:effectExtent l="0" t="0" r="0" b="762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211579" cy="2717065"/>
                          </a:xfrm>
                          <a:prstGeom prst="rect">
                            <a:avLst/>
                          </a:prstGeom>
                          <a:noFill/>
                          <a:ln>
                            <a:noFill/>
                          </a:ln>
                        </pic:spPr>
                      </pic:pic>
                    </a:graphicData>
                  </a:graphic>
                </wp:inline>
              </w:drawing>
            </w:r>
          </w:p>
        </w:tc>
      </w:tr>
      <w:tr w:rsidR="007831D3" w:rsidRPr="00196D5A" w14:paraId="67624A06" w14:textId="77777777" w:rsidTr="00400E33">
        <w:trPr>
          <w:jc w:val="center"/>
        </w:trPr>
        <w:tc>
          <w:tcPr>
            <w:tcW w:w="4057" w:type="dxa"/>
            <w:shd w:val="clear" w:color="auto" w:fill="auto"/>
            <w:vAlign w:val="center"/>
          </w:tcPr>
          <w:p w14:paraId="34FEB88B" w14:textId="77777777" w:rsidR="007831D3" w:rsidRPr="00196D5A" w:rsidRDefault="007831D3" w:rsidP="00400E33">
            <w:pPr>
              <w:pStyle w:val="MDPI42tablebody"/>
            </w:pPr>
            <w:r w:rsidRPr="00196D5A">
              <w:t>(</w:t>
            </w:r>
            <w:r w:rsidRPr="000011E0">
              <w:rPr>
                <w:b/>
              </w:rPr>
              <w:t>a</w:t>
            </w:r>
            <w:r w:rsidRPr="00196D5A">
              <w:t>)</w:t>
            </w:r>
          </w:p>
        </w:tc>
        <w:tc>
          <w:tcPr>
            <w:tcW w:w="4268" w:type="dxa"/>
          </w:tcPr>
          <w:p w14:paraId="2AFA8237" w14:textId="77777777" w:rsidR="007831D3" w:rsidRPr="00196D5A" w:rsidRDefault="007831D3" w:rsidP="00400E33">
            <w:pPr>
              <w:pStyle w:val="MDPI42tablebody"/>
            </w:pPr>
            <w:r w:rsidRPr="00196D5A">
              <w:t>(</w:t>
            </w:r>
            <w:r w:rsidRPr="000011E0">
              <w:rPr>
                <w:b/>
              </w:rPr>
              <w:t>b</w:t>
            </w:r>
            <w:r w:rsidRPr="00196D5A">
              <w:t>)</w:t>
            </w:r>
          </w:p>
        </w:tc>
      </w:tr>
    </w:tbl>
    <w:p w14:paraId="40BEC469" w14:textId="12BF0FC9" w:rsidR="007831D3" w:rsidRPr="00FA04F1" w:rsidRDefault="007C7039" w:rsidP="007C7039">
      <w:pPr>
        <w:pStyle w:val="MDPI51figurecaption"/>
        <w:jc w:val="both"/>
      </w:pPr>
      <w:proofErr w:type="gramStart"/>
      <w:r w:rsidRPr="007C7039">
        <w:rPr>
          <w:b/>
        </w:rPr>
        <w:t>Figure 6.</w:t>
      </w:r>
      <w:proofErr w:type="gramEnd"/>
      <w:r w:rsidRPr="007C7039">
        <w:rPr>
          <w:b/>
        </w:rPr>
        <w:t xml:space="preserve"> </w:t>
      </w:r>
      <w:r w:rsidR="004731A7" w:rsidRPr="004731A7">
        <w:t xml:space="preserve">Schemes of the electron transfer in heterostructured </w:t>
      </w:r>
      <w:proofErr w:type="spellStart"/>
      <w:r w:rsidR="004731A7" w:rsidRPr="004731A7">
        <w:t>ZnO</w:t>
      </w:r>
      <w:proofErr w:type="spellEnd"/>
      <w:r w:rsidR="004731A7" w:rsidRPr="004731A7">
        <w:t>/BiVO</w:t>
      </w:r>
      <w:r w:rsidR="004731A7" w:rsidRPr="004731A7">
        <w:rPr>
          <w:vertAlign w:val="subscript"/>
        </w:rPr>
        <w:t>4</w:t>
      </w:r>
      <w:r w:rsidR="004731A7" w:rsidRPr="004731A7">
        <w:t xml:space="preserve"> coating under UV (</w:t>
      </w:r>
      <w:r w:rsidR="004731A7" w:rsidRPr="004731A7">
        <w:rPr>
          <w:b/>
        </w:rPr>
        <w:t>a</w:t>
      </w:r>
      <w:r w:rsidR="004731A7" w:rsidRPr="004731A7">
        <w:t>) and visible (</w:t>
      </w:r>
      <w:r w:rsidR="004731A7" w:rsidRPr="004731A7">
        <w:rPr>
          <w:b/>
        </w:rPr>
        <w:t>b</w:t>
      </w:r>
      <w:r w:rsidR="004731A7" w:rsidRPr="004731A7">
        <w:t>) light photoexcitation.</w:t>
      </w:r>
    </w:p>
    <w:p w14:paraId="7181D020" w14:textId="77777777" w:rsidR="00CF6109" w:rsidRDefault="00CF6109" w:rsidP="007C7039">
      <w:pPr>
        <w:pStyle w:val="MDPI31text"/>
      </w:pPr>
      <w:r>
        <w:t xml:space="preserve">The difference in charge transfer processes taking place at heterojunctions of type I </w:t>
      </w:r>
      <w:proofErr w:type="spellStart"/>
      <w:r>
        <w:t>ZnO</w:t>
      </w:r>
      <w:proofErr w:type="spellEnd"/>
      <w:r>
        <w:t>/BiVO</w:t>
      </w:r>
      <w:r w:rsidRPr="00CF6109">
        <w:rPr>
          <w:vertAlign w:val="subscript"/>
        </w:rPr>
        <w:t>4</w:t>
      </w:r>
      <w:r>
        <w:t xml:space="preserve"> and type II TiO</w:t>
      </w:r>
      <w:r w:rsidRPr="00CF6109">
        <w:rPr>
          <w:vertAlign w:val="subscript"/>
        </w:rPr>
        <w:t>2</w:t>
      </w:r>
      <w:r>
        <w:t>/BiVO</w:t>
      </w:r>
      <w:r w:rsidRPr="00CF6109">
        <w:rPr>
          <w:vertAlign w:val="subscript"/>
        </w:rPr>
        <w:t>4</w:t>
      </w:r>
      <w:r>
        <w:t xml:space="preserve"> heterostructures explains the difference in the ph</w:t>
      </w:r>
      <w:r>
        <w:t>o</w:t>
      </w:r>
      <w:r>
        <w:t>tostimulated surface hydrophilic behavior of both heterostructures. Accumulation of the holes at the TiO</w:t>
      </w:r>
      <w:r w:rsidRPr="00CF6109">
        <w:rPr>
          <w:vertAlign w:val="subscript"/>
        </w:rPr>
        <w:t>2</w:t>
      </w:r>
      <w:r>
        <w:t xml:space="preserve"> surface due to charge separation at the heterojunction in type II TiO</w:t>
      </w:r>
      <w:r w:rsidRPr="00CF6109">
        <w:rPr>
          <w:vertAlign w:val="subscript"/>
        </w:rPr>
        <w:t>2</w:t>
      </w:r>
      <w:r>
        <w:t>/BiVO</w:t>
      </w:r>
      <w:r w:rsidRPr="00CF6109">
        <w:rPr>
          <w:vertAlign w:val="subscript"/>
        </w:rPr>
        <w:t>4</w:t>
      </w:r>
      <w:r>
        <w:t xml:space="preserve"> heterostructure takes place and results in surface transition to superhydr</w:t>
      </w:r>
      <w:r>
        <w:t>o</w:t>
      </w:r>
      <w:r>
        <w:t xml:space="preserve">philic state under both UV and visible light photoexcitation. However, both UV and visible light photoexcitation of the type I </w:t>
      </w:r>
      <w:proofErr w:type="spellStart"/>
      <w:r>
        <w:t>ZnO</w:t>
      </w:r>
      <w:proofErr w:type="spellEnd"/>
      <w:r>
        <w:t>/BiVO</w:t>
      </w:r>
      <w:r w:rsidRPr="00CF6109">
        <w:rPr>
          <w:vertAlign w:val="subscript"/>
        </w:rPr>
        <w:t>4</w:t>
      </w:r>
      <w:r>
        <w:t xml:space="preserve"> heterostructure does not lead to the interface transfer of either electrons or holes from BiVO</w:t>
      </w:r>
      <w:r w:rsidRPr="00CF6109">
        <w:rPr>
          <w:vertAlign w:val="subscript"/>
        </w:rPr>
        <w:t>4</w:t>
      </w:r>
      <w:r>
        <w:t xml:space="preserve"> to </w:t>
      </w:r>
      <w:proofErr w:type="spellStart"/>
      <w:r>
        <w:t>ZnO</w:t>
      </w:r>
      <w:proofErr w:type="spellEnd"/>
      <w:r>
        <w:t xml:space="preserve"> and therefore, does not change the dominating type of the charge carriers at </w:t>
      </w:r>
      <w:proofErr w:type="spellStart"/>
      <w:r>
        <w:t>ZnO</w:t>
      </w:r>
      <w:proofErr w:type="spellEnd"/>
      <w:r>
        <w:t xml:space="preserve"> surface. Accordingly, the b</w:t>
      </w:r>
      <w:r>
        <w:t>e</w:t>
      </w:r>
      <w:r>
        <w:t xml:space="preserve">havior of </w:t>
      </w:r>
      <w:proofErr w:type="spellStart"/>
      <w:r>
        <w:t>ZnO</w:t>
      </w:r>
      <w:proofErr w:type="spellEnd"/>
      <w:r>
        <w:t xml:space="preserve"> surface in heterostructured coating remains similar to that one observed for the mono-component </w:t>
      </w:r>
      <w:proofErr w:type="spellStart"/>
      <w:r>
        <w:t>ZnO</w:t>
      </w:r>
      <w:proofErr w:type="spellEnd"/>
      <w:r>
        <w:t xml:space="preserve"> surface.</w:t>
      </w:r>
    </w:p>
    <w:p w14:paraId="1C1A4F9E" w14:textId="77777777" w:rsidR="00CF6109" w:rsidRDefault="00CF6109" w:rsidP="007C7039">
      <w:pPr>
        <w:pStyle w:val="MDPI31text"/>
      </w:pPr>
      <w:r>
        <w:t xml:space="preserve">It is wise to mention that photostimulated transition of the coating surface to the superhydrophilic state corresponds to the increase of the work function regardless of the coating structure: either mono-component or heterostructured (see data in Table 3 and Figure 3). This accordance between surface hydrophilicity and work function values can be explained in terms of the interaction between photogenerated holes and surface </w:t>
      </w:r>
      <w:proofErr w:type="spellStart"/>
      <w:r>
        <w:t>h</w:t>
      </w:r>
      <w:r>
        <w:t>y</w:t>
      </w:r>
      <w:r>
        <w:t>droxy</w:t>
      </w:r>
      <w:proofErr w:type="spellEnd"/>
      <w:r>
        <w:t>-hydrated layer that change the surface dipole moment affecting the work function value.</w:t>
      </w:r>
    </w:p>
    <w:p w14:paraId="386D1AC5" w14:textId="2A019764" w:rsidR="00CF6109" w:rsidRDefault="00CF6109" w:rsidP="007C7039">
      <w:pPr>
        <w:pStyle w:val="MDPI31text"/>
      </w:pPr>
      <w:r>
        <w:t>Interaction between photogenerated holes as a dominating type of the charge carr</w:t>
      </w:r>
      <w:r>
        <w:t>i</w:t>
      </w:r>
      <w:r>
        <w:t xml:space="preserve">ers at the surface and </w:t>
      </w:r>
      <w:proofErr w:type="spellStart"/>
      <w:r>
        <w:t>hydroxy</w:t>
      </w:r>
      <w:proofErr w:type="spellEnd"/>
      <w:r>
        <w:t xml:space="preserve">-hydrated multilayers also results in the increase of the surface free energy (see data in Table 4), mainly its polar component. </w:t>
      </w:r>
      <w:r w:rsidR="00F61C3E" w:rsidRPr="001F7CDE">
        <w:t xml:space="preserve">This also indicates that such a reconstruction process occurred in the </w:t>
      </w:r>
      <w:proofErr w:type="spellStart"/>
      <w:r w:rsidR="00F61C3E" w:rsidRPr="001F7CDE">
        <w:t>hydroxy</w:t>
      </w:r>
      <w:proofErr w:type="spellEnd"/>
      <w:r w:rsidR="00F61C3E" w:rsidRPr="001F7CDE">
        <w:t>-hydrated multilayer so that the surface reached a superhydrophilic state.</w:t>
      </w:r>
      <w:r>
        <w:t xml:space="preserve"> Thus, there is a qualitative correlation b</w:t>
      </w:r>
      <w:r>
        <w:t>e</w:t>
      </w:r>
      <w:r>
        <w:t>tween work function, surface free energy and surface hydrophilicity.</w:t>
      </w:r>
    </w:p>
    <w:p w14:paraId="070D4176" w14:textId="0F8970E2" w:rsidR="00E52031" w:rsidRDefault="00CF6109" w:rsidP="007C7039">
      <w:pPr>
        <w:pStyle w:val="MDPI31text"/>
      </w:pPr>
      <w:r w:rsidRPr="001F7CDE">
        <w:t xml:space="preserve">It </w:t>
      </w:r>
      <w:r w:rsidR="00316E5E" w:rsidRPr="001F7CDE">
        <w:t xml:space="preserve">is </w:t>
      </w:r>
      <w:r w:rsidRPr="001F7CDE">
        <w:t>also wise to mention that the formation of the heterostructured coatings with type II heterojunctions favorable to hole transfer toward the outer component surface</w:t>
      </w:r>
      <w:r w:rsidR="003444E8" w:rsidRPr="001F7CDE">
        <w:t xml:space="preserve"> (Figure 6b)</w:t>
      </w:r>
      <w:r w:rsidRPr="001F7CDE">
        <w:t>, leads</w:t>
      </w:r>
      <w:r>
        <w:t xml:space="preserve"> to spectral sensitization to visible light of the effect photostimulated superhydrophilicity.</w:t>
      </w:r>
    </w:p>
    <w:p w14:paraId="009395B2" w14:textId="3008429B" w:rsidR="00491E12" w:rsidRPr="00FA04F1" w:rsidRDefault="007C7039" w:rsidP="007C7039">
      <w:pPr>
        <w:pStyle w:val="MDPI21heading1"/>
      </w:pPr>
      <w:r>
        <w:rPr>
          <w:lang w:eastAsia="zh-CN"/>
        </w:rPr>
        <w:t xml:space="preserve">4. </w:t>
      </w:r>
      <w:r w:rsidR="00491E12" w:rsidRPr="00FA04F1">
        <w:t>Materials and Methods</w:t>
      </w:r>
    </w:p>
    <w:p w14:paraId="38E271A1" w14:textId="2E22051B" w:rsidR="002D546A" w:rsidRPr="002D546A" w:rsidRDefault="002D546A" w:rsidP="007C7039">
      <w:pPr>
        <w:pStyle w:val="MDPI31text"/>
        <w:rPr>
          <w:b/>
        </w:rPr>
      </w:pPr>
      <w:r w:rsidRPr="001F7CDE">
        <w:t>The individual TiO</w:t>
      </w:r>
      <w:r w:rsidRPr="001F7CDE">
        <w:rPr>
          <w:vertAlign w:val="subscript"/>
        </w:rPr>
        <w:t>2</w:t>
      </w:r>
      <w:r w:rsidRPr="001F7CDE">
        <w:t xml:space="preserve"> and </w:t>
      </w:r>
      <w:proofErr w:type="spellStart"/>
      <w:r w:rsidRPr="001F7CDE">
        <w:t>ZnO</w:t>
      </w:r>
      <w:proofErr w:type="spellEnd"/>
      <w:r w:rsidRPr="001F7CDE">
        <w:t xml:space="preserve"> films were </w:t>
      </w:r>
      <w:r w:rsidR="00504592" w:rsidRPr="001F7CDE">
        <w:t xml:space="preserve">prepared from their </w:t>
      </w:r>
      <w:r w:rsidR="00A109C9" w:rsidRPr="001F7CDE">
        <w:t xml:space="preserve">individual </w:t>
      </w:r>
      <w:r w:rsidR="00504592" w:rsidRPr="001F7CDE">
        <w:t xml:space="preserve">sols using </w:t>
      </w:r>
      <w:r w:rsidR="00A109C9" w:rsidRPr="001F7CDE">
        <w:t xml:space="preserve">a </w:t>
      </w:r>
      <w:r w:rsidRPr="001F7CDE">
        <w:t>dip coating method (</w:t>
      </w:r>
      <w:r w:rsidR="00504592" w:rsidRPr="001F7CDE">
        <w:t xml:space="preserve">KSV </w:t>
      </w:r>
      <w:proofErr w:type="spellStart"/>
      <w:r w:rsidR="00504592" w:rsidRPr="001F7CDE">
        <w:t>Nima</w:t>
      </w:r>
      <w:proofErr w:type="spellEnd"/>
      <w:r w:rsidR="00504592" w:rsidRPr="001F7CDE">
        <w:t xml:space="preserve"> dip coater, Finland). All films studied were deposited on</w:t>
      </w:r>
      <w:r w:rsidRPr="001F7CDE">
        <w:t xml:space="preserve"> SiO</w:t>
      </w:r>
      <w:r w:rsidRPr="001F7CDE">
        <w:rPr>
          <w:vertAlign w:val="subscript"/>
        </w:rPr>
        <w:t>2</w:t>
      </w:r>
      <w:r w:rsidRPr="001F7CDE">
        <w:t>-coated glass substrates to prevent the diffusion of sodium ions from the glass during its thermal treatment</w:t>
      </w:r>
      <w:r w:rsidR="00504592" w:rsidRPr="001F7CDE">
        <w:t xml:space="preserve"> [</w:t>
      </w:r>
      <w:r w:rsidR="004178A3" w:rsidRPr="001F7CDE">
        <w:t>3</w:t>
      </w:r>
      <w:r w:rsidR="000C0A35" w:rsidRPr="001F7CDE">
        <w:t>7</w:t>
      </w:r>
      <w:r w:rsidR="004178A3" w:rsidRPr="001F7CDE">
        <w:t>, 3</w:t>
      </w:r>
      <w:r w:rsidR="000C0A35" w:rsidRPr="001F7CDE">
        <w:t>8</w:t>
      </w:r>
      <w:r w:rsidR="00504592" w:rsidRPr="001F7CDE">
        <w:t>]</w:t>
      </w:r>
      <w:r w:rsidRPr="001F7CDE">
        <w:t>.</w:t>
      </w:r>
      <w:r w:rsidRPr="002D546A">
        <w:t xml:space="preserve">  </w:t>
      </w:r>
    </w:p>
    <w:p w14:paraId="622E0E85" w14:textId="334D6936" w:rsidR="002D546A" w:rsidRPr="001F7CDE" w:rsidRDefault="00E52031" w:rsidP="007C7039">
      <w:pPr>
        <w:pStyle w:val="MDPI31text"/>
        <w:rPr>
          <w:b/>
        </w:rPr>
      </w:pPr>
      <w:r w:rsidRPr="001F7CDE">
        <w:t>To prepare</w:t>
      </w:r>
      <w:r w:rsidR="002D546A" w:rsidRPr="001F7CDE">
        <w:t xml:space="preserve"> titanium dioxide sol, 40 ml of titanium (IV) </w:t>
      </w:r>
      <w:proofErr w:type="spellStart"/>
      <w:r w:rsidR="002D546A" w:rsidRPr="001F7CDE">
        <w:t>isopropoxide</w:t>
      </w:r>
      <w:proofErr w:type="spellEnd"/>
      <w:r w:rsidR="002D546A" w:rsidRPr="001F7CDE">
        <w:t xml:space="preserve"> (99.999%, Sigma Aldrich) was added to 120 ml of isopropanol (99.8%, Ecos-1) and intensively stirred for 2 hours at room temperature. The velocity of withdrawing from solution was 50 mm/min. The deposited thin TiO</w:t>
      </w:r>
      <w:r w:rsidR="002D546A" w:rsidRPr="001F7CDE">
        <w:rPr>
          <w:vertAlign w:val="subscript"/>
        </w:rPr>
        <w:t>2</w:t>
      </w:r>
      <w:r w:rsidR="002D546A" w:rsidRPr="001F7CDE">
        <w:t xml:space="preserve"> layers were annealed at 450</w:t>
      </w:r>
      <w:r w:rsidR="002D546A" w:rsidRPr="001F7CDE">
        <w:rPr>
          <w:vertAlign w:val="superscript"/>
        </w:rPr>
        <w:t>o</w:t>
      </w:r>
      <w:r w:rsidR="002D546A" w:rsidRPr="001F7CDE">
        <w:t>C for 1 hour in ambient atmosphere</w:t>
      </w:r>
      <w:r w:rsidR="00920B4C" w:rsidRPr="001F7CDE">
        <w:t xml:space="preserve"> [</w:t>
      </w:r>
      <w:r w:rsidR="00453DB8" w:rsidRPr="001F7CDE">
        <w:t>39</w:t>
      </w:r>
      <w:r w:rsidR="00920B4C" w:rsidRPr="001F7CDE">
        <w:t>]</w:t>
      </w:r>
      <w:r w:rsidR="002D546A" w:rsidRPr="001F7CDE">
        <w:t>.</w:t>
      </w:r>
    </w:p>
    <w:p w14:paraId="1BEFF23D" w14:textId="29B4C9AE" w:rsidR="002D546A" w:rsidRPr="002D546A" w:rsidRDefault="002D546A" w:rsidP="007C7039">
      <w:pPr>
        <w:pStyle w:val="MDPI31text"/>
        <w:rPr>
          <w:b/>
        </w:rPr>
      </w:pPr>
      <w:r w:rsidRPr="001F7CDE">
        <w:t xml:space="preserve">For the zinc oxide sol, 2.5 ml of ethylene glycol (99.5%, </w:t>
      </w:r>
      <w:proofErr w:type="spellStart"/>
      <w:r w:rsidRPr="001F7CDE">
        <w:t>LenReactiv</w:t>
      </w:r>
      <w:proofErr w:type="spellEnd"/>
      <w:r w:rsidRPr="001F7CDE">
        <w:t>) and 10 g of zinc acetate dihydrate Zn(</w:t>
      </w:r>
      <w:proofErr w:type="spellStart"/>
      <w:r w:rsidRPr="001F7CDE">
        <w:t>OAc</w:t>
      </w:r>
      <w:proofErr w:type="spellEnd"/>
      <w:r w:rsidRPr="001F7CDE">
        <w:t>)</w:t>
      </w:r>
      <w:r w:rsidRPr="001F7CDE">
        <w:rPr>
          <w:vertAlign w:val="subscript"/>
        </w:rPr>
        <w:t>2</w:t>
      </w:r>
      <w:r w:rsidR="00D343FB" w:rsidRPr="001F7CDE">
        <w:t>·</w:t>
      </w:r>
      <w:r w:rsidRPr="001F7CDE">
        <w:t>2H</w:t>
      </w:r>
      <w:r w:rsidRPr="001F7CDE">
        <w:rPr>
          <w:vertAlign w:val="subscript"/>
        </w:rPr>
        <w:t>2</w:t>
      </w:r>
      <w:r w:rsidRPr="001F7CDE">
        <w:t xml:space="preserve">O (99.0%, </w:t>
      </w:r>
      <w:proofErr w:type="spellStart"/>
      <w:r w:rsidRPr="001F7CDE">
        <w:t>Vekton</w:t>
      </w:r>
      <w:proofErr w:type="spellEnd"/>
      <w:r w:rsidRPr="001F7CDE">
        <w:t xml:space="preserve">) were mixed in a round-bottomed flask and heated at 70°C for 15 min to obtain a uniform transparent mixture. After cooling to room temperature, 150 ml of isopropanol (99.8%, Ecos-1) and 6.4 ml of </w:t>
      </w:r>
      <w:proofErr w:type="spellStart"/>
      <w:r w:rsidRPr="001F7CDE">
        <w:t>triethylamine</w:t>
      </w:r>
      <w:proofErr w:type="spellEnd"/>
      <w:r w:rsidRPr="001F7CDE">
        <w:t xml:space="preserve"> (99.5%, </w:t>
      </w:r>
      <w:proofErr w:type="spellStart"/>
      <w:r w:rsidRPr="001F7CDE">
        <w:t>PanReac</w:t>
      </w:r>
      <w:proofErr w:type="spellEnd"/>
      <w:r w:rsidRPr="001F7CDE">
        <w:t xml:space="preserve"> AppliChem) were added to the mixture to promote the hydrolysis of the zinc acetate</w:t>
      </w:r>
      <w:r w:rsidR="00920B4C" w:rsidRPr="001F7CDE">
        <w:t xml:space="preserve"> [</w:t>
      </w:r>
      <w:r w:rsidR="00453DB8" w:rsidRPr="001F7CDE">
        <w:t>24</w:t>
      </w:r>
      <w:r w:rsidR="00920B4C" w:rsidRPr="001F7CDE">
        <w:t>]</w:t>
      </w:r>
      <w:r w:rsidRPr="001F7CDE">
        <w:t>. To</w:t>
      </w:r>
      <w:r w:rsidRPr="002D546A">
        <w:t xml:space="preserve"> improve the quality of the film, 0.5 ml of glycerol (99.5%, </w:t>
      </w:r>
      <w:proofErr w:type="spellStart"/>
      <w:r w:rsidRPr="002D546A">
        <w:t>LenReactiv</w:t>
      </w:r>
      <w:proofErr w:type="spellEnd"/>
      <w:r w:rsidRPr="002D546A">
        <w:t xml:space="preserve">) was added dropwise. The obtained clear and homogeneous solution previously stirred at 60°C for 1 hour remains to age for 24 hours at room temperature. Thin </w:t>
      </w:r>
      <w:proofErr w:type="spellStart"/>
      <w:r w:rsidRPr="002D546A">
        <w:t>ZnO</w:t>
      </w:r>
      <w:proofErr w:type="spellEnd"/>
      <w:r w:rsidRPr="002D546A">
        <w:t xml:space="preserve"> films were obtained by two dips in the solution at a withdrawal rate of 100 mm/min and with i</w:t>
      </w:r>
      <w:r w:rsidRPr="002D546A">
        <w:t>n</w:t>
      </w:r>
      <w:r w:rsidRPr="002D546A">
        <w:t>termediate drying at 100</w:t>
      </w:r>
      <w:r w:rsidRPr="00CA4D68">
        <w:rPr>
          <w:vertAlign w:val="superscript"/>
        </w:rPr>
        <w:t>o</w:t>
      </w:r>
      <w:r w:rsidRPr="002D546A">
        <w:t>C for 15 minutes. Then films were annealed at 300</w:t>
      </w:r>
      <w:r w:rsidRPr="00CA4D68">
        <w:rPr>
          <w:vertAlign w:val="superscript"/>
        </w:rPr>
        <w:t>o</w:t>
      </w:r>
      <w:r w:rsidRPr="002D546A">
        <w:t>C for 1 hour in ambient atmosphere.</w:t>
      </w:r>
    </w:p>
    <w:p w14:paraId="3B36C0FE" w14:textId="3AC23D02" w:rsidR="00A33E22" w:rsidRDefault="002D546A" w:rsidP="007C7039">
      <w:pPr>
        <w:pStyle w:val="MDPI31text"/>
      </w:pPr>
      <w:r w:rsidRPr="002D546A">
        <w:t>The BiVO</w:t>
      </w:r>
      <w:r w:rsidRPr="00D343FB">
        <w:rPr>
          <w:vertAlign w:val="subscript"/>
        </w:rPr>
        <w:t>4</w:t>
      </w:r>
      <w:r w:rsidRPr="002D546A">
        <w:t xml:space="preserve"> films were deposited on SiO</w:t>
      </w:r>
      <w:r w:rsidRPr="00D343FB">
        <w:rPr>
          <w:vertAlign w:val="subscript"/>
        </w:rPr>
        <w:t>2</w:t>
      </w:r>
      <w:r w:rsidRPr="002D546A">
        <w:t xml:space="preserve">-coated glass substrates by drop-casting method using precursor solution. For preparation of the precursor solution, 0.5 </w:t>
      </w:r>
      <w:proofErr w:type="spellStart"/>
      <w:r w:rsidRPr="002D546A">
        <w:t>mmol</w:t>
      </w:r>
      <w:proofErr w:type="spellEnd"/>
      <w:r w:rsidRPr="002D546A">
        <w:t xml:space="preserve"> bismuth nitrate pentahydrate Bi(NO</w:t>
      </w:r>
      <w:r w:rsidRPr="00D343FB">
        <w:rPr>
          <w:vertAlign w:val="subscript"/>
        </w:rPr>
        <w:t>3</w:t>
      </w:r>
      <w:r w:rsidRPr="002D546A">
        <w:t>)</w:t>
      </w:r>
      <w:r w:rsidRPr="00D343FB">
        <w:rPr>
          <w:vertAlign w:val="subscript"/>
        </w:rPr>
        <w:t>3</w:t>
      </w:r>
      <w:r w:rsidRPr="002D546A">
        <w:t>·5H</w:t>
      </w:r>
      <w:r w:rsidRPr="00D343FB">
        <w:rPr>
          <w:vertAlign w:val="subscript"/>
        </w:rPr>
        <w:t>2</w:t>
      </w:r>
      <w:r w:rsidRPr="002D546A">
        <w:t xml:space="preserve">O (99%, </w:t>
      </w:r>
      <w:proofErr w:type="spellStart"/>
      <w:r w:rsidRPr="002D546A">
        <w:t>Chemcraft</w:t>
      </w:r>
      <w:proofErr w:type="spellEnd"/>
      <w:r w:rsidRPr="002D546A">
        <w:t xml:space="preserve">) and 0.46 </w:t>
      </w:r>
      <w:proofErr w:type="spellStart"/>
      <w:r w:rsidRPr="002D546A">
        <w:t>mmol</w:t>
      </w:r>
      <w:proofErr w:type="spellEnd"/>
      <w:r w:rsidRPr="002D546A">
        <w:t xml:space="preserve"> </w:t>
      </w:r>
      <w:proofErr w:type="spellStart"/>
      <w:r w:rsidRPr="002D546A">
        <w:t>vanadyl</w:t>
      </w:r>
      <w:proofErr w:type="spellEnd"/>
      <w:r w:rsidRPr="002D546A">
        <w:t xml:space="preserve"> </w:t>
      </w:r>
      <w:proofErr w:type="spellStart"/>
      <w:r w:rsidRPr="002D546A">
        <w:t>acetylacet</w:t>
      </w:r>
      <w:r w:rsidRPr="002D546A">
        <w:rPr>
          <w:rFonts w:hint="eastAsia"/>
        </w:rPr>
        <w:t>onate</w:t>
      </w:r>
      <w:proofErr w:type="spellEnd"/>
      <w:r w:rsidRPr="002D546A">
        <w:rPr>
          <w:rFonts w:hint="eastAsia"/>
        </w:rPr>
        <w:t xml:space="preserve"> VO(C</w:t>
      </w:r>
      <w:r w:rsidRPr="00B73C33">
        <w:rPr>
          <w:rFonts w:hint="eastAsia"/>
          <w:vertAlign w:val="subscript"/>
        </w:rPr>
        <w:t>5</w:t>
      </w:r>
      <w:r w:rsidRPr="002D546A">
        <w:rPr>
          <w:rFonts w:hint="eastAsia"/>
        </w:rPr>
        <w:t>H</w:t>
      </w:r>
      <w:r w:rsidRPr="00B73C33">
        <w:rPr>
          <w:rFonts w:hint="eastAsia"/>
          <w:vertAlign w:val="subscript"/>
        </w:rPr>
        <w:t>7</w:t>
      </w:r>
      <w:r w:rsidRPr="002D546A">
        <w:rPr>
          <w:rFonts w:hint="eastAsia"/>
        </w:rPr>
        <w:t>O</w:t>
      </w:r>
      <w:r w:rsidRPr="00B73C33">
        <w:rPr>
          <w:rFonts w:hint="eastAsia"/>
          <w:vertAlign w:val="subscript"/>
        </w:rPr>
        <w:t>2</w:t>
      </w:r>
      <w:r w:rsidRPr="002D546A">
        <w:rPr>
          <w:rFonts w:hint="eastAsia"/>
        </w:rPr>
        <w:t>)</w:t>
      </w:r>
      <w:r w:rsidRPr="00B73C33">
        <w:rPr>
          <w:rFonts w:hint="eastAsia"/>
          <w:vertAlign w:val="subscript"/>
        </w:rPr>
        <w:t>2</w:t>
      </w:r>
      <w:r w:rsidRPr="002D546A">
        <w:rPr>
          <w:rFonts w:hint="eastAsia"/>
        </w:rPr>
        <w:t xml:space="preserve"> (98%, Sigma Aldrich) were dissolved in a mixture of 5 ml glacial acetic acid (≥99%, </w:t>
      </w:r>
      <w:proofErr w:type="spellStart"/>
      <w:r w:rsidRPr="002D546A">
        <w:rPr>
          <w:rFonts w:hint="eastAsia"/>
        </w:rPr>
        <w:t>LenReactiv</w:t>
      </w:r>
      <w:proofErr w:type="spellEnd"/>
      <w:r w:rsidRPr="002D546A">
        <w:rPr>
          <w:rFonts w:hint="eastAsia"/>
        </w:rPr>
        <w:t xml:space="preserve">) and 0.25 ml acetylacetone (99%, </w:t>
      </w:r>
      <w:proofErr w:type="spellStart"/>
      <w:r w:rsidRPr="002D546A">
        <w:rPr>
          <w:rFonts w:hint="eastAsia"/>
        </w:rPr>
        <w:t>AlfaAesar</w:t>
      </w:r>
      <w:proofErr w:type="spellEnd"/>
      <w:r w:rsidRPr="002D546A">
        <w:rPr>
          <w:rFonts w:hint="eastAsia"/>
        </w:rPr>
        <w:t xml:space="preserve">) with constant stirring for 1 hour. The solution was drop-cast onto the glass substrates (7.5 </w:t>
      </w:r>
      <w:proofErr w:type="spellStart"/>
      <w:r w:rsidRPr="002D546A">
        <w:rPr>
          <w:rFonts w:hint="eastAsia"/>
        </w:rPr>
        <w:t>μL</w:t>
      </w:r>
      <w:proofErr w:type="spellEnd"/>
      <w:r w:rsidRPr="002D546A">
        <w:rPr>
          <w:rFonts w:hint="eastAsia"/>
        </w:rPr>
        <w:t xml:space="preserve"> per</w:t>
      </w:r>
      <w:r w:rsidRPr="002D546A">
        <w:t xml:space="preserve"> cm</w:t>
      </w:r>
      <w:r w:rsidRPr="00412645">
        <w:rPr>
          <w:vertAlign w:val="superscript"/>
        </w:rPr>
        <w:t>2</w:t>
      </w:r>
      <w:r w:rsidRPr="002D546A">
        <w:t>). The samples were then dried at 80°C for 30 min in a vacuum drying oven and finally annealed in a muffle furnace at 450°C for 1 hour under ambient conditions.</w:t>
      </w:r>
      <w:r w:rsidR="00A33E22">
        <w:t xml:space="preserve"> </w:t>
      </w:r>
    </w:p>
    <w:p w14:paraId="25324936" w14:textId="77777777" w:rsidR="005E363E" w:rsidRDefault="002D546A" w:rsidP="007C7039">
      <w:pPr>
        <w:pStyle w:val="MDPI31text"/>
      </w:pPr>
      <w:r w:rsidRPr="002D546A">
        <w:t>The “layer-by-layer” TiO</w:t>
      </w:r>
      <w:r w:rsidRPr="00412645">
        <w:rPr>
          <w:vertAlign w:val="subscript"/>
        </w:rPr>
        <w:t>2</w:t>
      </w:r>
      <w:r w:rsidRPr="002D546A">
        <w:t>/BiVO</w:t>
      </w:r>
      <w:r w:rsidRPr="00412645">
        <w:rPr>
          <w:vertAlign w:val="subscript"/>
        </w:rPr>
        <w:t>4</w:t>
      </w:r>
      <w:r w:rsidRPr="002D546A">
        <w:t xml:space="preserve"> and </w:t>
      </w:r>
      <w:proofErr w:type="spellStart"/>
      <w:r w:rsidRPr="002D546A">
        <w:t>ZnO</w:t>
      </w:r>
      <w:proofErr w:type="spellEnd"/>
      <w:r w:rsidRPr="002D546A">
        <w:t>/BiVO</w:t>
      </w:r>
      <w:r w:rsidRPr="00412645">
        <w:rPr>
          <w:vertAlign w:val="subscript"/>
        </w:rPr>
        <w:t>4</w:t>
      </w:r>
      <w:r w:rsidRPr="002D546A">
        <w:t xml:space="preserve"> heterosystems were formed by deposition of TiO</w:t>
      </w:r>
      <w:r w:rsidRPr="00412645">
        <w:rPr>
          <w:vertAlign w:val="subscript"/>
        </w:rPr>
        <w:t>2</w:t>
      </w:r>
      <w:r w:rsidRPr="002D546A">
        <w:t xml:space="preserve"> and </w:t>
      </w:r>
      <w:proofErr w:type="spellStart"/>
      <w:r w:rsidRPr="002D546A">
        <w:t>ZnO</w:t>
      </w:r>
      <w:proofErr w:type="spellEnd"/>
      <w:r w:rsidRPr="002D546A">
        <w:t xml:space="preserve"> layers, respectively, on a thin BiVO</w:t>
      </w:r>
      <w:r w:rsidRPr="00412645">
        <w:rPr>
          <w:vertAlign w:val="subscript"/>
        </w:rPr>
        <w:t>4</w:t>
      </w:r>
      <w:r w:rsidRPr="002D546A">
        <w:t xml:space="preserve"> film by methods d</w:t>
      </w:r>
      <w:r w:rsidRPr="002D546A">
        <w:t>e</w:t>
      </w:r>
      <w:r w:rsidRPr="002D546A">
        <w:t xml:space="preserve">scribed above. </w:t>
      </w:r>
      <w:r w:rsidR="00A13407" w:rsidRPr="001F7CDE">
        <w:t>To demonstrate the 100% coverage of the BiVO</w:t>
      </w:r>
      <w:r w:rsidR="00A13407" w:rsidRPr="001F7CDE">
        <w:rPr>
          <w:vertAlign w:val="subscript"/>
        </w:rPr>
        <w:t>4</w:t>
      </w:r>
      <w:r w:rsidR="00A13407" w:rsidRPr="001F7CDE">
        <w:t xml:space="preserve"> layer with TiO</w:t>
      </w:r>
      <w:r w:rsidR="00A13407" w:rsidRPr="001F7CDE">
        <w:rPr>
          <w:vertAlign w:val="subscript"/>
        </w:rPr>
        <w:t>2</w:t>
      </w:r>
      <w:r w:rsidR="00A13407" w:rsidRPr="001F7CDE">
        <w:t xml:space="preserve"> or </w:t>
      </w:r>
      <w:proofErr w:type="spellStart"/>
      <w:r w:rsidR="00A13407" w:rsidRPr="001F7CDE">
        <w:t>ZnO</w:t>
      </w:r>
      <w:proofErr w:type="spellEnd"/>
      <w:r w:rsidR="00A13407" w:rsidRPr="001F7CDE">
        <w:t xml:space="preserve"> layers, the survey XPS spectra of the heterostructured coatings as well as BiVO4 film for comparison are presented in the Supplementary Materials section (Figure S8). No peaks related to BiVO</w:t>
      </w:r>
      <w:r w:rsidR="00A13407" w:rsidRPr="001F7CDE">
        <w:rPr>
          <w:vertAlign w:val="subscript"/>
        </w:rPr>
        <w:t>4</w:t>
      </w:r>
      <w:r w:rsidR="00A13407" w:rsidRPr="001F7CDE">
        <w:t xml:space="preserve"> were found there.</w:t>
      </w:r>
    </w:p>
    <w:p w14:paraId="55BC5CFA" w14:textId="152F727D" w:rsidR="002D546A" w:rsidRPr="002D546A" w:rsidRDefault="002D546A" w:rsidP="007C7039">
      <w:pPr>
        <w:pStyle w:val="MDPI31text"/>
        <w:rPr>
          <w:b/>
        </w:rPr>
      </w:pPr>
      <w:r w:rsidRPr="002D546A">
        <w:t>As a result, mono-component TiO</w:t>
      </w:r>
      <w:r w:rsidRPr="00412645">
        <w:rPr>
          <w:vertAlign w:val="subscript"/>
        </w:rPr>
        <w:t>2</w:t>
      </w:r>
      <w:r w:rsidRPr="002D546A">
        <w:t xml:space="preserve"> and heterostructured TiO</w:t>
      </w:r>
      <w:r w:rsidRPr="00412645">
        <w:rPr>
          <w:vertAlign w:val="subscript"/>
        </w:rPr>
        <w:t>2</w:t>
      </w:r>
      <w:r w:rsidRPr="002D546A">
        <w:t>/BiVO</w:t>
      </w:r>
      <w:r w:rsidRPr="00412645">
        <w:rPr>
          <w:vertAlign w:val="subscript"/>
        </w:rPr>
        <w:t>4</w:t>
      </w:r>
      <w:r w:rsidRPr="002D546A">
        <w:t xml:space="preserve"> TiO</w:t>
      </w:r>
      <w:r w:rsidRPr="00412645">
        <w:rPr>
          <w:vertAlign w:val="subscript"/>
        </w:rPr>
        <w:t>2</w:t>
      </w:r>
      <w:r w:rsidRPr="002D546A">
        <w:t xml:space="preserve">-topped coatings as well as mono-component </w:t>
      </w:r>
      <w:proofErr w:type="spellStart"/>
      <w:r w:rsidRPr="002D546A">
        <w:t>ZnO</w:t>
      </w:r>
      <w:proofErr w:type="spellEnd"/>
      <w:r w:rsidRPr="002D546A">
        <w:t xml:space="preserve"> and heterostructured </w:t>
      </w:r>
      <w:proofErr w:type="spellStart"/>
      <w:r w:rsidRPr="002D546A">
        <w:t>ZnO</w:t>
      </w:r>
      <w:proofErr w:type="spellEnd"/>
      <w:r w:rsidRPr="002D546A">
        <w:t>/BiVO</w:t>
      </w:r>
      <w:r w:rsidRPr="00412645">
        <w:rPr>
          <w:vertAlign w:val="subscript"/>
        </w:rPr>
        <w:t>4</w:t>
      </w:r>
      <w:r w:rsidRPr="002D546A">
        <w:t xml:space="preserve"> </w:t>
      </w:r>
      <w:proofErr w:type="spellStart"/>
      <w:r w:rsidRPr="002D546A">
        <w:t>ZnO</w:t>
      </w:r>
      <w:proofErr w:type="spellEnd"/>
      <w:r w:rsidRPr="002D546A">
        <w:t>-topped coatings were synthesized and studied in this work.</w:t>
      </w:r>
    </w:p>
    <w:p w14:paraId="3647C8B9" w14:textId="48D1EF32" w:rsidR="002D546A" w:rsidRPr="001F7CDE" w:rsidRDefault="002D546A" w:rsidP="007C7039">
      <w:pPr>
        <w:pStyle w:val="MDPI31text"/>
        <w:rPr>
          <w:b/>
        </w:rPr>
      </w:pPr>
      <w:r w:rsidRPr="001F7CDE">
        <w:t xml:space="preserve">The surface morphology and film thickness of all synthesized films were explored by scanning electron microscopy (Zeiss Supra 40 VP system). The </w:t>
      </w:r>
      <w:r w:rsidR="00422232" w:rsidRPr="001F7CDE">
        <w:t>average roughness (Ra)</w:t>
      </w:r>
      <w:r w:rsidRPr="001F7CDE">
        <w:t xml:space="preserve"> of the film surface was assessed by the AFM method</w:t>
      </w:r>
      <w:r w:rsidR="00422232" w:rsidRPr="001F7CDE">
        <w:t xml:space="preserve"> using NOVA 1.0.26 program</w:t>
      </w:r>
      <w:r w:rsidRPr="001F7CDE">
        <w:t xml:space="preserve">. X-ray diffraction measurements with Bruker «D8 </w:t>
      </w:r>
      <w:r w:rsidRPr="001F7CDE">
        <w:rPr>
          <w:rFonts w:hint="eastAsia"/>
        </w:rPr>
        <w:t>DISCOVER» high-resolution diffractometer (</w:t>
      </w:r>
      <w:proofErr w:type="spellStart"/>
      <w:r w:rsidRPr="001F7CDE">
        <w:rPr>
          <w:rFonts w:hint="eastAsia"/>
        </w:rPr>
        <w:t>CuKa</w:t>
      </w:r>
      <w:proofErr w:type="spellEnd"/>
      <w:r w:rsidRPr="001F7CDE">
        <w:rPr>
          <w:rFonts w:hint="eastAsia"/>
        </w:rPr>
        <w:t xml:space="preserve"> X-ray radiation, within the angle range of 20° ≤ 2θ ≤ 80° with a scanning speed 5.0°/min) were used for the crystal phase determination. Structural reference data were taken from ICSD database. The transmittan</w:t>
      </w:r>
      <w:r w:rsidRPr="001F7CDE">
        <w:t>ce spectra were recorded in the 250-800 nm spectral range at ambient conditions using a Lamb</w:t>
      </w:r>
      <w:bookmarkStart w:id="0" w:name="_GoBack"/>
      <w:bookmarkEnd w:id="0"/>
      <w:r w:rsidRPr="001F7CDE">
        <w:t xml:space="preserve">da 650S spectrophotometer. The XPS spectra were recorded using a </w:t>
      </w:r>
      <w:proofErr w:type="spellStart"/>
      <w:r w:rsidRPr="001F7CDE">
        <w:t>Thermo</w:t>
      </w:r>
      <w:proofErr w:type="spellEnd"/>
      <w:r w:rsidRPr="001F7CDE">
        <w:t xml:space="preserve"> Fisher Scientific </w:t>
      </w:r>
      <w:proofErr w:type="spellStart"/>
      <w:r w:rsidRPr="001F7CDE">
        <w:t>Escalab</w:t>
      </w:r>
      <w:proofErr w:type="spellEnd"/>
      <w:r w:rsidRPr="001F7CDE">
        <w:t xml:space="preserve"> 250Xi spectrometer.</w:t>
      </w:r>
    </w:p>
    <w:p w14:paraId="7AEC3C3E" w14:textId="77777777" w:rsidR="002D546A" w:rsidRPr="001F7CDE" w:rsidRDefault="002D546A" w:rsidP="007C7039">
      <w:pPr>
        <w:pStyle w:val="MDPI31text"/>
        <w:rPr>
          <w:b/>
        </w:rPr>
      </w:pPr>
      <w:r w:rsidRPr="001F7CDE">
        <w:t>Work function measurements were performed with a scanning Kelvin probe system SKP5050 (KP Technology) versus a golden reference probe electrode (probe area 2 mm</w:t>
      </w:r>
      <w:r w:rsidRPr="001F7CDE">
        <w:rPr>
          <w:vertAlign w:val="superscript"/>
        </w:rPr>
        <w:t>2</w:t>
      </w:r>
      <w:r w:rsidRPr="001F7CDE">
        <w:t>). The probe oscillation frequency was 74 Hz, and the backing potential was 7000 mV. Work function values were obtained by averaging 50 data points for five different sites of each sample. The error of the work function (WF) measurements was ±</w:t>
      </w:r>
      <w:r w:rsidR="00D21026" w:rsidRPr="001F7CDE">
        <w:t xml:space="preserve"> </w:t>
      </w:r>
      <w:r w:rsidRPr="001F7CDE">
        <w:t xml:space="preserve">0.02 eV. </w:t>
      </w:r>
    </w:p>
    <w:p w14:paraId="53D00AF6" w14:textId="77777777" w:rsidR="002D546A" w:rsidRPr="001F7CDE" w:rsidRDefault="002D546A" w:rsidP="007C7039">
      <w:pPr>
        <w:pStyle w:val="MDPI31text"/>
        <w:rPr>
          <w:b/>
        </w:rPr>
      </w:pPr>
      <w:r w:rsidRPr="001F7CDE">
        <w:t>The contact angle values were measured using optical tensiometer (</w:t>
      </w:r>
      <w:proofErr w:type="spellStart"/>
      <w:r w:rsidRPr="001F7CDE">
        <w:t>Bioline</w:t>
      </w:r>
      <w:proofErr w:type="spellEnd"/>
      <w:r w:rsidRPr="001F7CDE">
        <w:t xml:space="preserve"> Theta Lite). Ultrapure water has initial pH of 5.5. The error of the water contact angle (WCA) measurements was ±</w:t>
      </w:r>
      <w:r w:rsidR="00D21026" w:rsidRPr="001F7CDE">
        <w:t xml:space="preserve"> </w:t>
      </w:r>
      <w:r w:rsidRPr="001F7CDE">
        <w:t>1.5</w:t>
      </w:r>
      <w:r w:rsidRPr="001F7CDE">
        <w:rPr>
          <w:vertAlign w:val="superscript"/>
        </w:rPr>
        <w:t>o</w:t>
      </w:r>
      <w:r w:rsidRPr="001F7CDE">
        <w:t xml:space="preserve">. </w:t>
      </w:r>
      <w:r w:rsidR="00293E67" w:rsidRPr="001F7CDE">
        <w:t xml:space="preserve">The surface free energy (SFE) </w:t>
      </w:r>
      <w:r w:rsidRPr="001F7CDE">
        <w:t>was calculated by the O</w:t>
      </w:r>
      <w:r w:rsidRPr="001F7CDE">
        <w:t>w</w:t>
      </w:r>
      <w:r w:rsidRPr="001F7CDE">
        <w:t>ens-Wendt-</w:t>
      </w:r>
      <w:proofErr w:type="spellStart"/>
      <w:r w:rsidRPr="001F7CDE">
        <w:t>Rabel</w:t>
      </w:r>
      <w:proofErr w:type="spellEnd"/>
      <w:r w:rsidRPr="001F7CDE">
        <w:t>-</w:t>
      </w:r>
      <w:proofErr w:type="spellStart"/>
      <w:r w:rsidRPr="001F7CDE">
        <w:t>Kaelble</w:t>
      </w:r>
      <w:proofErr w:type="spellEnd"/>
      <w:r w:rsidRPr="001F7CDE">
        <w:t xml:space="preserve"> (OWRK)/</w:t>
      </w:r>
      <w:proofErr w:type="spellStart"/>
      <w:r w:rsidRPr="001F7CDE">
        <w:t>Fowkes</w:t>
      </w:r>
      <w:proofErr w:type="spellEnd"/>
      <w:r w:rsidRPr="001F7CDE">
        <w:t xml:space="preserve"> approach using the two-liquid method (w</w:t>
      </w:r>
      <w:r w:rsidRPr="001F7CDE">
        <w:t>a</w:t>
      </w:r>
      <w:r w:rsidRPr="001F7CDE">
        <w:t>ter contact angle versus methylene iodide contact angle)</w:t>
      </w:r>
      <w:r w:rsidR="001A43CB" w:rsidRPr="001F7CDE">
        <w:t xml:space="preserve"> </w:t>
      </w:r>
      <w:r w:rsidRPr="001F7CDE">
        <w:t>[</w:t>
      </w:r>
      <w:r w:rsidR="00136DD1" w:rsidRPr="001F7CDE">
        <w:t>24</w:t>
      </w:r>
      <w:r w:rsidRPr="001F7CDE">
        <w:t>]</w:t>
      </w:r>
      <w:r w:rsidR="001A43CB" w:rsidRPr="001F7CDE">
        <w:t>.</w:t>
      </w:r>
    </w:p>
    <w:p w14:paraId="6F4163B2" w14:textId="03BE1D9A" w:rsidR="002D546A" w:rsidRPr="001F7CDE" w:rsidRDefault="002D546A" w:rsidP="007C7039">
      <w:pPr>
        <w:pStyle w:val="MDPI31text"/>
        <w:rPr>
          <w:b/>
        </w:rPr>
      </w:pPr>
      <w:r w:rsidRPr="001F7CDE">
        <w:t xml:space="preserve">The work function and contact angle values were measured after each step of </w:t>
      </w:r>
      <w:r w:rsidR="00F6639A" w:rsidRPr="001F7CDE">
        <w:t xml:space="preserve">the </w:t>
      </w:r>
      <w:r w:rsidRPr="001F7CDE">
        <w:t>following surface pretreatment procedure. After annealing at 300</w:t>
      </w:r>
      <w:r w:rsidRPr="001F7CDE">
        <w:rPr>
          <w:vertAlign w:val="superscript"/>
        </w:rPr>
        <w:t>o</w:t>
      </w:r>
      <w:r w:rsidRPr="001F7CDE">
        <w:t xml:space="preserve">C for 30 minutes, the state of the film surface is designated as “as prepared”. After </w:t>
      </w:r>
      <w:r w:rsidR="00F6639A" w:rsidRPr="001F7CDE">
        <w:t xml:space="preserve">the </w:t>
      </w:r>
      <w:r w:rsidRPr="001F7CDE">
        <w:t xml:space="preserve">storage in the dark in the </w:t>
      </w:r>
      <w:r w:rsidR="00F6639A" w:rsidRPr="001F7CDE">
        <w:t>humid atmosphere</w:t>
      </w:r>
      <w:r w:rsidRPr="001F7CDE">
        <w:t xml:space="preserve"> for 10 days, the surface state is </w:t>
      </w:r>
      <w:r w:rsidR="00F6639A" w:rsidRPr="001F7CDE">
        <w:t>denoted</w:t>
      </w:r>
      <w:r w:rsidRPr="001F7CDE">
        <w:t xml:space="preserve"> as “wetted”. The third step was to irradiate the film with UV or visible light, and the </w:t>
      </w:r>
      <w:r w:rsidR="00F6639A" w:rsidRPr="001F7CDE">
        <w:t xml:space="preserve">corresponding </w:t>
      </w:r>
      <w:r w:rsidRPr="001F7CDE">
        <w:t>surface state</w:t>
      </w:r>
      <w:r w:rsidR="00F6639A" w:rsidRPr="001F7CDE">
        <w:t>s</w:t>
      </w:r>
      <w:r w:rsidRPr="001F7CDE">
        <w:t xml:space="preserve"> </w:t>
      </w:r>
      <w:r w:rsidR="00F6639A" w:rsidRPr="001F7CDE">
        <w:t>are</w:t>
      </w:r>
      <w:r w:rsidRPr="001F7CDE">
        <w:t xml:space="preserve"> referred to as “UV-irradiated” or “Vis-irradiated”, respectively.</w:t>
      </w:r>
    </w:p>
    <w:p w14:paraId="3A9A85D2" w14:textId="772005F5" w:rsidR="002D546A" w:rsidRDefault="002D546A" w:rsidP="007C7039">
      <w:pPr>
        <w:pStyle w:val="MDPI31text"/>
        <w:rPr>
          <w:b/>
        </w:rPr>
      </w:pPr>
      <w:r w:rsidRPr="001F7CDE">
        <w:t xml:space="preserve">The irradiation of the films by UV or visible light was carried out using Xenon lamp (LOMO) equipped with a water filter and </w:t>
      </w:r>
      <w:r w:rsidR="00F6639A" w:rsidRPr="001F7CDE">
        <w:t xml:space="preserve">either </w:t>
      </w:r>
      <w:r w:rsidRPr="001F7CDE">
        <w:t>UV band-pass or Vis cut-off color filter. The transmittance spectra of employed filters are presented in the Supplementary Mat</w:t>
      </w:r>
      <w:r w:rsidRPr="001F7CDE">
        <w:t>e</w:t>
      </w:r>
      <w:r w:rsidRPr="001F7CDE">
        <w:t>rials section (Figure S</w:t>
      </w:r>
      <w:r w:rsidR="00163BBA" w:rsidRPr="001F7CDE">
        <w:t>9</w:t>
      </w:r>
      <w:r w:rsidRPr="001F7CDE">
        <w:t xml:space="preserve">). </w:t>
      </w:r>
      <w:r w:rsidR="00F6639A" w:rsidRPr="001F7CDE">
        <w:t>T</w:t>
      </w:r>
      <w:r w:rsidRPr="001F7CDE">
        <w:t xml:space="preserve">he irradiance </w:t>
      </w:r>
      <w:r w:rsidR="00F6639A" w:rsidRPr="001F7CDE">
        <w:t xml:space="preserve">of UV irradiation </w:t>
      </w:r>
      <w:r w:rsidRPr="001F7CDE">
        <w:t xml:space="preserve">was </w:t>
      </w:r>
      <w:proofErr w:type="gramStart"/>
      <w:r w:rsidRPr="001F7CDE">
        <w:t xml:space="preserve">15.0 </w:t>
      </w:r>
      <w:proofErr w:type="spellStart"/>
      <w:r w:rsidRPr="001F7CDE">
        <w:t>mW</w:t>
      </w:r>
      <w:proofErr w:type="spellEnd"/>
      <w:r w:rsidRPr="001F7CDE">
        <w:t>/cm</w:t>
      </w:r>
      <w:r w:rsidRPr="001F7CDE">
        <w:rPr>
          <w:vertAlign w:val="superscript"/>
        </w:rPr>
        <w:t>2</w:t>
      </w:r>
      <w:proofErr w:type="gramEnd"/>
      <w:r w:rsidRPr="001F7CDE">
        <w:t xml:space="preserve"> </w:t>
      </w:r>
      <w:r w:rsidR="00F6639A" w:rsidRPr="001F7CDE">
        <w:t>and</w:t>
      </w:r>
      <w:r w:rsidRPr="001F7CDE">
        <w:t xml:space="preserve"> </w:t>
      </w:r>
      <w:r w:rsidR="00F6639A" w:rsidRPr="001F7CDE">
        <w:t>the irr</w:t>
      </w:r>
      <w:r w:rsidR="00F6639A" w:rsidRPr="001F7CDE">
        <w:t>a</w:t>
      </w:r>
      <w:r w:rsidR="00F6639A" w:rsidRPr="001F7CDE">
        <w:t xml:space="preserve">diance of the </w:t>
      </w:r>
      <w:r w:rsidRPr="001F7CDE">
        <w:t>visible</w:t>
      </w:r>
      <w:r w:rsidR="00F6639A" w:rsidRPr="001F7CDE">
        <w:t xml:space="preserve"> </w:t>
      </w:r>
      <w:r w:rsidRPr="001F7CDE">
        <w:t xml:space="preserve">light irradiation was 225.0 </w:t>
      </w:r>
      <w:proofErr w:type="spellStart"/>
      <w:r w:rsidRPr="001F7CDE">
        <w:t>mW</w:t>
      </w:r>
      <w:proofErr w:type="spellEnd"/>
      <w:r w:rsidRPr="001F7CDE">
        <w:t>/cm</w:t>
      </w:r>
      <w:r w:rsidRPr="001F7CDE">
        <w:rPr>
          <w:vertAlign w:val="superscript"/>
        </w:rPr>
        <w:t>2</w:t>
      </w:r>
      <w:r w:rsidRPr="001F7CDE">
        <w:t>. The kinetics of the photoi</w:t>
      </w:r>
      <w:r w:rsidRPr="001F7CDE">
        <w:t>n</w:t>
      </w:r>
      <w:r w:rsidRPr="001F7CDE">
        <w:t xml:space="preserve">duced water contact angle alteration </w:t>
      </w:r>
      <w:r w:rsidR="00F6639A" w:rsidRPr="001F7CDE">
        <w:t>i</w:t>
      </w:r>
      <w:r w:rsidRPr="001F7CDE">
        <w:t>s presented as a dependence of the water contact angle on the irradiation time.</w:t>
      </w:r>
    </w:p>
    <w:p w14:paraId="550CA154" w14:textId="6BD856A4" w:rsidR="006E574C" w:rsidRDefault="007C7039" w:rsidP="007C7039">
      <w:pPr>
        <w:pStyle w:val="MDPI21heading1"/>
      </w:pPr>
      <w:r>
        <w:t xml:space="preserve">5. </w:t>
      </w:r>
      <w:r w:rsidR="006E574C">
        <w:t>Conclusions</w:t>
      </w:r>
    </w:p>
    <w:p w14:paraId="6095FDC3" w14:textId="77777777" w:rsidR="00FF484C" w:rsidRDefault="00FF484C" w:rsidP="007C7039">
      <w:pPr>
        <w:pStyle w:val="MDPI31text"/>
      </w:pPr>
      <w:r>
        <w:t xml:space="preserve">We have conducted a comparative study of the photostimulated processes affected surface hydrophilicity for type I </w:t>
      </w:r>
      <w:proofErr w:type="spellStart"/>
      <w:r>
        <w:t>ZnO</w:t>
      </w:r>
      <w:proofErr w:type="spellEnd"/>
      <w:r>
        <w:t>/BiVO</w:t>
      </w:r>
      <w:r w:rsidRPr="00FF484C">
        <w:rPr>
          <w:vertAlign w:val="subscript"/>
        </w:rPr>
        <w:t>4</w:t>
      </w:r>
      <w:r>
        <w:t xml:space="preserve"> and type II TiO</w:t>
      </w:r>
      <w:r w:rsidRPr="00FF484C">
        <w:rPr>
          <w:vertAlign w:val="subscript"/>
        </w:rPr>
        <w:t>2</w:t>
      </w:r>
      <w:r>
        <w:t>/BiVO</w:t>
      </w:r>
      <w:r w:rsidRPr="00FF484C">
        <w:rPr>
          <w:vertAlign w:val="subscript"/>
        </w:rPr>
        <w:t>4</w:t>
      </w:r>
      <w:r>
        <w:t xml:space="preserve"> heterostructured coatings. Our results indicate that type I </w:t>
      </w:r>
      <w:proofErr w:type="spellStart"/>
      <w:r>
        <w:t>ZnO</w:t>
      </w:r>
      <w:proofErr w:type="spellEnd"/>
      <w:r>
        <w:t>/BiVO</w:t>
      </w:r>
      <w:r w:rsidRPr="00FF484C">
        <w:rPr>
          <w:vertAlign w:val="subscript"/>
        </w:rPr>
        <w:t>4</w:t>
      </w:r>
      <w:r>
        <w:t xml:space="preserve"> heterostructure does not change significantly the surface behavior of </w:t>
      </w:r>
      <w:proofErr w:type="spellStart"/>
      <w:r>
        <w:t>ZnO</w:t>
      </w:r>
      <w:proofErr w:type="spellEnd"/>
      <w:r>
        <w:t xml:space="preserve"> surface comparing to the surface of the mono-component </w:t>
      </w:r>
      <w:proofErr w:type="spellStart"/>
      <w:r>
        <w:t>ZnO</w:t>
      </w:r>
      <w:proofErr w:type="spellEnd"/>
      <w:r>
        <w:t xml:space="preserve"> coating. In turn, the type II TiO</w:t>
      </w:r>
      <w:r w:rsidRPr="00FF484C">
        <w:rPr>
          <w:vertAlign w:val="subscript"/>
        </w:rPr>
        <w:t>2</w:t>
      </w:r>
      <w:r>
        <w:t>/BiVO</w:t>
      </w:r>
      <w:r w:rsidRPr="00FF484C">
        <w:rPr>
          <w:vertAlign w:val="subscript"/>
        </w:rPr>
        <w:t>4</w:t>
      </w:r>
      <w:r>
        <w:t xml:space="preserve"> heterostructure demo</w:t>
      </w:r>
      <w:r>
        <w:t>n</w:t>
      </w:r>
      <w:r>
        <w:t>strates spectral sensitization to the visible light of the effect of photostimulated supe</w:t>
      </w:r>
      <w:r>
        <w:t>r</w:t>
      </w:r>
      <w:r>
        <w:t>hydrophilicity which is not observed for the mono-component TiO</w:t>
      </w:r>
      <w:r w:rsidRPr="00FF484C">
        <w:rPr>
          <w:vertAlign w:val="subscript"/>
        </w:rPr>
        <w:t>2</w:t>
      </w:r>
      <w:r>
        <w:t xml:space="preserve"> coating. The diffe</w:t>
      </w:r>
      <w:r>
        <w:t>r</w:t>
      </w:r>
      <w:r>
        <w:t xml:space="preserve">ence between two types of heterostructures can be explained in terms of either realization or prevention of the </w:t>
      </w:r>
      <w:proofErr w:type="gramStart"/>
      <w:r>
        <w:t>hole</w:t>
      </w:r>
      <w:proofErr w:type="gramEnd"/>
      <w:r>
        <w:t xml:space="preserve"> transfer through the heterojunctions toward the outer surface of heterostructured coatings. </w:t>
      </w:r>
    </w:p>
    <w:p w14:paraId="75351168" w14:textId="77777777" w:rsidR="006E574C" w:rsidRDefault="00FF484C" w:rsidP="007C7039">
      <w:pPr>
        <w:pStyle w:val="MDPI31text"/>
      </w:pPr>
      <w:r>
        <w:t xml:space="preserve">Regardless the type of coatings the quantitative correlation between the surface transition to the superhydrophilic state and the increase of the both work function and surface free energy values is observed. These correlations indicate the interaction of holes with </w:t>
      </w:r>
      <w:proofErr w:type="spellStart"/>
      <w:r>
        <w:t>hydroxy</w:t>
      </w:r>
      <w:proofErr w:type="spellEnd"/>
      <w:r>
        <w:t>-hydrated multilayer at the surface of nanocoatings.</w:t>
      </w:r>
    </w:p>
    <w:p w14:paraId="0FE9AE62" w14:textId="2FE6E71B" w:rsidR="006E574C" w:rsidRDefault="007C7039" w:rsidP="007C7039">
      <w:pPr>
        <w:pStyle w:val="MDPI62BackMatter"/>
        <w:spacing w:before="240"/>
      </w:pPr>
      <w:r w:rsidRPr="007C7039">
        <w:rPr>
          <w:b/>
        </w:rPr>
        <w:t>Supplementary Material</w:t>
      </w:r>
      <w:r w:rsidR="006E574C" w:rsidRPr="007C7039">
        <w:rPr>
          <w:b/>
        </w:rPr>
        <w:t xml:space="preserve">s: </w:t>
      </w:r>
      <w:r w:rsidR="00F50D54" w:rsidRPr="00F50D54">
        <w:t>The following are available online Figure S1: XRD patterns of TiO</w:t>
      </w:r>
      <w:r w:rsidR="00F50D54" w:rsidRPr="00136DD1">
        <w:rPr>
          <w:vertAlign w:val="subscript"/>
        </w:rPr>
        <w:t>2</w:t>
      </w:r>
      <w:r w:rsidR="00F50D54" w:rsidRPr="00F50D54">
        <w:t xml:space="preserve">, </w:t>
      </w:r>
      <w:proofErr w:type="spellStart"/>
      <w:r w:rsidR="00F50D54" w:rsidRPr="00F50D54">
        <w:t>ZnO</w:t>
      </w:r>
      <w:proofErr w:type="spellEnd"/>
      <w:r w:rsidR="00F50D54" w:rsidRPr="00F50D54">
        <w:t>, BiVO</w:t>
      </w:r>
      <w:r w:rsidR="00F50D54" w:rsidRPr="00136DD1">
        <w:rPr>
          <w:vertAlign w:val="subscript"/>
        </w:rPr>
        <w:t>4</w:t>
      </w:r>
      <w:r w:rsidR="00F50D54" w:rsidRPr="00F50D54">
        <w:t>, TiO</w:t>
      </w:r>
      <w:r w:rsidR="00F50D54" w:rsidRPr="00136DD1">
        <w:rPr>
          <w:vertAlign w:val="subscript"/>
        </w:rPr>
        <w:t>2</w:t>
      </w:r>
      <w:r w:rsidR="00F50D54" w:rsidRPr="00F50D54">
        <w:t>/BiVO</w:t>
      </w:r>
      <w:r w:rsidR="00F50D54" w:rsidRPr="00136DD1">
        <w:rPr>
          <w:vertAlign w:val="subscript"/>
        </w:rPr>
        <w:t>4</w:t>
      </w:r>
      <w:r w:rsidR="00F50D54" w:rsidRPr="00F50D54">
        <w:t xml:space="preserve"> and </w:t>
      </w:r>
      <w:proofErr w:type="spellStart"/>
      <w:r w:rsidR="00F50D54" w:rsidRPr="00F50D54">
        <w:t>ZnO</w:t>
      </w:r>
      <w:proofErr w:type="spellEnd"/>
      <w:r w:rsidR="00F50D54" w:rsidRPr="00F50D54">
        <w:t>/BiVO</w:t>
      </w:r>
      <w:r w:rsidR="00F50D54" w:rsidRPr="00136DD1">
        <w:rPr>
          <w:vertAlign w:val="subscript"/>
        </w:rPr>
        <w:t>4</w:t>
      </w:r>
      <w:r w:rsidR="00F50D54" w:rsidRPr="00F50D54">
        <w:t xml:space="preserve"> coatings, Figure S2: SEM images of TiO</w:t>
      </w:r>
      <w:r w:rsidR="00F50D54" w:rsidRPr="00136DD1">
        <w:rPr>
          <w:vertAlign w:val="subscript"/>
        </w:rPr>
        <w:t>2</w:t>
      </w:r>
      <w:r w:rsidR="00F50D54" w:rsidRPr="00F50D54">
        <w:t>-topped surfaces and cross-sections for TiO</w:t>
      </w:r>
      <w:r w:rsidR="00F50D54" w:rsidRPr="00136DD1">
        <w:rPr>
          <w:vertAlign w:val="subscript"/>
        </w:rPr>
        <w:t>2</w:t>
      </w:r>
      <w:r w:rsidR="00F50D54" w:rsidRPr="00F50D54">
        <w:t xml:space="preserve"> and TiO</w:t>
      </w:r>
      <w:r w:rsidR="00F50D54" w:rsidRPr="00136DD1">
        <w:rPr>
          <w:vertAlign w:val="subscript"/>
        </w:rPr>
        <w:t>2</w:t>
      </w:r>
      <w:r w:rsidR="00F50D54" w:rsidRPr="00F50D54">
        <w:t>/BiVO</w:t>
      </w:r>
      <w:r w:rsidR="00F50D54" w:rsidRPr="00136DD1">
        <w:rPr>
          <w:vertAlign w:val="subscript"/>
        </w:rPr>
        <w:t>4</w:t>
      </w:r>
      <w:r w:rsidR="00F50D54" w:rsidRPr="00F50D54">
        <w:t xml:space="preserve"> coatings, Figure S3: SEM images of </w:t>
      </w:r>
      <w:proofErr w:type="spellStart"/>
      <w:r w:rsidR="00F50D54" w:rsidRPr="00F50D54">
        <w:t>ZnO</w:t>
      </w:r>
      <w:proofErr w:type="spellEnd"/>
      <w:r w:rsidR="00F50D54" w:rsidRPr="00F50D54">
        <w:t xml:space="preserve"> surfaces and cross-sections for </w:t>
      </w:r>
      <w:proofErr w:type="spellStart"/>
      <w:r w:rsidR="00F50D54" w:rsidRPr="00F50D54">
        <w:t>ZnO</w:t>
      </w:r>
      <w:proofErr w:type="spellEnd"/>
      <w:r w:rsidR="00F50D54" w:rsidRPr="00F50D54">
        <w:t xml:space="preserve"> and </w:t>
      </w:r>
      <w:proofErr w:type="spellStart"/>
      <w:r w:rsidR="00F50D54" w:rsidRPr="00F50D54">
        <w:t>ZnO</w:t>
      </w:r>
      <w:proofErr w:type="spellEnd"/>
      <w:r w:rsidR="00F50D54" w:rsidRPr="00F50D54">
        <w:t>/BiVO</w:t>
      </w:r>
      <w:r w:rsidR="00F50D54" w:rsidRPr="00136DD1">
        <w:rPr>
          <w:vertAlign w:val="subscript"/>
        </w:rPr>
        <w:t>4</w:t>
      </w:r>
      <w:r w:rsidR="00F50D54" w:rsidRPr="00F50D54">
        <w:t xml:space="preserve"> coatings, Figure S4: AFM image of the TiO</w:t>
      </w:r>
      <w:r w:rsidR="00F50D54" w:rsidRPr="00136DD1">
        <w:rPr>
          <w:vertAlign w:val="subscript"/>
        </w:rPr>
        <w:t>2</w:t>
      </w:r>
      <w:r w:rsidR="00F50D54" w:rsidRPr="00F50D54">
        <w:t xml:space="preserve"> surfaces and roughness profiles for TiO</w:t>
      </w:r>
      <w:r w:rsidR="00F50D54" w:rsidRPr="00136DD1">
        <w:rPr>
          <w:vertAlign w:val="subscript"/>
        </w:rPr>
        <w:t>2</w:t>
      </w:r>
      <w:r w:rsidR="00F50D54" w:rsidRPr="00F50D54">
        <w:t xml:space="preserve"> and TiO</w:t>
      </w:r>
      <w:r w:rsidR="00F50D54" w:rsidRPr="00136DD1">
        <w:rPr>
          <w:vertAlign w:val="subscript"/>
        </w:rPr>
        <w:t>2</w:t>
      </w:r>
      <w:r w:rsidR="00F50D54" w:rsidRPr="00F50D54">
        <w:t>/BiVO</w:t>
      </w:r>
      <w:r w:rsidR="00F50D54" w:rsidRPr="00136DD1">
        <w:rPr>
          <w:vertAlign w:val="subscript"/>
        </w:rPr>
        <w:t>4</w:t>
      </w:r>
      <w:r w:rsidR="00F50D54" w:rsidRPr="00F50D54">
        <w:t xml:space="preserve"> coatings., Figure S5: AFM image of the </w:t>
      </w:r>
      <w:proofErr w:type="spellStart"/>
      <w:r w:rsidR="00F50D54" w:rsidRPr="00F50D54">
        <w:t>ZnO</w:t>
      </w:r>
      <w:proofErr w:type="spellEnd"/>
      <w:r w:rsidR="00F50D54" w:rsidRPr="00F50D54">
        <w:t xml:space="preserve"> surfaces and roughness profiles for </w:t>
      </w:r>
      <w:proofErr w:type="spellStart"/>
      <w:r w:rsidR="00F50D54" w:rsidRPr="00F50D54">
        <w:t>ZnO</w:t>
      </w:r>
      <w:proofErr w:type="spellEnd"/>
      <w:r w:rsidR="00F50D54" w:rsidRPr="00F50D54">
        <w:t xml:space="preserve"> and </w:t>
      </w:r>
      <w:proofErr w:type="spellStart"/>
      <w:r w:rsidR="00F50D54" w:rsidRPr="00F50D54">
        <w:t>ZnO</w:t>
      </w:r>
      <w:proofErr w:type="spellEnd"/>
      <w:r w:rsidR="00F50D54" w:rsidRPr="00F50D54">
        <w:t>/BiVO</w:t>
      </w:r>
      <w:r w:rsidR="00F50D54" w:rsidRPr="00136DD1">
        <w:rPr>
          <w:vertAlign w:val="subscript"/>
        </w:rPr>
        <w:t>4</w:t>
      </w:r>
      <w:r w:rsidR="00F50D54" w:rsidRPr="00F50D54">
        <w:t xml:space="preserve"> coatings, Figure S6: Transmittance spectra and </w:t>
      </w:r>
      <w:proofErr w:type="spellStart"/>
      <w:r w:rsidR="00F50D54" w:rsidRPr="00F50D54">
        <w:t>Tauc</w:t>
      </w:r>
      <w:proofErr w:type="spellEnd"/>
      <w:r w:rsidR="00F50D54" w:rsidRPr="00F50D54">
        <w:t xml:space="preserve"> plots for TiO</w:t>
      </w:r>
      <w:r w:rsidR="00F50D54" w:rsidRPr="00136DD1">
        <w:rPr>
          <w:vertAlign w:val="subscript"/>
        </w:rPr>
        <w:t>2</w:t>
      </w:r>
      <w:r w:rsidR="00F50D54" w:rsidRPr="00F50D54">
        <w:t xml:space="preserve">, </w:t>
      </w:r>
      <w:proofErr w:type="spellStart"/>
      <w:r w:rsidR="00F50D54" w:rsidRPr="00F50D54">
        <w:t>ZnO</w:t>
      </w:r>
      <w:proofErr w:type="spellEnd"/>
      <w:r w:rsidR="00F50D54" w:rsidRPr="00F50D54">
        <w:t>, BiVO</w:t>
      </w:r>
      <w:r w:rsidR="00F50D54" w:rsidRPr="00136DD1">
        <w:rPr>
          <w:vertAlign w:val="subscript"/>
        </w:rPr>
        <w:t>4</w:t>
      </w:r>
      <w:r w:rsidR="00F50D54" w:rsidRPr="00F50D54">
        <w:t>, Figure S7: XPS spectra of valence band region for TiO</w:t>
      </w:r>
      <w:r w:rsidR="00F50D54" w:rsidRPr="00136DD1">
        <w:rPr>
          <w:vertAlign w:val="subscript"/>
        </w:rPr>
        <w:t>2</w:t>
      </w:r>
      <w:r w:rsidR="00F50D54" w:rsidRPr="00F50D54">
        <w:t xml:space="preserve">, </w:t>
      </w:r>
      <w:proofErr w:type="spellStart"/>
      <w:r w:rsidR="00F50D54" w:rsidRPr="00F50D54">
        <w:t>ZnO</w:t>
      </w:r>
      <w:proofErr w:type="spellEnd"/>
      <w:r w:rsidR="00F50D54" w:rsidRPr="00F50D54">
        <w:t>, BiVO</w:t>
      </w:r>
      <w:r w:rsidR="00F50D54" w:rsidRPr="00136DD1">
        <w:rPr>
          <w:vertAlign w:val="subscript"/>
        </w:rPr>
        <w:t>4</w:t>
      </w:r>
      <w:r w:rsidR="00F50D54" w:rsidRPr="00F50D54">
        <w:t>, Figure S8: Transmittance spectra of UV band-pass and Vis cut-off filters.</w:t>
      </w:r>
    </w:p>
    <w:p w14:paraId="12D392C9" w14:textId="25793BF3" w:rsidR="006E574C" w:rsidRPr="00613B31" w:rsidRDefault="007C7039" w:rsidP="007C7039">
      <w:pPr>
        <w:pStyle w:val="MDPI62BackMatter"/>
      </w:pPr>
      <w:r w:rsidRPr="007C7039">
        <w:rPr>
          <w:b/>
        </w:rPr>
        <w:t>Author Contribution</w:t>
      </w:r>
      <w:r w:rsidR="006E574C" w:rsidRPr="007C7039">
        <w:rPr>
          <w:b/>
        </w:rPr>
        <w:t xml:space="preserve">s: </w:t>
      </w:r>
      <w:r w:rsidR="00270191" w:rsidRPr="00270191">
        <w:t>Conceptualization, A.V.R. and D.W.B.; methodology, A.V.E.; software, M.V.M.; validation, A.V.R. and A.V.E.; formal analysis, M.V.M.; investigation, M.V.M., A.V.K., A.S.S. and A.V.E.; resources, D.W.B.; writing—original draft preparation, M.V.M., A.V.R. and A.V.E.; writing—review and editing, A.V.E. and D.W.B.; visualization, M.V.M., A.V.R.; superv</w:t>
      </w:r>
      <w:r w:rsidR="00270191" w:rsidRPr="00270191">
        <w:t>i</w:t>
      </w:r>
      <w:r w:rsidR="00270191" w:rsidRPr="00270191">
        <w:t>sion, D.W.B.; project administration, A.V.E.; and funding acquisition, A.V.E. and D.W.B. All a</w:t>
      </w:r>
      <w:r w:rsidR="00270191" w:rsidRPr="00270191">
        <w:t>u</w:t>
      </w:r>
      <w:r w:rsidR="00270191" w:rsidRPr="00270191">
        <w:t>thors have read and agreed to the published version of the manuscript.</w:t>
      </w:r>
    </w:p>
    <w:p w14:paraId="59B2F0CD" w14:textId="77777777" w:rsidR="006E574C" w:rsidRPr="00613B31" w:rsidRDefault="006E574C" w:rsidP="007C7039">
      <w:pPr>
        <w:pStyle w:val="MDPI62BackMatter"/>
      </w:pPr>
      <w:r w:rsidRPr="007C7039">
        <w:rPr>
          <w:b/>
        </w:rPr>
        <w:t>Funding:</w:t>
      </w:r>
      <w:r w:rsidRPr="00613B31">
        <w:t xml:space="preserve"> </w:t>
      </w:r>
      <w:r w:rsidR="008844E0" w:rsidRPr="008C509F">
        <w:rPr>
          <w:szCs w:val="18"/>
        </w:rPr>
        <w:t>The</w:t>
      </w:r>
      <w:r w:rsidR="008844E0" w:rsidRPr="008C509F">
        <w:t xml:space="preserve"> reported study was funded by RFBR, project number 19-32-90111.</w:t>
      </w:r>
    </w:p>
    <w:p w14:paraId="40CCC2C3" w14:textId="77777777" w:rsidR="006E574C" w:rsidRPr="00613B31" w:rsidRDefault="006E574C" w:rsidP="007C7039">
      <w:pPr>
        <w:pStyle w:val="MDPI62BackMatter"/>
      </w:pPr>
      <w:r w:rsidRPr="007C7039">
        <w:rPr>
          <w:b/>
        </w:rPr>
        <w:t>Acknowledgments:</w:t>
      </w:r>
      <w:r w:rsidRPr="00613B31">
        <w:t xml:space="preserve"> </w:t>
      </w:r>
      <w:r w:rsidR="006A18A5" w:rsidRPr="0072362B">
        <w:rPr>
          <w:szCs w:val="18"/>
        </w:rPr>
        <w:t>AVE</w:t>
      </w:r>
      <w:r w:rsidR="006A18A5" w:rsidRPr="0072362B">
        <w:t xml:space="preserve"> and MVM are grateful to Russian Foundation for Basic Research (RFBR) for grant N 19-32-90111 to support this research. Experimental studies were performed in labor</w:t>
      </w:r>
      <w:r w:rsidR="006A18A5" w:rsidRPr="0072362B">
        <w:t>a</w:t>
      </w:r>
      <w:r w:rsidR="006A18A5" w:rsidRPr="0072362B">
        <w:t>tory “Photoactive nanocomposite materials” supported by Saint-Petersburg State University (ID: 73032813).</w:t>
      </w:r>
      <w:r w:rsidR="00E665EB" w:rsidRPr="00E665EB">
        <w:t xml:space="preserve"> Authors are thankful to the Resource Center (RC) “</w:t>
      </w:r>
      <w:proofErr w:type="spellStart"/>
      <w:r w:rsidR="00E665EB" w:rsidRPr="00E665EB">
        <w:t>Nanophotonics</w:t>
      </w:r>
      <w:proofErr w:type="spellEnd"/>
      <w:r w:rsidR="00E665EB" w:rsidRPr="00E665EB">
        <w:t>”, RC “X-ray Diffra</w:t>
      </w:r>
      <w:r w:rsidR="00E665EB" w:rsidRPr="00E665EB">
        <w:t>c</w:t>
      </w:r>
      <w:r w:rsidR="00E665EB" w:rsidRPr="00E665EB">
        <w:t>tion Studies”, RC “Centre for Innovative Technologies of Composite Nanomaterials”, RC “Centre for Physical Methods of Surface Investigation”, RC “Centre for Diagnostics of Functional Materials for Medicine, Pharmacology and Nanoelectronics” and RC “Nanotechnology” of the Research Park at the Saint-Petersburg State University for helpful assistance in the preparation and characteriz</w:t>
      </w:r>
      <w:r w:rsidR="00E665EB" w:rsidRPr="00E665EB">
        <w:t>a</w:t>
      </w:r>
      <w:r w:rsidR="00E665EB" w:rsidRPr="00E665EB">
        <w:t>tion of the samples.</w:t>
      </w:r>
    </w:p>
    <w:p w14:paraId="0A5887F6" w14:textId="77777777" w:rsidR="006E574C" w:rsidRPr="00613B31" w:rsidRDefault="006E574C" w:rsidP="007C7039">
      <w:pPr>
        <w:pStyle w:val="MDPI62BackMatter"/>
      </w:pPr>
      <w:r w:rsidRPr="007C7039">
        <w:rPr>
          <w:b/>
        </w:rPr>
        <w:t xml:space="preserve">Conflicts of Interest: </w:t>
      </w:r>
      <w:r w:rsidR="00B34E9F" w:rsidRPr="00B34E9F">
        <w:t>The authors declare no conflict of interest.</w:t>
      </w:r>
    </w:p>
    <w:p w14:paraId="3437E37A" w14:textId="77777777" w:rsidR="00183FAF" w:rsidRPr="005F2C41" w:rsidRDefault="00183FAF" w:rsidP="00183FAF">
      <w:pPr>
        <w:pStyle w:val="MDPI21heading1"/>
        <w:ind w:left="0"/>
      </w:pPr>
      <w:r w:rsidRPr="005F2C41">
        <w:t>References</w:t>
      </w:r>
    </w:p>
    <w:p w14:paraId="5F1E8E12" w14:textId="77777777" w:rsidR="00183FAF" w:rsidRPr="005F2C41" w:rsidRDefault="00183FAF" w:rsidP="00183FAF">
      <w:pPr>
        <w:pStyle w:val="MDPI71References"/>
        <w:numPr>
          <w:ilvl w:val="0"/>
          <w:numId w:val="3"/>
        </w:numPr>
      </w:pPr>
      <w:r w:rsidRPr="005F2C41">
        <w:t>Wang, H.; Zhang, L.; Chen, Z.; Hu, J.; Li, S.; Wang, Z.; Liu, J.; Wang X. Semiconductor heterojunction photocatalysts: d</w:t>
      </w:r>
      <w:r w:rsidRPr="005F2C41">
        <w:t>e</w:t>
      </w:r>
      <w:r w:rsidRPr="005F2C41">
        <w:t xml:space="preserve">sign, construction, and photocatalytic performances. </w:t>
      </w:r>
      <w:r w:rsidRPr="00E41471">
        <w:rPr>
          <w:i/>
        </w:rPr>
        <w:t>Chem. Soc. Rev.</w:t>
      </w:r>
      <w:r w:rsidRPr="005F2C41">
        <w:t xml:space="preserve"> </w:t>
      </w:r>
      <w:r w:rsidRPr="00E41471">
        <w:rPr>
          <w:b/>
        </w:rPr>
        <w:t>2014</w:t>
      </w:r>
      <w:r w:rsidRPr="005F2C41">
        <w:t xml:space="preserve">, </w:t>
      </w:r>
      <w:r w:rsidRPr="00E41471">
        <w:rPr>
          <w:i/>
        </w:rPr>
        <w:t>43</w:t>
      </w:r>
      <w:r w:rsidRPr="005F2C41">
        <w:t>, 5234–5244. DOI: 10.1039/C4CS00126E</w:t>
      </w:r>
    </w:p>
    <w:p w14:paraId="323D1EB5" w14:textId="77777777" w:rsidR="00183FAF" w:rsidRPr="005F2C41" w:rsidRDefault="00183FAF" w:rsidP="00183FAF">
      <w:pPr>
        <w:pStyle w:val="MDPI71References"/>
        <w:numPr>
          <w:ilvl w:val="0"/>
          <w:numId w:val="3"/>
        </w:numPr>
      </w:pPr>
      <w:r w:rsidRPr="005F2C41">
        <w:t xml:space="preserve">Emeline, A.V.; </w:t>
      </w:r>
      <w:proofErr w:type="spellStart"/>
      <w:r w:rsidRPr="005F2C41">
        <w:t>Rudakova</w:t>
      </w:r>
      <w:proofErr w:type="spellEnd"/>
      <w:r w:rsidRPr="005F2C41">
        <w:t xml:space="preserve">, AV.; </w:t>
      </w:r>
      <w:proofErr w:type="spellStart"/>
      <w:r w:rsidRPr="005F2C41">
        <w:t>Mikhaylov</w:t>
      </w:r>
      <w:proofErr w:type="spellEnd"/>
      <w:r w:rsidRPr="005F2C41">
        <w:t xml:space="preserve">, R.V.; </w:t>
      </w:r>
      <w:proofErr w:type="spellStart"/>
      <w:r w:rsidRPr="005F2C41">
        <w:t>Ryabchuk</w:t>
      </w:r>
      <w:proofErr w:type="spellEnd"/>
      <w:r w:rsidRPr="005F2C41">
        <w:t xml:space="preserve">, V.K.; </w:t>
      </w:r>
      <w:proofErr w:type="spellStart"/>
      <w:r w:rsidRPr="005F2C41">
        <w:t>Serpone</w:t>
      </w:r>
      <w:proofErr w:type="spellEnd"/>
      <w:r w:rsidRPr="005F2C41">
        <w:t>, N. Electron transfer processes in heterostru</w:t>
      </w:r>
      <w:r w:rsidRPr="005F2C41">
        <w:t>c</w:t>
      </w:r>
      <w:r w:rsidRPr="005F2C41">
        <w:t xml:space="preserve">tured photocatalysts. In </w:t>
      </w:r>
      <w:r w:rsidRPr="00E41471">
        <w:rPr>
          <w:i/>
        </w:rPr>
        <w:t>Springer Handbook of Inorganic Photochemistry</w:t>
      </w:r>
      <w:r w:rsidRPr="005F2C41">
        <w:t xml:space="preserve">, 1st ed.; </w:t>
      </w:r>
      <w:proofErr w:type="spellStart"/>
      <w:r w:rsidRPr="005F2C41">
        <w:t>Bahnemann</w:t>
      </w:r>
      <w:proofErr w:type="spellEnd"/>
      <w:r w:rsidRPr="005F2C41">
        <w:t xml:space="preserve">, D., </w:t>
      </w:r>
      <w:proofErr w:type="spellStart"/>
      <w:r w:rsidRPr="005F2C41">
        <w:t>Patrocinio</w:t>
      </w:r>
      <w:proofErr w:type="spellEnd"/>
      <w:r w:rsidRPr="005F2C41">
        <w:t xml:space="preserve">, A.O.T., Eds.; Springer International Publishing: Switzerland, 2020; </w:t>
      </w:r>
      <w:r w:rsidRPr="00E41471">
        <w:rPr>
          <w:i/>
        </w:rPr>
        <w:t>in press</w:t>
      </w:r>
      <w:r w:rsidRPr="005F2C41">
        <w:t>, https://doi.org/10.1007/978-3-030-63713-2.</w:t>
      </w:r>
    </w:p>
    <w:p w14:paraId="6DCFDB3F" w14:textId="77777777" w:rsidR="00183FAF" w:rsidRPr="005F2C41" w:rsidRDefault="00183FAF" w:rsidP="00183FAF">
      <w:pPr>
        <w:pStyle w:val="MDPI71References"/>
        <w:numPr>
          <w:ilvl w:val="0"/>
          <w:numId w:val="3"/>
        </w:numPr>
      </w:pPr>
      <w:proofErr w:type="spellStart"/>
      <w:r w:rsidRPr="005F2C41">
        <w:t>Marschall</w:t>
      </w:r>
      <w:proofErr w:type="spellEnd"/>
      <w:r w:rsidRPr="005F2C41">
        <w:t>, R. Semiconductor composites: Strategies for enhancing charge carrier separation to improve photocatalytic a</w:t>
      </w:r>
      <w:r w:rsidRPr="005F2C41">
        <w:t>c</w:t>
      </w:r>
      <w:r w:rsidRPr="005F2C41">
        <w:t xml:space="preserve">tivity. </w:t>
      </w:r>
      <w:r w:rsidRPr="00136DD1">
        <w:rPr>
          <w:i/>
        </w:rPr>
        <w:t xml:space="preserve">Adv. </w:t>
      </w:r>
      <w:proofErr w:type="spellStart"/>
      <w:r w:rsidRPr="00136DD1">
        <w:rPr>
          <w:i/>
        </w:rPr>
        <w:t>Funct</w:t>
      </w:r>
      <w:proofErr w:type="spellEnd"/>
      <w:r w:rsidRPr="00136DD1">
        <w:rPr>
          <w:i/>
        </w:rPr>
        <w:t>. Mater.</w:t>
      </w:r>
      <w:r w:rsidRPr="005F2C41">
        <w:t xml:space="preserve"> </w:t>
      </w:r>
      <w:r w:rsidRPr="00136DD1">
        <w:rPr>
          <w:b/>
        </w:rPr>
        <w:t>2013</w:t>
      </w:r>
      <w:r w:rsidRPr="005F2C41">
        <w:t xml:space="preserve">, </w:t>
      </w:r>
      <w:r w:rsidRPr="00136DD1">
        <w:rPr>
          <w:i/>
        </w:rPr>
        <w:t>24</w:t>
      </w:r>
      <w:r w:rsidRPr="005F2C41">
        <w:t>, 2421–2440. DOI: 10.1002/adfm.201303214</w:t>
      </w:r>
    </w:p>
    <w:p w14:paraId="5A1AE364" w14:textId="77777777" w:rsidR="00183FAF" w:rsidRDefault="00183FAF" w:rsidP="00183FAF">
      <w:pPr>
        <w:pStyle w:val="MDPI71References"/>
        <w:numPr>
          <w:ilvl w:val="0"/>
          <w:numId w:val="3"/>
        </w:numPr>
      </w:pPr>
      <w:r w:rsidRPr="005F2C41">
        <w:t xml:space="preserve">Wang, Y.; Wang, Q.; Zhan, X.; Wang, F.; </w:t>
      </w:r>
      <w:proofErr w:type="spellStart"/>
      <w:r w:rsidRPr="005F2C41">
        <w:t>Safdara</w:t>
      </w:r>
      <w:proofErr w:type="spellEnd"/>
      <w:r w:rsidRPr="005F2C41">
        <w:t xml:space="preserve">, M.; He, J. Visible light driven type II heterostructures and their enhanced photocatalysis properties: a review. </w:t>
      </w:r>
      <w:r w:rsidRPr="00E2543E">
        <w:rPr>
          <w:i/>
        </w:rPr>
        <w:t>Nanoscale</w:t>
      </w:r>
      <w:r w:rsidRPr="005F2C41">
        <w:t xml:space="preserve"> </w:t>
      </w:r>
      <w:r w:rsidRPr="00E2543E">
        <w:rPr>
          <w:b/>
        </w:rPr>
        <w:t>2013</w:t>
      </w:r>
      <w:r w:rsidRPr="005F2C41">
        <w:t xml:space="preserve">, </w:t>
      </w:r>
      <w:r w:rsidRPr="00E2543E">
        <w:rPr>
          <w:i/>
        </w:rPr>
        <w:t>5</w:t>
      </w:r>
      <w:r w:rsidRPr="005F2C41">
        <w:t>, 8326–8339. DOI: 10.1039/C3NR01577G</w:t>
      </w:r>
    </w:p>
    <w:p w14:paraId="5492558F" w14:textId="77777777" w:rsidR="00183FAF" w:rsidRPr="009C6857" w:rsidRDefault="00183FAF" w:rsidP="00183FAF">
      <w:pPr>
        <w:pStyle w:val="MDPI71References"/>
        <w:numPr>
          <w:ilvl w:val="0"/>
          <w:numId w:val="3"/>
        </w:numPr>
        <w:rPr>
          <w:color w:val="auto"/>
        </w:rPr>
      </w:pPr>
      <w:r w:rsidRPr="009C6857">
        <w:rPr>
          <w:color w:val="auto"/>
        </w:rPr>
        <w:t xml:space="preserve">Chiu, Y.-H.; Chang, T.-F. M.; Chen, C.-Y.; Sone, M.; Hsu, Y.-J. Mechanistic insights into photodegradation of organic dyes using heterostructure photocatalysts. </w:t>
      </w:r>
      <w:r w:rsidRPr="009C6857">
        <w:rPr>
          <w:i/>
          <w:color w:val="auto"/>
        </w:rPr>
        <w:t>Catalysts</w:t>
      </w:r>
      <w:r w:rsidRPr="009C6857">
        <w:rPr>
          <w:color w:val="auto"/>
        </w:rPr>
        <w:t xml:space="preserve"> </w:t>
      </w:r>
      <w:r w:rsidRPr="009C6857">
        <w:rPr>
          <w:b/>
          <w:color w:val="auto"/>
        </w:rPr>
        <w:t>2019</w:t>
      </w:r>
      <w:r w:rsidRPr="009C6857">
        <w:rPr>
          <w:color w:val="auto"/>
        </w:rPr>
        <w:t xml:space="preserve">, </w:t>
      </w:r>
      <w:r w:rsidRPr="009C6857">
        <w:rPr>
          <w:i/>
          <w:color w:val="auto"/>
        </w:rPr>
        <w:t>9</w:t>
      </w:r>
      <w:r w:rsidRPr="009C6857">
        <w:rPr>
          <w:color w:val="auto"/>
        </w:rPr>
        <w:t>, 430. DOI: 10.3390/catal9050430</w:t>
      </w:r>
    </w:p>
    <w:p w14:paraId="0CE92DD0" w14:textId="77777777" w:rsidR="00183FAF" w:rsidRPr="005F2C41" w:rsidRDefault="00183FAF" w:rsidP="00183FAF">
      <w:pPr>
        <w:pStyle w:val="MDPI71References"/>
        <w:numPr>
          <w:ilvl w:val="0"/>
          <w:numId w:val="3"/>
        </w:numPr>
      </w:pPr>
      <w:r w:rsidRPr="005F2C41">
        <w:t xml:space="preserve">He, X.; Zhang, C. Recent advances in structure design for enhancing photocatalysis. </w:t>
      </w:r>
      <w:r w:rsidRPr="00E2543E">
        <w:rPr>
          <w:i/>
        </w:rPr>
        <w:t>J. Mater. Sci.</w:t>
      </w:r>
      <w:r w:rsidRPr="005F2C41">
        <w:t xml:space="preserve"> </w:t>
      </w:r>
      <w:r w:rsidRPr="00E2543E">
        <w:rPr>
          <w:b/>
        </w:rPr>
        <w:t>2019</w:t>
      </w:r>
      <w:r w:rsidRPr="005F2C41">
        <w:t xml:space="preserve">, </w:t>
      </w:r>
      <w:r w:rsidRPr="00E2543E">
        <w:rPr>
          <w:i/>
        </w:rPr>
        <w:t>54</w:t>
      </w:r>
      <w:r w:rsidRPr="005F2C41">
        <w:t>, 8831–8851. DOI: 10.1007/s10853-019-03417-8</w:t>
      </w:r>
    </w:p>
    <w:p w14:paraId="688F3663" w14:textId="77777777" w:rsidR="00183FAF" w:rsidRPr="005F2C41" w:rsidRDefault="00183FAF" w:rsidP="00183FAF">
      <w:pPr>
        <w:pStyle w:val="MDPI71References"/>
        <w:numPr>
          <w:ilvl w:val="0"/>
          <w:numId w:val="3"/>
        </w:numPr>
      </w:pPr>
      <w:r w:rsidRPr="005F2C41">
        <w:t xml:space="preserve">Moniz, S.J.A.; </w:t>
      </w:r>
      <w:proofErr w:type="spellStart"/>
      <w:r w:rsidRPr="005F2C41">
        <w:t>Shevlin</w:t>
      </w:r>
      <w:proofErr w:type="spellEnd"/>
      <w:r w:rsidRPr="005F2C41">
        <w:t xml:space="preserve">, S.A.; Martin, D.J.; </w:t>
      </w:r>
      <w:proofErr w:type="spellStart"/>
      <w:r w:rsidRPr="005F2C41">
        <w:t>Guo</w:t>
      </w:r>
      <w:proofErr w:type="spellEnd"/>
      <w:r w:rsidRPr="005F2C41">
        <w:t xml:space="preserve">, Z.-X.; Tang, J. Visible-light driven heterojunction photocatalysts for water splitting - a critical review. </w:t>
      </w:r>
      <w:r w:rsidRPr="00E2543E">
        <w:rPr>
          <w:i/>
        </w:rPr>
        <w:t>Energy Environ. Sci.</w:t>
      </w:r>
      <w:r w:rsidRPr="005F2C41">
        <w:t xml:space="preserve"> </w:t>
      </w:r>
      <w:r w:rsidRPr="00E2543E">
        <w:rPr>
          <w:b/>
        </w:rPr>
        <w:t>2015</w:t>
      </w:r>
      <w:r w:rsidRPr="005F2C41">
        <w:t xml:space="preserve">, </w:t>
      </w:r>
      <w:r w:rsidRPr="00E2543E">
        <w:rPr>
          <w:i/>
        </w:rPr>
        <w:t>8</w:t>
      </w:r>
      <w:r w:rsidRPr="005F2C41">
        <w:t>, 731–759. DOI: 10.1039/C4EE03271C</w:t>
      </w:r>
    </w:p>
    <w:p w14:paraId="59266C26" w14:textId="77777777" w:rsidR="00183FAF" w:rsidRPr="005F2C41" w:rsidRDefault="00183FAF" w:rsidP="00183FAF">
      <w:pPr>
        <w:pStyle w:val="MDPI71References"/>
        <w:numPr>
          <w:ilvl w:val="0"/>
          <w:numId w:val="3"/>
        </w:numPr>
      </w:pPr>
      <w:r w:rsidRPr="005F2C41">
        <w:t xml:space="preserve">Emeline, A.V.; </w:t>
      </w:r>
      <w:proofErr w:type="spellStart"/>
      <w:r w:rsidRPr="005F2C41">
        <w:t>Rudakova</w:t>
      </w:r>
      <w:proofErr w:type="spellEnd"/>
      <w:r w:rsidRPr="005F2C41">
        <w:t xml:space="preserve">, A.V.; </w:t>
      </w:r>
      <w:proofErr w:type="spellStart"/>
      <w:r w:rsidRPr="005F2C41">
        <w:t>Mikhaylov</w:t>
      </w:r>
      <w:proofErr w:type="spellEnd"/>
      <w:r w:rsidRPr="005F2C41">
        <w:t xml:space="preserve">, R.V.; </w:t>
      </w:r>
      <w:proofErr w:type="spellStart"/>
      <w:r w:rsidRPr="005F2C41">
        <w:t>Bulanin</w:t>
      </w:r>
      <w:proofErr w:type="spellEnd"/>
      <w:r w:rsidRPr="005F2C41">
        <w:t xml:space="preserve">, K.M.; </w:t>
      </w:r>
      <w:proofErr w:type="spellStart"/>
      <w:r w:rsidRPr="005F2C41">
        <w:t>Bahnemann</w:t>
      </w:r>
      <w:proofErr w:type="spellEnd"/>
      <w:r w:rsidRPr="005F2C41">
        <w:t xml:space="preserve">, D.W. Photoactive heterostructures: How they are made and explored. </w:t>
      </w:r>
      <w:r w:rsidRPr="00E2543E">
        <w:rPr>
          <w:i/>
        </w:rPr>
        <w:t>Catalysts</w:t>
      </w:r>
      <w:r w:rsidRPr="005F2C41">
        <w:t xml:space="preserve"> </w:t>
      </w:r>
      <w:r w:rsidRPr="00E2543E">
        <w:rPr>
          <w:b/>
        </w:rPr>
        <w:t>2021</w:t>
      </w:r>
      <w:r w:rsidRPr="005F2C41">
        <w:t xml:space="preserve">, </w:t>
      </w:r>
      <w:r w:rsidRPr="00E2543E">
        <w:rPr>
          <w:i/>
        </w:rPr>
        <w:t>11</w:t>
      </w:r>
      <w:r w:rsidRPr="005F2C41">
        <w:t>, 294. DOI: 10.3390/catal11020294</w:t>
      </w:r>
    </w:p>
    <w:p w14:paraId="320FD522" w14:textId="77777777" w:rsidR="00183FAF" w:rsidRPr="005F2C41" w:rsidRDefault="00183FAF" w:rsidP="00183FAF">
      <w:pPr>
        <w:pStyle w:val="MDPI71References"/>
        <w:numPr>
          <w:ilvl w:val="0"/>
          <w:numId w:val="3"/>
        </w:numPr>
      </w:pPr>
      <w:proofErr w:type="spellStart"/>
      <w:r w:rsidRPr="005F2C41">
        <w:t>Rudakova</w:t>
      </w:r>
      <w:proofErr w:type="spellEnd"/>
      <w:r w:rsidRPr="005F2C41">
        <w:t xml:space="preserve">, A.V.; Emeline, A.V. Photoinduced hydrophilicity of surfaces of thin film. </w:t>
      </w:r>
      <w:r w:rsidRPr="00E2543E">
        <w:rPr>
          <w:i/>
        </w:rPr>
        <w:t>Colloid J.</w:t>
      </w:r>
      <w:r w:rsidRPr="005F2C41">
        <w:t xml:space="preserve"> </w:t>
      </w:r>
      <w:r w:rsidRPr="00E2543E">
        <w:rPr>
          <w:b/>
        </w:rPr>
        <w:t>2021</w:t>
      </w:r>
      <w:r w:rsidRPr="005F2C41">
        <w:t xml:space="preserve">, </w:t>
      </w:r>
      <w:r w:rsidRPr="00E2543E">
        <w:rPr>
          <w:i/>
        </w:rPr>
        <w:t>83</w:t>
      </w:r>
      <w:r w:rsidRPr="005F2C41">
        <w:t>, 20–48. DOI: 10.1134/S1061933X21010105</w:t>
      </w:r>
    </w:p>
    <w:p w14:paraId="24703F56" w14:textId="77777777" w:rsidR="00183FAF" w:rsidRPr="005F2C41" w:rsidRDefault="00183FAF" w:rsidP="00183FAF">
      <w:pPr>
        <w:pStyle w:val="MDPI71References"/>
        <w:numPr>
          <w:ilvl w:val="0"/>
          <w:numId w:val="3"/>
        </w:numPr>
      </w:pPr>
      <w:proofErr w:type="spellStart"/>
      <w:r w:rsidRPr="005F2C41">
        <w:t>Rudakova</w:t>
      </w:r>
      <w:proofErr w:type="spellEnd"/>
      <w:r w:rsidRPr="005F2C41">
        <w:t xml:space="preserve">, A.V.; Emeline, A.V.; </w:t>
      </w:r>
      <w:proofErr w:type="spellStart"/>
      <w:r w:rsidRPr="005F2C41">
        <w:t>Bahnemann</w:t>
      </w:r>
      <w:proofErr w:type="spellEnd"/>
      <w:r w:rsidRPr="005F2C41">
        <w:t>, D.W. Effect of the TiO</w:t>
      </w:r>
      <w:r w:rsidRPr="00E2543E">
        <w:rPr>
          <w:vertAlign w:val="subscript"/>
        </w:rPr>
        <w:t>2</w:t>
      </w:r>
      <w:r w:rsidRPr="005F2C41">
        <w:t>–</w:t>
      </w:r>
      <w:proofErr w:type="spellStart"/>
      <w:r w:rsidRPr="005F2C41">
        <w:t>ZnO</w:t>
      </w:r>
      <w:proofErr w:type="spellEnd"/>
      <w:r w:rsidRPr="005F2C41">
        <w:t xml:space="preserve"> heterostructure on the photoinduced hydr</w:t>
      </w:r>
      <w:r w:rsidRPr="005F2C41">
        <w:t>o</w:t>
      </w:r>
      <w:r w:rsidRPr="005F2C41">
        <w:t>philic conversion of TiO</w:t>
      </w:r>
      <w:r w:rsidRPr="00E2543E">
        <w:rPr>
          <w:vertAlign w:val="subscript"/>
        </w:rPr>
        <w:t>2</w:t>
      </w:r>
      <w:r w:rsidRPr="005F2C41">
        <w:t xml:space="preserve"> and </w:t>
      </w:r>
      <w:proofErr w:type="spellStart"/>
      <w:r w:rsidRPr="005F2C41">
        <w:t>ZnO</w:t>
      </w:r>
      <w:proofErr w:type="spellEnd"/>
      <w:r w:rsidRPr="005F2C41">
        <w:t xml:space="preserve"> Surfaces. </w:t>
      </w:r>
      <w:r w:rsidRPr="00E2543E">
        <w:rPr>
          <w:i/>
        </w:rPr>
        <w:t>J. Phys. Chem. C</w:t>
      </w:r>
      <w:r w:rsidRPr="005F2C41">
        <w:t xml:space="preserve"> </w:t>
      </w:r>
      <w:r w:rsidRPr="00E2543E">
        <w:rPr>
          <w:b/>
        </w:rPr>
        <w:t>2019</w:t>
      </w:r>
      <w:r w:rsidRPr="005F2C41">
        <w:t xml:space="preserve">, </w:t>
      </w:r>
      <w:r w:rsidRPr="00E2543E">
        <w:rPr>
          <w:i/>
        </w:rPr>
        <w:t>123</w:t>
      </w:r>
      <w:r w:rsidRPr="005F2C41">
        <w:t>, 8884–8891. DOI: 10.1021/acs.jpcc.8b12125</w:t>
      </w:r>
    </w:p>
    <w:p w14:paraId="013A92C0" w14:textId="77777777" w:rsidR="00183FAF" w:rsidRPr="005F2C41" w:rsidRDefault="00183FAF" w:rsidP="00183FAF">
      <w:pPr>
        <w:pStyle w:val="MDPI71References"/>
        <w:numPr>
          <w:ilvl w:val="0"/>
          <w:numId w:val="3"/>
        </w:numPr>
      </w:pPr>
      <w:proofErr w:type="spellStart"/>
      <w:r w:rsidRPr="005F2C41">
        <w:t>Fujishima</w:t>
      </w:r>
      <w:proofErr w:type="spellEnd"/>
      <w:r w:rsidRPr="005F2C41">
        <w:t xml:space="preserve">, A.; Rao, T.N.; </w:t>
      </w:r>
      <w:proofErr w:type="spellStart"/>
      <w:r w:rsidRPr="005F2C41">
        <w:t>Tryk</w:t>
      </w:r>
      <w:proofErr w:type="spellEnd"/>
      <w:r w:rsidRPr="005F2C41">
        <w:t xml:space="preserve">, D.N. Titanium dioxide photocatalysis. </w:t>
      </w:r>
      <w:r w:rsidRPr="00E2543E">
        <w:rPr>
          <w:i/>
        </w:rPr>
        <w:t xml:space="preserve">J. </w:t>
      </w:r>
      <w:proofErr w:type="spellStart"/>
      <w:r w:rsidRPr="00E2543E">
        <w:rPr>
          <w:i/>
        </w:rPr>
        <w:t>Photochem</w:t>
      </w:r>
      <w:proofErr w:type="spellEnd"/>
      <w:r w:rsidRPr="00E2543E">
        <w:rPr>
          <w:i/>
        </w:rPr>
        <w:t xml:space="preserve">. </w:t>
      </w:r>
      <w:proofErr w:type="spellStart"/>
      <w:r w:rsidRPr="00E2543E">
        <w:rPr>
          <w:i/>
        </w:rPr>
        <w:t>Photobio</w:t>
      </w:r>
      <w:proofErr w:type="spellEnd"/>
      <w:r w:rsidRPr="00E2543E">
        <w:rPr>
          <w:i/>
        </w:rPr>
        <w:t>. C</w:t>
      </w:r>
      <w:r w:rsidRPr="005F2C41">
        <w:t xml:space="preserve"> </w:t>
      </w:r>
      <w:r w:rsidRPr="00E2543E">
        <w:rPr>
          <w:b/>
        </w:rPr>
        <w:t>2000</w:t>
      </w:r>
      <w:r w:rsidRPr="005F2C41">
        <w:t xml:space="preserve">, </w:t>
      </w:r>
      <w:r w:rsidRPr="00E2543E">
        <w:rPr>
          <w:i/>
        </w:rPr>
        <w:t>1</w:t>
      </w:r>
      <w:r w:rsidRPr="005F2C41">
        <w:t>, 1–21. DOI: 10.1016/S1389-5567(00)00002-2</w:t>
      </w:r>
    </w:p>
    <w:p w14:paraId="3F1C6E52" w14:textId="77777777" w:rsidR="00183FAF" w:rsidRPr="009C6857" w:rsidRDefault="00183FAF" w:rsidP="00183FAF">
      <w:pPr>
        <w:pStyle w:val="MDPI71References"/>
        <w:numPr>
          <w:ilvl w:val="0"/>
          <w:numId w:val="3"/>
        </w:numPr>
        <w:rPr>
          <w:color w:val="auto"/>
        </w:rPr>
      </w:pPr>
      <w:r w:rsidRPr="009C6857">
        <w:rPr>
          <w:color w:val="auto"/>
        </w:rPr>
        <w:t xml:space="preserve">Chen, X.; Mao, S.S. Titanium dioxide nanomaterials:  synthesis, properties, modifications, and applications. </w:t>
      </w:r>
      <w:r w:rsidRPr="009C6857">
        <w:rPr>
          <w:i/>
          <w:color w:val="auto"/>
        </w:rPr>
        <w:t>Chem. Rev.</w:t>
      </w:r>
      <w:r w:rsidRPr="009C6857">
        <w:rPr>
          <w:color w:val="auto"/>
        </w:rPr>
        <w:t xml:space="preserve"> </w:t>
      </w:r>
      <w:r w:rsidRPr="009C6857">
        <w:rPr>
          <w:b/>
          <w:color w:val="auto"/>
        </w:rPr>
        <w:t>2007</w:t>
      </w:r>
      <w:r w:rsidRPr="009C6857">
        <w:rPr>
          <w:color w:val="auto"/>
        </w:rPr>
        <w:t xml:space="preserve">, </w:t>
      </w:r>
      <w:r w:rsidRPr="009C6857">
        <w:rPr>
          <w:i/>
          <w:color w:val="auto"/>
        </w:rPr>
        <w:t>107</w:t>
      </w:r>
      <w:r w:rsidRPr="009C6857">
        <w:rPr>
          <w:color w:val="auto"/>
        </w:rPr>
        <w:t>, 2891–2959. DOI: 10.1021/cr0500535</w:t>
      </w:r>
    </w:p>
    <w:p w14:paraId="40C11DD3" w14:textId="77777777" w:rsidR="00183FAF" w:rsidRPr="009C6857" w:rsidRDefault="00183FAF" w:rsidP="00183FAF">
      <w:pPr>
        <w:pStyle w:val="MDPI71References"/>
        <w:numPr>
          <w:ilvl w:val="0"/>
          <w:numId w:val="3"/>
        </w:numPr>
        <w:rPr>
          <w:color w:val="auto"/>
        </w:rPr>
      </w:pPr>
      <w:r w:rsidRPr="009C6857">
        <w:rPr>
          <w:color w:val="auto"/>
        </w:rPr>
        <w:t>Henderson, M.A. A surface science perspective on TiO</w:t>
      </w:r>
      <w:r w:rsidRPr="009C6857">
        <w:rPr>
          <w:color w:val="auto"/>
          <w:vertAlign w:val="subscript"/>
        </w:rPr>
        <w:t>2</w:t>
      </w:r>
      <w:r w:rsidRPr="009C6857">
        <w:rPr>
          <w:color w:val="auto"/>
        </w:rPr>
        <w:t xml:space="preserve"> photocatalysis. </w:t>
      </w:r>
      <w:r w:rsidRPr="009C6857">
        <w:rPr>
          <w:i/>
          <w:color w:val="auto"/>
        </w:rPr>
        <w:t>Surf. Sci. Rep.</w:t>
      </w:r>
      <w:r w:rsidRPr="009C6857">
        <w:rPr>
          <w:color w:val="auto"/>
        </w:rPr>
        <w:t xml:space="preserve"> </w:t>
      </w:r>
      <w:r w:rsidRPr="009C6857">
        <w:rPr>
          <w:b/>
          <w:color w:val="auto"/>
        </w:rPr>
        <w:t>2011</w:t>
      </w:r>
      <w:r w:rsidRPr="009C6857">
        <w:rPr>
          <w:color w:val="auto"/>
        </w:rPr>
        <w:t xml:space="preserve">, </w:t>
      </w:r>
      <w:r w:rsidRPr="009C6857">
        <w:rPr>
          <w:i/>
          <w:color w:val="auto"/>
        </w:rPr>
        <w:t>66</w:t>
      </w:r>
      <w:r w:rsidRPr="009C6857">
        <w:rPr>
          <w:color w:val="auto"/>
        </w:rPr>
        <w:t>, 185–297. DOI: 10.1016/j.surfrep.2011.01.001</w:t>
      </w:r>
    </w:p>
    <w:p w14:paraId="4BA20B62" w14:textId="77777777" w:rsidR="00183FAF" w:rsidRPr="009C6857" w:rsidRDefault="00183FAF" w:rsidP="00183FAF">
      <w:pPr>
        <w:pStyle w:val="MDPI71References"/>
        <w:numPr>
          <w:ilvl w:val="0"/>
          <w:numId w:val="3"/>
        </w:numPr>
        <w:rPr>
          <w:color w:val="auto"/>
        </w:rPr>
      </w:pPr>
      <w:r w:rsidRPr="009C6857">
        <w:rPr>
          <w:color w:val="auto"/>
        </w:rPr>
        <w:t xml:space="preserve">Carp, O., Huisman, C.L., </w:t>
      </w:r>
      <w:proofErr w:type="spellStart"/>
      <w:r w:rsidRPr="009C6857">
        <w:rPr>
          <w:color w:val="auto"/>
        </w:rPr>
        <w:t>Reller</w:t>
      </w:r>
      <w:proofErr w:type="spellEnd"/>
      <w:r w:rsidRPr="009C6857">
        <w:rPr>
          <w:color w:val="auto"/>
        </w:rPr>
        <w:t xml:space="preserve">, A. Photoinduced reactivity of titanium dioxide. </w:t>
      </w:r>
      <w:proofErr w:type="spellStart"/>
      <w:r w:rsidRPr="009C6857">
        <w:rPr>
          <w:i/>
          <w:color w:val="auto"/>
        </w:rPr>
        <w:t>Prog</w:t>
      </w:r>
      <w:proofErr w:type="spellEnd"/>
      <w:r w:rsidRPr="009C6857">
        <w:rPr>
          <w:i/>
          <w:color w:val="auto"/>
        </w:rPr>
        <w:t>. Solid State Chem.</w:t>
      </w:r>
      <w:r w:rsidRPr="009C6857">
        <w:rPr>
          <w:color w:val="auto"/>
        </w:rPr>
        <w:t xml:space="preserve"> </w:t>
      </w:r>
      <w:r w:rsidRPr="00AC4789">
        <w:rPr>
          <w:b/>
          <w:color w:val="auto"/>
        </w:rPr>
        <w:t>2004</w:t>
      </w:r>
      <w:r w:rsidRPr="009C6857">
        <w:rPr>
          <w:color w:val="auto"/>
        </w:rPr>
        <w:t xml:space="preserve">, </w:t>
      </w:r>
      <w:r w:rsidRPr="00AC4789">
        <w:rPr>
          <w:i/>
          <w:color w:val="auto"/>
        </w:rPr>
        <w:t>32</w:t>
      </w:r>
      <w:r w:rsidRPr="009C6857">
        <w:rPr>
          <w:color w:val="auto"/>
        </w:rPr>
        <w:t>, 33–177. DOI: 10.1016/j.progsolidstchem.2004.08.001</w:t>
      </w:r>
    </w:p>
    <w:p w14:paraId="229B7F60" w14:textId="77777777" w:rsidR="00183FAF" w:rsidRPr="009C6857" w:rsidRDefault="00183FAF" w:rsidP="00183FAF">
      <w:pPr>
        <w:pStyle w:val="MDPI71References"/>
        <w:numPr>
          <w:ilvl w:val="0"/>
          <w:numId w:val="3"/>
        </w:numPr>
        <w:rPr>
          <w:color w:val="auto"/>
        </w:rPr>
      </w:pPr>
      <w:r w:rsidRPr="009C6857">
        <w:rPr>
          <w:color w:val="auto"/>
        </w:rPr>
        <w:t xml:space="preserve">Lee, K.M., Lai, C.W., Ngai, K.S., Juan, J.C. Recent developments of zinc oxide based photocatalyst in water treatment technology: A review. </w:t>
      </w:r>
      <w:r w:rsidRPr="00AC4789">
        <w:rPr>
          <w:i/>
          <w:color w:val="auto"/>
        </w:rPr>
        <w:t>Water Res.</w:t>
      </w:r>
      <w:r w:rsidRPr="009C6857">
        <w:rPr>
          <w:color w:val="auto"/>
        </w:rPr>
        <w:t xml:space="preserve"> </w:t>
      </w:r>
      <w:r w:rsidRPr="009C6857">
        <w:rPr>
          <w:b/>
          <w:color w:val="auto"/>
        </w:rPr>
        <w:t>2016</w:t>
      </w:r>
      <w:r w:rsidRPr="009C6857">
        <w:rPr>
          <w:color w:val="auto"/>
        </w:rPr>
        <w:t xml:space="preserve">, </w:t>
      </w:r>
      <w:r w:rsidRPr="009C6857">
        <w:rPr>
          <w:i/>
          <w:color w:val="auto"/>
        </w:rPr>
        <w:t>88</w:t>
      </w:r>
      <w:r w:rsidRPr="009C6857">
        <w:rPr>
          <w:color w:val="auto"/>
        </w:rPr>
        <w:t>, 428–448. DOI: 10.1016/j.watres.2015.09.045</w:t>
      </w:r>
    </w:p>
    <w:p w14:paraId="4272585F" w14:textId="77777777" w:rsidR="00183FAF" w:rsidRPr="009C6857" w:rsidRDefault="00183FAF" w:rsidP="00183FAF">
      <w:pPr>
        <w:pStyle w:val="MDPI71References"/>
        <w:numPr>
          <w:ilvl w:val="0"/>
          <w:numId w:val="3"/>
        </w:numPr>
        <w:rPr>
          <w:color w:val="auto"/>
          <w:szCs w:val="18"/>
        </w:rPr>
      </w:pPr>
      <w:r w:rsidRPr="009C6857">
        <w:rPr>
          <w:color w:val="auto"/>
          <w:szCs w:val="18"/>
        </w:rPr>
        <w:t xml:space="preserve">Ong, C.B., Ng, L.Y., Mohammad, A.W. A review of </w:t>
      </w:r>
      <w:proofErr w:type="spellStart"/>
      <w:r w:rsidRPr="009C6857">
        <w:rPr>
          <w:color w:val="auto"/>
          <w:szCs w:val="18"/>
        </w:rPr>
        <w:t>ZnO</w:t>
      </w:r>
      <w:proofErr w:type="spellEnd"/>
      <w:r w:rsidRPr="009C6857">
        <w:rPr>
          <w:color w:val="auto"/>
          <w:szCs w:val="18"/>
        </w:rPr>
        <w:t xml:space="preserve"> nanoparticles as solar photocatalysts: Synthesis, mechanisms and applications. </w:t>
      </w:r>
      <w:r w:rsidRPr="00AC4789">
        <w:rPr>
          <w:i/>
          <w:color w:val="auto"/>
          <w:szCs w:val="18"/>
        </w:rPr>
        <w:t xml:space="preserve">Renew. </w:t>
      </w:r>
      <w:proofErr w:type="spellStart"/>
      <w:r w:rsidRPr="00AC4789">
        <w:rPr>
          <w:i/>
          <w:color w:val="auto"/>
          <w:szCs w:val="18"/>
        </w:rPr>
        <w:t>Sust</w:t>
      </w:r>
      <w:proofErr w:type="spellEnd"/>
      <w:r w:rsidRPr="00AC4789">
        <w:rPr>
          <w:i/>
          <w:color w:val="auto"/>
          <w:szCs w:val="18"/>
        </w:rPr>
        <w:t xml:space="preserve">. </w:t>
      </w:r>
      <w:proofErr w:type="spellStart"/>
      <w:r w:rsidRPr="00AC4789">
        <w:rPr>
          <w:i/>
          <w:color w:val="auto"/>
          <w:szCs w:val="18"/>
        </w:rPr>
        <w:t>Energ</w:t>
      </w:r>
      <w:proofErr w:type="spellEnd"/>
      <w:r w:rsidRPr="00AC4789">
        <w:rPr>
          <w:i/>
          <w:color w:val="auto"/>
          <w:szCs w:val="18"/>
        </w:rPr>
        <w:t>. Rev.</w:t>
      </w:r>
      <w:r w:rsidRPr="009C6857">
        <w:rPr>
          <w:color w:val="auto"/>
          <w:szCs w:val="18"/>
        </w:rPr>
        <w:t xml:space="preserve"> </w:t>
      </w:r>
      <w:r w:rsidRPr="009C6857">
        <w:rPr>
          <w:b/>
          <w:color w:val="auto"/>
          <w:szCs w:val="18"/>
        </w:rPr>
        <w:t>2018</w:t>
      </w:r>
      <w:r w:rsidRPr="009C6857">
        <w:rPr>
          <w:color w:val="auto"/>
          <w:szCs w:val="18"/>
        </w:rPr>
        <w:t xml:space="preserve">, </w:t>
      </w:r>
      <w:r w:rsidRPr="009C6857">
        <w:rPr>
          <w:i/>
          <w:color w:val="auto"/>
          <w:szCs w:val="18"/>
        </w:rPr>
        <w:t>81</w:t>
      </w:r>
      <w:r w:rsidRPr="009C6857">
        <w:rPr>
          <w:color w:val="auto"/>
          <w:szCs w:val="18"/>
        </w:rPr>
        <w:t>, 536–551. DOI: 10.1016/j.rser.2017.08.020</w:t>
      </w:r>
    </w:p>
    <w:p w14:paraId="37B50DD4" w14:textId="77777777" w:rsidR="00183FAF" w:rsidRPr="005F2C41" w:rsidRDefault="00183FAF" w:rsidP="00183FAF">
      <w:pPr>
        <w:pStyle w:val="MDPI71References"/>
        <w:numPr>
          <w:ilvl w:val="0"/>
          <w:numId w:val="3"/>
        </w:numPr>
      </w:pPr>
      <w:r w:rsidRPr="009C6857">
        <w:rPr>
          <w:color w:val="auto"/>
          <w:szCs w:val="18"/>
        </w:rPr>
        <w:t xml:space="preserve">Zhang, H., Chen, G., </w:t>
      </w:r>
      <w:proofErr w:type="spellStart"/>
      <w:r w:rsidRPr="009C6857">
        <w:rPr>
          <w:color w:val="auto"/>
          <w:szCs w:val="18"/>
        </w:rPr>
        <w:t>Bahnemann</w:t>
      </w:r>
      <w:proofErr w:type="spellEnd"/>
      <w:r w:rsidRPr="009C6857">
        <w:rPr>
          <w:color w:val="auto"/>
          <w:szCs w:val="18"/>
        </w:rPr>
        <w:t xml:space="preserve">, D.W. </w:t>
      </w:r>
      <w:proofErr w:type="spellStart"/>
      <w:r w:rsidRPr="009C6857">
        <w:rPr>
          <w:color w:val="auto"/>
          <w:szCs w:val="18"/>
        </w:rPr>
        <w:t>Photoelectrocatalytic</w:t>
      </w:r>
      <w:proofErr w:type="spellEnd"/>
      <w:r w:rsidRPr="009C6857">
        <w:rPr>
          <w:color w:val="auto"/>
          <w:szCs w:val="18"/>
        </w:rPr>
        <w:t xml:space="preserve"> materials for environmental applications. </w:t>
      </w:r>
      <w:r w:rsidRPr="00AC4789">
        <w:rPr>
          <w:i/>
          <w:color w:val="auto"/>
          <w:szCs w:val="18"/>
        </w:rPr>
        <w:t>J. Mater. Chem.</w:t>
      </w:r>
      <w:r w:rsidRPr="009C6857">
        <w:rPr>
          <w:color w:val="auto"/>
          <w:szCs w:val="18"/>
        </w:rPr>
        <w:t xml:space="preserve"> </w:t>
      </w:r>
      <w:r w:rsidRPr="009C6857">
        <w:rPr>
          <w:b/>
          <w:color w:val="auto"/>
          <w:szCs w:val="18"/>
        </w:rPr>
        <w:t>2009</w:t>
      </w:r>
      <w:r w:rsidRPr="009C6857">
        <w:rPr>
          <w:color w:val="auto"/>
          <w:szCs w:val="18"/>
        </w:rPr>
        <w:t>, 19(29), 5089–5121. DOI: 10.1039/B821991E</w:t>
      </w:r>
    </w:p>
    <w:p w14:paraId="37E04546" w14:textId="77777777" w:rsidR="00183FAF" w:rsidRPr="005F2C41" w:rsidRDefault="00183FAF" w:rsidP="00183FAF">
      <w:pPr>
        <w:pStyle w:val="MDPI71References"/>
        <w:numPr>
          <w:ilvl w:val="0"/>
          <w:numId w:val="3"/>
        </w:numPr>
      </w:pPr>
      <w:r w:rsidRPr="005F2C41">
        <w:t xml:space="preserve">Sun, R.-D.; Nakajima, A.; </w:t>
      </w:r>
      <w:proofErr w:type="spellStart"/>
      <w:r w:rsidRPr="005F2C41">
        <w:t>Fujishima</w:t>
      </w:r>
      <w:proofErr w:type="spellEnd"/>
      <w:r w:rsidRPr="005F2C41">
        <w:t xml:space="preserve">, A.; Watanabe, T.; Hashimoto, K. Photoinduced surface wettability conversion of </w:t>
      </w:r>
      <w:proofErr w:type="spellStart"/>
      <w:r w:rsidRPr="005F2C41">
        <w:t>ZnO</w:t>
      </w:r>
      <w:proofErr w:type="spellEnd"/>
      <w:r w:rsidRPr="005F2C41">
        <w:t xml:space="preserve"> and TiO</w:t>
      </w:r>
      <w:r w:rsidRPr="00E2543E">
        <w:rPr>
          <w:vertAlign w:val="subscript"/>
        </w:rPr>
        <w:t>2</w:t>
      </w:r>
      <w:r w:rsidRPr="005F2C41">
        <w:t xml:space="preserve"> </w:t>
      </w:r>
      <w:r>
        <w:t>t</w:t>
      </w:r>
      <w:r w:rsidRPr="005F2C41">
        <w:t xml:space="preserve">hin </w:t>
      </w:r>
      <w:r>
        <w:t>f</w:t>
      </w:r>
      <w:r w:rsidRPr="005F2C41">
        <w:t xml:space="preserve">ilms. </w:t>
      </w:r>
      <w:r w:rsidRPr="00E2543E">
        <w:rPr>
          <w:i/>
        </w:rPr>
        <w:t>J. Phys. Chem. B</w:t>
      </w:r>
      <w:r w:rsidRPr="005F2C41">
        <w:t xml:space="preserve"> </w:t>
      </w:r>
      <w:r w:rsidRPr="00E2543E">
        <w:rPr>
          <w:b/>
        </w:rPr>
        <w:t>2001</w:t>
      </w:r>
      <w:r w:rsidRPr="005F2C41">
        <w:t xml:space="preserve">, </w:t>
      </w:r>
      <w:r w:rsidRPr="00E2543E">
        <w:rPr>
          <w:i/>
        </w:rPr>
        <w:t>105</w:t>
      </w:r>
      <w:r w:rsidRPr="005F2C41">
        <w:t>, 1984–1990. DOI: 10.1021/jp002525j</w:t>
      </w:r>
    </w:p>
    <w:p w14:paraId="31CE5E4E" w14:textId="77777777" w:rsidR="00183FAF" w:rsidRPr="005F2C41" w:rsidRDefault="00183FAF" w:rsidP="00183FAF">
      <w:pPr>
        <w:pStyle w:val="MDPI71References"/>
        <w:numPr>
          <w:ilvl w:val="0"/>
          <w:numId w:val="3"/>
        </w:numPr>
      </w:pPr>
      <w:proofErr w:type="spellStart"/>
      <w:r w:rsidRPr="005F2C41">
        <w:t>Miyauchi</w:t>
      </w:r>
      <w:proofErr w:type="spellEnd"/>
      <w:r w:rsidRPr="005F2C41">
        <w:t xml:space="preserve">, M.; Nakajima, A.; Watanabe, T.; Hashimoto, K. Photocatalysis and photoinduced hydrophilicity of various metal oxide thin films. </w:t>
      </w:r>
      <w:r w:rsidRPr="00E2543E">
        <w:rPr>
          <w:i/>
        </w:rPr>
        <w:t>Chem. Mater.</w:t>
      </w:r>
      <w:r w:rsidRPr="005F2C41">
        <w:t xml:space="preserve"> </w:t>
      </w:r>
      <w:r w:rsidRPr="00E2543E">
        <w:rPr>
          <w:b/>
        </w:rPr>
        <w:t>2002</w:t>
      </w:r>
      <w:r w:rsidRPr="005F2C41">
        <w:t xml:space="preserve">, </w:t>
      </w:r>
      <w:r w:rsidRPr="00E2543E">
        <w:rPr>
          <w:i/>
        </w:rPr>
        <w:t>14</w:t>
      </w:r>
      <w:r w:rsidRPr="005F2C41">
        <w:t>, 2812–2816. DOI: 10.1021/cm020076p</w:t>
      </w:r>
    </w:p>
    <w:p w14:paraId="5504A1F0" w14:textId="77777777" w:rsidR="00183FAF" w:rsidRPr="005F2C41" w:rsidRDefault="00183FAF" w:rsidP="00183FAF">
      <w:pPr>
        <w:pStyle w:val="MDPI71References"/>
        <w:numPr>
          <w:ilvl w:val="0"/>
          <w:numId w:val="3"/>
        </w:numPr>
      </w:pPr>
      <w:proofErr w:type="spellStart"/>
      <w:r w:rsidRPr="005F2C41">
        <w:t>Miyauchi</w:t>
      </w:r>
      <w:proofErr w:type="spellEnd"/>
      <w:r w:rsidRPr="005F2C41">
        <w:t>, M.; Nakajima, A.; Watanabe, T.; Hashimoto, K. Photoinduced hydrophilic conversion of TiO</w:t>
      </w:r>
      <w:r w:rsidRPr="00E2543E">
        <w:rPr>
          <w:vertAlign w:val="subscript"/>
        </w:rPr>
        <w:t>2</w:t>
      </w:r>
      <w:r w:rsidRPr="005F2C41">
        <w:t>/WO</w:t>
      </w:r>
      <w:r w:rsidRPr="00E2543E">
        <w:rPr>
          <w:vertAlign w:val="subscript"/>
        </w:rPr>
        <w:t>3</w:t>
      </w:r>
      <w:r w:rsidRPr="005F2C41">
        <w:t xml:space="preserve"> layered thin films. </w:t>
      </w:r>
      <w:r w:rsidRPr="00E2543E">
        <w:rPr>
          <w:i/>
        </w:rPr>
        <w:t>Chem. Mater.</w:t>
      </w:r>
      <w:r w:rsidRPr="005F2C41">
        <w:t xml:space="preserve"> </w:t>
      </w:r>
      <w:r w:rsidRPr="00E2543E">
        <w:rPr>
          <w:b/>
        </w:rPr>
        <w:t>2002</w:t>
      </w:r>
      <w:r w:rsidRPr="005F2C41">
        <w:t xml:space="preserve">, </w:t>
      </w:r>
      <w:r w:rsidRPr="00E2543E">
        <w:rPr>
          <w:i/>
        </w:rPr>
        <w:t>14</w:t>
      </w:r>
      <w:r w:rsidRPr="005F2C41">
        <w:t>, 4714–4720. DOI: 10.1021/cm020355c</w:t>
      </w:r>
    </w:p>
    <w:p w14:paraId="2DC55898" w14:textId="77777777" w:rsidR="00183FAF" w:rsidRPr="005F2C41" w:rsidRDefault="00183FAF" w:rsidP="00183FAF">
      <w:pPr>
        <w:pStyle w:val="MDPI71References"/>
        <w:numPr>
          <w:ilvl w:val="0"/>
          <w:numId w:val="3"/>
        </w:numPr>
      </w:pPr>
      <w:r w:rsidRPr="005F2C41">
        <w:t>Kim, H.-M.; Kim, D.; Kim, B. Photoinduced hydrophilicity of TiO</w:t>
      </w:r>
      <w:r w:rsidRPr="00E2543E">
        <w:rPr>
          <w:vertAlign w:val="subscript"/>
        </w:rPr>
        <w:t>2</w:t>
      </w:r>
      <w:r w:rsidRPr="005F2C41">
        <w:t>/WO</w:t>
      </w:r>
      <w:r w:rsidRPr="00E2543E">
        <w:rPr>
          <w:vertAlign w:val="subscript"/>
        </w:rPr>
        <w:t>3</w:t>
      </w:r>
      <w:r w:rsidRPr="005F2C41">
        <w:t xml:space="preserve"> double layer films. </w:t>
      </w:r>
      <w:r w:rsidRPr="00E2543E">
        <w:rPr>
          <w:i/>
        </w:rPr>
        <w:t>Surf. Coat. Technol.</w:t>
      </w:r>
      <w:r w:rsidRPr="005F2C41">
        <w:t xml:space="preserve"> </w:t>
      </w:r>
      <w:r w:rsidRPr="00E2543E">
        <w:rPr>
          <w:b/>
        </w:rPr>
        <w:t>2015</w:t>
      </w:r>
      <w:r w:rsidRPr="005F2C41">
        <w:t xml:space="preserve">, </w:t>
      </w:r>
      <w:r w:rsidRPr="00E2543E">
        <w:rPr>
          <w:i/>
        </w:rPr>
        <w:t>271</w:t>
      </w:r>
      <w:r w:rsidRPr="005F2C41">
        <w:t>, 18–21. DOI: 10.1016/j.surfcoat.2015.01.054</w:t>
      </w:r>
    </w:p>
    <w:p w14:paraId="06E481FC" w14:textId="77777777" w:rsidR="00183FAF" w:rsidRPr="005F2C41" w:rsidRDefault="00183FAF" w:rsidP="00183FAF">
      <w:pPr>
        <w:pStyle w:val="MDPI71References"/>
        <w:numPr>
          <w:ilvl w:val="0"/>
          <w:numId w:val="3"/>
        </w:numPr>
      </w:pPr>
      <w:proofErr w:type="spellStart"/>
      <w:r w:rsidRPr="005F2C41">
        <w:t>Maevskaya</w:t>
      </w:r>
      <w:proofErr w:type="spellEnd"/>
      <w:r w:rsidRPr="005F2C41">
        <w:t xml:space="preserve">, M.V.; </w:t>
      </w:r>
      <w:proofErr w:type="spellStart"/>
      <w:r w:rsidRPr="005F2C41">
        <w:t>Sivokhina</w:t>
      </w:r>
      <w:proofErr w:type="spellEnd"/>
      <w:r w:rsidRPr="005F2C41">
        <w:t xml:space="preserve">, M.M.; </w:t>
      </w:r>
      <w:proofErr w:type="spellStart"/>
      <w:r w:rsidRPr="005F2C41">
        <w:t>Rudakova</w:t>
      </w:r>
      <w:proofErr w:type="spellEnd"/>
      <w:r w:rsidRPr="005F2C41">
        <w:t>, A.V.; Emeline, A.V. Photocatalytic properties of layered TiO</w:t>
      </w:r>
      <w:r w:rsidRPr="00E2543E">
        <w:rPr>
          <w:vertAlign w:val="subscript"/>
        </w:rPr>
        <w:t>2</w:t>
      </w:r>
      <w:r w:rsidRPr="005F2C41">
        <w:t>/</w:t>
      </w:r>
      <w:proofErr w:type="spellStart"/>
      <w:r w:rsidRPr="005F2C41">
        <w:t>CdS</w:t>
      </w:r>
      <w:proofErr w:type="spellEnd"/>
      <w:r w:rsidRPr="005F2C41">
        <w:t>, TiO</w:t>
      </w:r>
      <w:r w:rsidRPr="00E2543E">
        <w:rPr>
          <w:vertAlign w:val="subscript"/>
        </w:rPr>
        <w:t>2</w:t>
      </w:r>
      <w:r w:rsidRPr="005F2C41">
        <w:t>/</w:t>
      </w:r>
      <w:proofErr w:type="spellStart"/>
      <w:r w:rsidRPr="005F2C41">
        <w:t>ZnO</w:t>
      </w:r>
      <w:proofErr w:type="spellEnd"/>
      <w:r w:rsidRPr="005F2C41">
        <w:t xml:space="preserve">, </w:t>
      </w:r>
      <w:proofErr w:type="spellStart"/>
      <w:r w:rsidRPr="005F2C41">
        <w:t>ZnO</w:t>
      </w:r>
      <w:proofErr w:type="spellEnd"/>
      <w:r w:rsidRPr="005F2C41">
        <w:t>/TiO</w:t>
      </w:r>
      <w:r w:rsidRPr="00E2543E">
        <w:rPr>
          <w:vertAlign w:val="subscript"/>
        </w:rPr>
        <w:t>2</w:t>
      </w:r>
      <w:r w:rsidRPr="005F2C41">
        <w:t xml:space="preserve"> heterostructures. Proceedings of the 6th International Conference on Semiconductor and Phot</w:t>
      </w:r>
      <w:r w:rsidRPr="005F2C41">
        <w:t>o</w:t>
      </w:r>
      <w:r w:rsidRPr="005F2C41">
        <w:t>chemistry, Oldenburg, Germany, 11–14 September, 2017.</w:t>
      </w:r>
    </w:p>
    <w:p w14:paraId="075B4DF5" w14:textId="77777777" w:rsidR="00183FAF" w:rsidRPr="005F2C41" w:rsidRDefault="00183FAF" w:rsidP="00183FAF">
      <w:pPr>
        <w:pStyle w:val="MDPI71References"/>
        <w:numPr>
          <w:ilvl w:val="0"/>
          <w:numId w:val="3"/>
        </w:numPr>
      </w:pPr>
      <w:proofErr w:type="spellStart"/>
      <w:r w:rsidRPr="005F2C41">
        <w:t>Grishina</w:t>
      </w:r>
      <w:proofErr w:type="spellEnd"/>
      <w:r w:rsidRPr="005F2C41">
        <w:t xml:space="preserve">, A.E.; </w:t>
      </w:r>
      <w:proofErr w:type="spellStart"/>
      <w:r w:rsidRPr="005F2C41">
        <w:t>Maevskaya</w:t>
      </w:r>
      <w:proofErr w:type="spellEnd"/>
      <w:r w:rsidRPr="005F2C41">
        <w:t xml:space="preserve">, M.V.; </w:t>
      </w:r>
      <w:proofErr w:type="spellStart"/>
      <w:r w:rsidRPr="005F2C41">
        <w:t>Rudakova</w:t>
      </w:r>
      <w:proofErr w:type="spellEnd"/>
      <w:r w:rsidRPr="005F2C41">
        <w:t>, A.V.; Emeline, A.V. Photoinduced hydrophilic behavior of hydrated surfaces of TiO</w:t>
      </w:r>
      <w:r w:rsidRPr="00E2543E">
        <w:rPr>
          <w:vertAlign w:val="subscript"/>
        </w:rPr>
        <w:t>2</w:t>
      </w:r>
      <w:r w:rsidRPr="005F2C41">
        <w:t>/</w:t>
      </w:r>
      <w:proofErr w:type="spellStart"/>
      <w:r w:rsidRPr="005F2C41">
        <w:t>ZnO</w:t>
      </w:r>
      <w:proofErr w:type="spellEnd"/>
      <w:r w:rsidRPr="005F2C41">
        <w:t>, TiO</w:t>
      </w:r>
      <w:r w:rsidRPr="00E2543E">
        <w:rPr>
          <w:vertAlign w:val="subscript"/>
        </w:rPr>
        <w:t>2</w:t>
      </w:r>
      <w:r w:rsidRPr="005F2C41">
        <w:t>/</w:t>
      </w:r>
      <w:proofErr w:type="spellStart"/>
      <w:r w:rsidRPr="005F2C41">
        <w:t>CdS</w:t>
      </w:r>
      <w:proofErr w:type="spellEnd"/>
      <w:r w:rsidRPr="005F2C41">
        <w:t>, TiO</w:t>
      </w:r>
      <w:r w:rsidRPr="00E2543E">
        <w:rPr>
          <w:vertAlign w:val="subscript"/>
        </w:rPr>
        <w:t>2</w:t>
      </w:r>
      <w:r w:rsidRPr="005F2C41">
        <w:t>/WO</w:t>
      </w:r>
      <w:r w:rsidRPr="00E2543E">
        <w:rPr>
          <w:vertAlign w:val="subscript"/>
        </w:rPr>
        <w:t>3</w:t>
      </w:r>
      <w:r w:rsidRPr="005F2C41">
        <w:t xml:space="preserve"> composite films. Proceedings of the 9th European Meeting on Solar Chemistry and Photocatalysis, Strasburg, France, 13-17 June, 2016.</w:t>
      </w:r>
    </w:p>
    <w:p w14:paraId="54CA6653" w14:textId="77777777" w:rsidR="00183FAF" w:rsidRPr="005F2C41" w:rsidRDefault="00183FAF" w:rsidP="00183FAF">
      <w:pPr>
        <w:pStyle w:val="MDPI71References"/>
        <w:numPr>
          <w:ilvl w:val="0"/>
          <w:numId w:val="3"/>
        </w:numPr>
      </w:pPr>
      <w:proofErr w:type="spellStart"/>
      <w:r w:rsidRPr="005F2C41">
        <w:t>Maevskaya</w:t>
      </w:r>
      <w:proofErr w:type="spellEnd"/>
      <w:r w:rsidRPr="005F2C41">
        <w:t xml:space="preserve">, M.V.; </w:t>
      </w:r>
      <w:proofErr w:type="spellStart"/>
      <w:r w:rsidRPr="005F2C41">
        <w:t>Rudakova</w:t>
      </w:r>
      <w:proofErr w:type="spellEnd"/>
      <w:r w:rsidRPr="005F2C41">
        <w:t xml:space="preserve">, A.V.; Emeline, A.V.; </w:t>
      </w:r>
      <w:proofErr w:type="spellStart"/>
      <w:r w:rsidRPr="005F2C41">
        <w:t>Bahnemann</w:t>
      </w:r>
      <w:proofErr w:type="spellEnd"/>
      <w:r w:rsidRPr="005F2C41">
        <w:t>, D.W. Effect of Cu</w:t>
      </w:r>
      <w:r w:rsidRPr="00E2543E">
        <w:rPr>
          <w:vertAlign w:val="subscript"/>
        </w:rPr>
        <w:t>2</w:t>
      </w:r>
      <w:r w:rsidRPr="005F2C41">
        <w:t>O substrate on photoinduced hydr</w:t>
      </w:r>
      <w:r w:rsidRPr="005F2C41">
        <w:t>o</w:t>
      </w:r>
      <w:r w:rsidRPr="005F2C41">
        <w:t>philicity of TiO</w:t>
      </w:r>
      <w:r w:rsidRPr="00E2543E">
        <w:rPr>
          <w:vertAlign w:val="subscript"/>
        </w:rPr>
        <w:t>2</w:t>
      </w:r>
      <w:r w:rsidRPr="005F2C41">
        <w:t xml:space="preserve"> and </w:t>
      </w:r>
      <w:proofErr w:type="spellStart"/>
      <w:r w:rsidRPr="005F2C41">
        <w:t>ZnO</w:t>
      </w:r>
      <w:proofErr w:type="spellEnd"/>
      <w:r w:rsidRPr="005F2C41">
        <w:t xml:space="preserve"> nanocoatings. </w:t>
      </w:r>
      <w:r w:rsidRPr="00E2543E">
        <w:rPr>
          <w:i/>
        </w:rPr>
        <w:t>Nanomaterials</w:t>
      </w:r>
      <w:r w:rsidRPr="005F2C41">
        <w:t xml:space="preserve"> </w:t>
      </w:r>
      <w:r w:rsidRPr="00E2543E">
        <w:rPr>
          <w:b/>
        </w:rPr>
        <w:t>2021</w:t>
      </w:r>
      <w:r w:rsidRPr="005F2C41">
        <w:t xml:space="preserve">, </w:t>
      </w:r>
      <w:r w:rsidRPr="00E2543E">
        <w:rPr>
          <w:i/>
        </w:rPr>
        <w:t>11</w:t>
      </w:r>
      <w:r w:rsidRPr="005F2C41">
        <w:t>, 1526. DOI: 10.3390/nano11061526</w:t>
      </w:r>
    </w:p>
    <w:p w14:paraId="73C47270" w14:textId="77777777" w:rsidR="00183FAF" w:rsidRPr="003904F9" w:rsidRDefault="00183FAF" w:rsidP="00183FAF">
      <w:pPr>
        <w:pStyle w:val="MDPI71References"/>
        <w:numPr>
          <w:ilvl w:val="0"/>
          <w:numId w:val="3"/>
        </w:numPr>
      </w:pPr>
      <w:proofErr w:type="spellStart"/>
      <w:r w:rsidRPr="003904F9">
        <w:t>Rudakova</w:t>
      </w:r>
      <w:proofErr w:type="spellEnd"/>
      <w:r w:rsidRPr="003904F9">
        <w:t xml:space="preserve">, A.V.; Emeline, A.V.; </w:t>
      </w:r>
      <w:proofErr w:type="spellStart"/>
      <w:r w:rsidRPr="003904F9">
        <w:t>Romanychev</w:t>
      </w:r>
      <w:proofErr w:type="spellEnd"/>
      <w:r w:rsidRPr="003904F9">
        <w:t xml:space="preserve">, A.I.; </w:t>
      </w:r>
      <w:proofErr w:type="spellStart"/>
      <w:r w:rsidRPr="003904F9">
        <w:t>Bahnemann</w:t>
      </w:r>
      <w:proofErr w:type="spellEnd"/>
      <w:r w:rsidRPr="003904F9">
        <w:t>, D.W. Photoinduced hydrophilic behavior of TiO</w:t>
      </w:r>
      <w:r w:rsidRPr="003904F9">
        <w:rPr>
          <w:vertAlign w:val="subscript"/>
        </w:rPr>
        <w:t>2</w:t>
      </w:r>
      <w:r w:rsidRPr="003904F9">
        <w:t xml:space="preserve"> thin film on Si substrate. </w:t>
      </w:r>
      <w:r w:rsidRPr="003904F9">
        <w:rPr>
          <w:i/>
        </w:rPr>
        <w:t>J. Alloys Compd.</w:t>
      </w:r>
      <w:r w:rsidRPr="003904F9">
        <w:t xml:space="preserve"> </w:t>
      </w:r>
      <w:r w:rsidRPr="003904F9">
        <w:rPr>
          <w:b/>
        </w:rPr>
        <w:t>2021</w:t>
      </w:r>
      <w:r w:rsidRPr="003904F9">
        <w:t>,</w:t>
      </w:r>
      <w:r w:rsidRPr="003904F9">
        <w:rPr>
          <w:i/>
        </w:rPr>
        <w:t xml:space="preserve"> 872</w:t>
      </w:r>
      <w:r w:rsidRPr="003904F9">
        <w:t>, 159746. DOI: 10.1016/j.jallcom.2021.15974</w:t>
      </w:r>
    </w:p>
    <w:p w14:paraId="52672F4B" w14:textId="77777777" w:rsidR="00183FAF" w:rsidRPr="005F2C41" w:rsidRDefault="00183FAF" w:rsidP="00183FAF">
      <w:pPr>
        <w:pStyle w:val="MDPI71References"/>
        <w:numPr>
          <w:ilvl w:val="0"/>
          <w:numId w:val="3"/>
        </w:numPr>
      </w:pPr>
      <w:proofErr w:type="spellStart"/>
      <w:r w:rsidRPr="005F2C41">
        <w:t>Fujishima</w:t>
      </w:r>
      <w:proofErr w:type="spellEnd"/>
      <w:r w:rsidRPr="005F2C41">
        <w:t xml:space="preserve">, A.; Zhang, X. Titanium dioxide photocatalysis: present situation and future approaches. </w:t>
      </w:r>
      <w:r w:rsidRPr="00E2543E">
        <w:rPr>
          <w:i/>
        </w:rPr>
        <w:t xml:space="preserve">C. R. </w:t>
      </w:r>
      <w:proofErr w:type="spellStart"/>
      <w:r w:rsidRPr="00E2543E">
        <w:rPr>
          <w:i/>
        </w:rPr>
        <w:t>Chim</w:t>
      </w:r>
      <w:proofErr w:type="spellEnd"/>
      <w:r w:rsidRPr="00E2543E">
        <w:rPr>
          <w:i/>
        </w:rPr>
        <w:t>.</w:t>
      </w:r>
      <w:r w:rsidRPr="005F2C41">
        <w:t xml:space="preserve"> </w:t>
      </w:r>
      <w:r w:rsidRPr="00E2543E">
        <w:rPr>
          <w:b/>
        </w:rPr>
        <w:t>2006</w:t>
      </w:r>
      <w:r w:rsidRPr="005F2C41">
        <w:t xml:space="preserve">, </w:t>
      </w:r>
      <w:r w:rsidRPr="00E2543E">
        <w:rPr>
          <w:i/>
        </w:rPr>
        <w:t>9</w:t>
      </w:r>
      <w:r w:rsidRPr="005F2C41">
        <w:t>, 750–760. DOI: 10.1016/j.crci.2005.02.055</w:t>
      </w:r>
    </w:p>
    <w:p w14:paraId="5B8E2CC8" w14:textId="77777777" w:rsidR="00183FAF" w:rsidRDefault="00183FAF" w:rsidP="00183FAF">
      <w:pPr>
        <w:pStyle w:val="MDPI71References"/>
        <w:numPr>
          <w:ilvl w:val="0"/>
          <w:numId w:val="3"/>
        </w:numPr>
      </w:pPr>
      <w:proofErr w:type="spellStart"/>
      <w:r w:rsidRPr="00172F8B">
        <w:t>Fujishima</w:t>
      </w:r>
      <w:proofErr w:type="spellEnd"/>
      <w:r w:rsidRPr="00172F8B">
        <w:t xml:space="preserve">, A.; Zhang, X.; </w:t>
      </w:r>
      <w:proofErr w:type="spellStart"/>
      <w:r w:rsidRPr="00172F8B">
        <w:t>Tryk</w:t>
      </w:r>
      <w:proofErr w:type="spellEnd"/>
      <w:r w:rsidRPr="00172F8B">
        <w:t>, D.A. TiO</w:t>
      </w:r>
      <w:r w:rsidRPr="00172F8B">
        <w:rPr>
          <w:vertAlign w:val="subscript"/>
        </w:rPr>
        <w:t>2</w:t>
      </w:r>
      <w:r w:rsidRPr="00172F8B">
        <w:t xml:space="preserve"> photocatalysis and related surface phenomena. </w:t>
      </w:r>
      <w:r w:rsidRPr="00172F8B">
        <w:rPr>
          <w:i/>
        </w:rPr>
        <w:t>Surf. Sci. Rep.</w:t>
      </w:r>
      <w:r w:rsidRPr="00172F8B">
        <w:t xml:space="preserve"> </w:t>
      </w:r>
      <w:r w:rsidRPr="00172F8B">
        <w:rPr>
          <w:b/>
        </w:rPr>
        <w:t>2008</w:t>
      </w:r>
      <w:r w:rsidRPr="00172F8B">
        <w:t xml:space="preserve">, </w:t>
      </w:r>
      <w:r w:rsidRPr="00172F8B">
        <w:rPr>
          <w:i/>
        </w:rPr>
        <w:t>63</w:t>
      </w:r>
      <w:r w:rsidRPr="00172F8B">
        <w:t>, 515–582. DOI: 10.1016/j.surfrep.2008.10.001</w:t>
      </w:r>
    </w:p>
    <w:p w14:paraId="7858DB01" w14:textId="77777777" w:rsidR="00183FAF" w:rsidRPr="009C6857" w:rsidRDefault="00183FAF" w:rsidP="00183FAF">
      <w:pPr>
        <w:pStyle w:val="MDPI71References"/>
        <w:numPr>
          <w:ilvl w:val="0"/>
          <w:numId w:val="3"/>
        </w:numPr>
      </w:pPr>
      <w:proofErr w:type="spellStart"/>
      <w:r w:rsidRPr="009C6857">
        <w:t>Samsudin</w:t>
      </w:r>
      <w:proofErr w:type="spellEnd"/>
      <w:r w:rsidRPr="009C6857">
        <w:t xml:space="preserve">, M.F.R.; </w:t>
      </w:r>
      <w:proofErr w:type="spellStart"/>
      <w:r w:rsidRPr="009C6857">
        <w:t>Sufian</w:t>
      </w:r>
      <w:proofErr w:type="spellEnd"/>
      <w:r w:rsidRPr="009C6857">
        <w:t>, S.; Hameed, B.H. Epigrammatic progress and perspective on the photocatalytic properties of BiVO</w:t>
      </w:r>
      <w:r w:rsidRPr="009C6857">
        <w:rPr>
          <w:vertAlign w:val="subscript"/>
        </w:rPr>
        <w:t>4</w:t>
      </w:r>
      <w:r w:rsidRPr="009C6857">
        <w:t xml:space="preserve">-based photocatalyst in photocatalytic water treatment technology: A review. </w:t>
      </w:r>
      <w:r w:rsidRPr="009C6857">
        <w:rPr>
          <w:i/>
        </w:rPr>
        <w:t>J. Mol. Liq.</w:t>
      </w:r>
      <w:r w:rsidRPr="009C6857">
        <w:t xml:space="preserve"> </w:t>
      </w:r>
      <w:r w:rsidRPr="009C6857">
        <w:rPr>
          <w:b/>
        </w:rPr>
        <w:t>2018</w:t>
      </w:r>
      <w:r w:rsidRPr="009C6857">
        <w:t xml:space="preserve">, </w:t>
      </w:r>
      <w:r w:rsidRPr="009C6857">
        <w:rPr>
          <w:i/>
        </w:rPr>
        <w:t>268</w:t>
      </w:r>
      <w:r w:rsidRPr="009C6857">
        <w:t>, 438–459. DOI: 10.1016/j.molliq.2018.07.051</w:t>
      </w:r>
    </w:p>
    <w:p w14:paraId="03D6BA37" w14:textId="77777777" w:rsidR="00183FAF" w:rsidRPr="009C6857" w:rsidRDefault="00183FAF" w:rsidP="00183FAF">
      <w:pPr>
        <w:pStyle w:val="MDPI71References"/>
        <w:numPr>
          <w:ilvl w:val="0"/>
          <w:numId w:val="3"/>
        </w:numPr>
      </w:pPr>
      <w:proofErr w:type="spellStart"/>
      <w:r w:rsidRPr="009C6857">
        <w:t>Wetchakun</w:t>
      </w:r>
      <w:proofErr w:type="spellEnd"/>
      <w:r w:rsidRPr="009C6857">
        <w:t xml:space="preserve">, N.; </w:t>
      </w:r>
      <w:proofErr w:type="spellStart"/>
      <w:r w:rsidRPr="009C6857">
        <w:t>Chainet</w:t>
      </w:r>
      <w:proofErr w:type="spellEnd"/>
      <w:r w:rsidRPr="009C6857">
        <w:t xml:space="preserve">, S.; </w:t>
      </w:r>
      <w:proofErr w:type="spellStart"/>
      <w:r w:rsidRPr="009C6857">
        <w:t>Phanichphant</w:t>
      </w:r>
      <w:proofErr w:type="spellEnd"/>
      <w:r w:rsidRPr="009C6857">
        <w:t xml:space="preserve">, S.; </w:t>
      </w:r>
      <w:proofErr w:type="spellStart"/>
      <w:r w:rsidRPr="009C6857">
        <w:t>Wetchakun</w:t>
      </w:r>
      <w:proofErr w:type="spellEnd"/>
      <w:r w:rsidRPr="009C6857">
        <w:t>, K. Efficient photocatalytic degradation of methylene blue over BiVO</w:t>
      </w:r>
      <w:r w:rsidRPr="009C6857">
        <w:rPr>
          <w:vertAlign w:val="subscript"/>
        </w:rPr>
        <w:t>4</w:t>
      </w:r>
      <w:r w:rsidRPr="009C6857">
        <w:t>/TiO</w:t>
      </w:r>
      <w:r w:rsidRPr="009C6857">
        <w:rPr>
          <w:vertAlign w:val="subscript"/>
        </w:rPr>
        <w:t>2</w:t>
      </w:r>
      <w:r w:rsidRPr="009C6857">
        <w:t xml:space="preserve"> nanocomposites. </w:t>
      </w:r>
      <w:r w:rsidRPr="009C6857">
        <w:rPr>
          <w:i/>
        </w:rPr>
        <w:t>Ceramics International</w:t>
      </w:r>
      <w:r w:rsidRPr="009C6857">
        <w:t xml:space="preserve"> </w:t>
      </w:r>
      <w:r w:rsidRPr="009C6857">
        <w:rPr>
          <w:b/>
        </w:rPr>
        <w:t>2015</w:t>
      </w:r>
      <w:r w:rsidRPr="009C6857">
        <w:t xml:space="preserve">, </w:t>
      </w:r>
      <w:r w:rsidRPr="009C6857">
        <w:rPr>
          <w:i/>
        </w:rPr>
        <w:t>41</w:t>
      </w:r>
      <w:r w:rsidRPr="009C6857">
        <w:t>, 5999–6004. DOI: 10.1016/j.ceramint.2015.01.040</w:t>
      </w:r>
    </w:p>
    <w:p w14:paraId="5FB28567" w14:textId="77777777" w:rsidR="00183FAF" w:rsidRPr="009C6857" w:rsidRDefault="00183FAF" w:rsidP="00183FAF">
      <w:pPr>
        <w:pStyle w:val="MDPI71References"/>
        <w:numPr>
          <w:ilvl w:val="0"/>
          <w:numId w:val="3"/>
        </w:numPr>
        <w:rPr>
          <w:color w:val="auto"/>
          <w:szCs w:val="18"/>
        </w:rPr>
      </w:pPr>
      <w:r w:rsidRPr="009C6857">
        <w:rPr>
          <w:color w:val="auto"/>
          <w:szCs w:val="18"/>
        </w:rPr>
        <w:t>Qian, B.; Xu, Q.; Wu, Y.; Zhang, Y.; Li, H.; Wang, Y.; Wang, B.; Li , S.; Song, X.-M. A highly efficient photocatalytic met</w:t>
      </w:r>
      <w:r w:rsidRPr="009C6857">
        <w:rPr>
          <w:color w:val="auto"/>
          <w:szCs w:val="18"/>
        </w:rPr>
        <w:t>h</w:t>
      </w:r>
      <w:r w:rsidRPr="009C6857">
        <w:rPr>
          <w:color w:val="auto"/>
          <w:szCs w:val="18"/>
        </w:rPr>
        <w:t xml:space="preserve">anol fuel cell based on non-noble metal </w:t>
      </w:r>
      <w:proofErr w:type="spellStart"/>
      <w:r w:rsidRPr="009C6857">
        <w:rPr>
          <w:color w:val="auto"/>
          <w:szCs w:val="18"/>
        </w:rPr>
        <w:t>photoelectrodes</w:t>
      </w:r>
      <w:proofErr w:type="spellEnd"/>
      <w:r w:rsidRPr="009C6857">
        <w:rPr>
          <w:color w:val="auto"/>
          <w:szCs w:val="18"/>
        </w:rPr>
        <w:t>: Study on its energy band engineering via experimental and de</w:t>
      </w:r>
      <w:r w:rsidRPr="009C6857">
        <w:rPr>
          <w:color w:val="auto"/>
          <w:szCs w:val="18"/>
        </w:rPr>
        <w:t>n</w:t>
      </w:r>
      <w:r w:rsidRPr="009C6857">
        <w:rPr>
          <w:color w:val="auto"/>
          <w:szCs w:val="18"/>
        </w:rPr>
        <w:t xml:space="preserve">sity functional theory method. </w:t>
      </w:r>
      <w:r w:rsidRPr="009C6857">
        <w:rPr>
          <w:i/>
          <w:color w:val="auto"/>
          <w:szCs w:val="18"/>
        </w:rPr>
        <w:t>J. Power Sources</w:t>
      </w:r>
      <w:r w:rsidRPr="009C6857">
        <w:rPr>
          <w:color w:val="auto"/>
          <w:szCs w:val="18"/>
        </w:rPr>
        <w:t xml:space="preserve"> </w:t>
      </w:r>
      <w:r w:rsidRPr="009C6857">
        <w:rPr>
          <w:b/>
          <w:color w:val="auto"/>
          <w:szCs w:val="18"/>
        </w:rPr>
        <w:t>2020</w:t>
      </w:r>
      <w:r w:rsidRPr="009C6857">
        <w:rPr>
          <w:color w:val="auto"/>
          <w:szCs w:val="18"/>
        </w:rPr>
        <w:t xml:space="preserve">, </w:t>
      </w:r>
      <w:r w:rsidRPr="009C6857">
        <w:rPr>
          <w:i/>
          <w:color w:val="auto"/>
          <w:szCs w:val="18"/>
        </w:rPr>
        <w:t>78</w:t>
      </w:r>
      <w:r w:rsidRPr="009C6857">
        <w:rPr>
          <w:color w:val="auto"/>
          <w:szCs w:val="18"/>
        </w:rPr>
        <w:t>, 228756. DOI: 10.1016/j.jpowsour.2020.228756</w:t>
      </w:r>
    </w:p>
    <w:p w14:paraId="5EB4ADD0" w14:textId="77777777" w:rsidR="00183FAF" w:rsidRPr="009C6857" w:rsidRDefault="00183FAF" w:rsidP="00183FAF">
      <w:pPr>
        <w:pStyle w:val="MDPI71References"/>
        <w:numPr>
          <w:ilvl w:val="0"/>
          <w:numId w:val="3"/>
        </w:numPr>
        <w:rPr>
          <w:rFonts w:cs="Arial"/>
          <w:color w:val="auto"/>
          <w:szCs w:val="18"/>
        </w:rPr>
      </w:pPr>
      <w:r w:rsidRPr="009C6857">
        <w:rPr>
          <w:rFonts w:cs="Arial"/>
          <w:color w:val="auto"/>
          <w:szCs w:val="18"/>
        </w:rPr>
        <w:t xml:space="preserve">Hu, K.; E, L.; Li, Y.; Zhao, X.; Zhao, D.; Zhao, W.; </w:t>
      </w:r>
      <w:proofErr w:type="spellStart"/>
      <w:r w:rsidRPr="009C6857">
        <w:rPr>
          <w:rFonts w:cs="Arial"/>
          <w:color w:val="auto"/>
          <w:szCs w:val="18"/>
        </w:rPr>
        <w:t>Rong</w:t>
      </w:r>
      <w:proofErr w:type="spellEnd"/>
      <w:r w:rsidRPr="009C6857">
        <w:rPr>
          <w:rFonts w:cs="Arial"/>
          <w:color w:val="auto"/>
          <w:szCs w:val="18"/>
        </w:rPr>
        <w:t>, H.</w:t>
      </w:r>
      <w:r w:rsidRPr="009C6857">
        <w:rPr>
          <w:color w:val="auto"/>
          <w:szCs w:val="18"/>
        </w:rPr>
        <w:t xml:space="preserve"> </w:t>
      </w:r>
      <w:r w:rsidRPr="009C6857">
        <w:rPr>
          <w:rFonts w:cs="Arial"/>
          <w:color w:val="auto"/>
          <w:szCs w:val="18"/>
        </w:rPr>
        <w:t>Photocatalytic degradation mechanism of the visible-light r</w:t>
      </w:r>
      <w:r w:rsidRPr="009C6857">
        <w:rPr>
          <w:rFonts w:cs="Arial"/>
          <w:color w:val="auto"/>
          <w:szCs w:val="18"/>
        </w:rPr>
        <w:t>e</w:t>
      </w:r>
      <w:r w:rsidRPr="009C6857">
        <w:rPr>
          <w:rFonts w:cs="Arial"/>
          <w:color w:val="auto"/>
          <w:szCs w:val="18"/>
        </w:rPr>
        <w:t>sponsive BiVO</w:t>
      </w:r>
      <w:r w:rsidRPr="009C6857">
        <w:rPr>
          <w:rFonts w:cs="Arial"/>
          <w:color w:val="auto"/>
          <w:szCs w:val="18"/>
          <w:vertAlign w:val="subscript"/>
        </w:rPr>
        <w:t>4</w:t>
      </w:r>
      <w:r w:rsidRPr="009C6857">
        <w:rPr>
          <w:rFonts w:cs="Arial"/>
          <w:color w:val="auto"/>
          <w:szCs w:val="18"/>
        </w:rPr>
        <w:t>/TiO</w:t>
      </w:r>
      <w:r w:rsidRPr="009C6857">
        <w:rPr>
          <w:rFonts w:cs="Arial"/>
          <w:color w:val="auto"/>
          <w:szCs w:val="18"/>
          <w:vertAlign w:val="subscript"/>
        </w:rPr>
        <w:t>2</w:t>
      </w:r>
      <w:r w:rsidRPr="009C6857">
        <w:rPr>
          <w:rFonts w:cs="Arial"/>
          <w:color w:val="auto"/>
          <w:szCs w:val="18"/>
        </w:rPr>
        <w:t xml:space="preserve"> core–shell heterojunction photocatalyst. </w:t>
      </w:r>
      <w:r w:rsidRPr="009C6857">
        <w:rPr>
          <w:rFonts w:cs="Arial"/>
          <w:i/>
          <w:color w:val="auto"/>
          <w:szCs w:val="18"/>
        </w:rPr>
        <w:t xml:space="preserve">J. </w:t>
      </w:r>
      <w:proofErr w:type="spellStart"/>
      <w:r w:rsidRPr="009C6857">
        <w:rPr>
          <w:rFonts w:cs="Arial"/>
          <w:i/>
          <w:color w:val="auto"/>
          <w:szCs w:val="18"/>
        </w:rPr>
        <w:t>Inorg</w:t>
      </w:r>
      <w:proofErr w:type="spellEnd"/>
      <w:r w:rsidRPr="009C6857">
        <w:rPr>
          <w:rFonts w:cs="Arial"/>
          <w:i/>
          <w:color w:val="auto"/>
          <w:szCs w:val="18"/>
        </w:rPr>
        <w:t xml:space="preserve">. </w:t>
      </w:r>
      <w:proofErr w:type="spellStart"/>
      <w:r w:rsidRPr="009C6857">
        <w:rPr>
          <w:rFonts w:cs="Arial"/>
          <w:i/>
          <w:color w:val="auto"/>
          <w:szCs w:val="18"/>
        </w:rPr>
        <w:t>Organomet</w:t>
      </w:r>
      <w:proofErr w:type="spellEnd"/>
      <w:r w:rsidRPr="009C6857">
        <w:rPr>
          <w:rFonts w:cs="Arial"/>
          <w:i/>
          <w:color w:val="auto"/>
          <w:szCs w:val="18"/>
        </w:rPr>
        <w:t xml:space="preserve">. </w:t>
      </w:r>
      <w:proofErr w:type="spellStart"/>
      <w:r w:rsidRPr="009C6857">
        <w:rPr>
          <w:rFonts w:cs="Arial"/>
          <w:i/>
          <w:color w:val="auto"/>
          <w:szCs w:val="18"/>
        </w:rPr>
        <w:t>Polym</w:t>
      </w:r>
      <w:proofErr w:type="spellEnd"/>
      <w:r w:rsidRPr="009C6857">
        <w:rPr>
          <w:rFonts w:cs="Arial"/>
          <w:i/>
          <w:color w:val="auto"/>
          <w:szCs w:val="18"/>
        </w:rPr>
        <w:t>.</w:t>
      </w:r>
      <w:r w:rsidRPr="009C6857">
        <w:rPr>
          <w:rFonts w:cs="Arial"/>
          <w:color w:val="auto"/>
          <w:szCs w:val="18"/>
        </w:rPr>
        <w:t xml:space="preserve"> </w:t>
      </w:r>
      <w:r w:rsidRPr="009C6857">
        <w:rPr>
          <w:rFonts w:cs="Arial"/>
          <w:b/>
          <w:color w:val="auto"/>
          <w:szCs w:val="18"/>
        </w:rPr>
        <w:t>2020</w:t>
      </w:r>
      <w:r w:rsidRPr="009C6857">
        <w:rPr>
          <w:rFonts w:cs="Arial"/>
          <w:color w:val="auto"/>
          <w:szCs w:val="18"/>
        </w:rPr>
        <w:t xml:space="preserve">, </w:t>
      </w:r>
      <w:r w:rsidRPr="009C6857">
        <w:rPr>
          <w:rFonts w:cs="Arial"/>
          <w:i/>
          <w:color w:val="auto"/>
          <w:szCs w:val="18"/>
        </w:rPr>
        <w:t>30</w:t>
      </w:r>
      <w:r w:rsidRPr="009C6857">
        <w:rPr>
          <w:rFonts w:cs="Arial"/>
          <w:color w:val="auto"/>
          <w:szCs w:val="18"/>
        </w:rPr>
        <w:t>, 775–788. DOI: 10.1007/s10904-019-01217-w</w:t>
      </w:r>
    </w:p>
    <w:p w14:paraId="547CE5E5" w14:textId="77777777" w:rsidR="00183FAF" w:rsidRPr="004E1226" w:rsidRDefault="00183FAF" w:rsidP="00183FAF">
      <w:pPr>
        <w:pStyle w:val="MDPI71References"/>
        <w:numPr>
          <w:ilvl w:val="0"/>
          <w:numId w:val="3"/>
        </w:numPr>
        <w:rPr>
          <w:color w:val="auto"/>
          <w:szCs w:val="18"/>
        </w:rPr>
      </w:pPr>
      <w:r w:rsidRPr="004E1226">
        <w:rPr>
          <w:color w:val="auto"/>
          <w:szCs w:val="18"/>
        </w:rPr>
        <w:t xml:space="preserve">Balachandran, S.; Prakash, N.; </w:t>
      </w:r>
      <w:proofErr w:type="spellStart"/>
      <w:r w:rsidRPr="004E1226">
        <w:rPr>
          <w:color w:val="auto"/>
          <w:szCs w:val="18"/>
        </w:rPr>
        <w:t>Thirumalai,K</w:t>
      </w:r>
      <w:proofErr w:type="spellEnd"/>
      <w:r w:rsidRPr="004E1226">
        <w:rPr>
          <w:color w:val="auto"/>
          <w:szCs w:val="18"/>
        </w:rPr>
        <w:t xml:space="preserve">.; </w:t>
      </w:r>
      <w:proofErr w:type="spellStart"/>
      <w:r w:rsidRPr="004E1226">
        <w:rPr>
          <w:color w:val="auto"/>
          <w:szCs w:val="18"/>
        </w:rPr>
        <w:t>Muruganandham</w:t>
      </w:r>
      <w:proofErr w:type="spellEnd"/>
      <w:r w:rsidRPr="004E1226">
        <w:rPr>
          <w:color w:val="auto"/>
          <w:szCs w:val="18"/>
        </w:rPr>
        <w:t xml:space="preserve">, M.; </w:t>
      </w:r>
      <w:proofErr w:type="spellStart"/>
      <w:r w:rsidRPr="004E1226">
        <w:rPr>
          <w:color w:val="auto"/>
          <w:szCs w:val="18"/>
        </w:rPr>
        <w:t>Sillanpaa</w:t>
      </w:r>
      <w:r w:rsidRPr="004E1226">
        <w:rPr>
          <w:rFonts w:ascii="Times New Roman" w:hAnsi="Times New Roman"/>
          <w:color w:val="auto"/>
          <w:szCs w:val="18"/>
        </w:rPr>
        <w:t>̈</w:t>
      </w:r>
      <w:r w:rsidRPr="004E1226">
        <w:rPr>
          <w:color w:val="auto"/>
          <w:szCs w:val="18"/>
        </w:rPr>
        <w:t>,M</w:t>
      </w:r>
      <w:proofErr w:type="spellEnd"/>
      <w:r w:rsidRPr="004E1226">
        <w:rPr>
          <w:color w:val="auto"/>
          <w:szCs w:val="18"/>
        </w:rPr>
        <w:t xml:space="preserve">.; </w:t>
      </w:r>
      <w:proofErr w:type="spellStart"/>
      <w:r w:rsidRPr="004E1226">
        <w:rPr>
          <w:color w:val="auto"/>
          <w:szCs w:val="18"/>
        </w:rPr>
        <w:t>Swaminathan</w:t>
      </w:r>
      <w:proofErr w:type="spellEnd"/>
      <w:r w:rsidRPr="004E1226">
        <w:rPr>
          <w:color w:val="auto"/>
          <w:szCs w:val="18"/>
        </w:rPr>
        <w:t>, M. Facile construction of heterostructured BiVO</w:t>
      </w:r>
      <w:r w:rsidRPr="004E1226">
        <w:rPr>
          <w:color w:val="auto"/>
          <w:szCs w:val="18"/>
          <w:vertAlign w:val="subscript"/>
        </w:rPr>
        <w:t>4</w:t>
      </w:r>
      <w:r w:rsidRPr="004E1226">
        <w:rPr>
          <w:color w:val="auto"/>
          <w:szCs w:val="18"/>
        </w:rPr>
        <w:t xml:space="preserve">−ZnO and its dual application of greater solar photocatalytic activity and self-cleaning property. </w:t>
      </w:r>
      <w:r w:rsidRPr="004E1226">
        <w:rPr>
          <w:i/>
          <w:color w:val="auto"/>
          <w:szCs w:val="18"/>
        </w:rPr>
        <w:t>Ind. Eng. Chem. Res.</w:t>
      </w:r>
      <w:r w:rsidRPr="004E1226">
        <w:rPr>
          <w:color w:val="auto"/>
          <w:szCs w:val="18"/>
        </w:rPr>
        <w:t xml:space="preserve"> </w:t>
      </w:r>
      <w:r w:rsidRPr="004E1226">
        <w:rPr>
          <w:b/>
          <w:color w:val="auto"/>
          <w:szCs w:val="18"/>
        </w:rPr>
        <w:t>2014</w:t>
      </w:r>
      <w:r w:rsidRPr="004E1226">
        <w:rPr>
          <w:color w:val="auto"/>
          <w:szCs w:val="18"/>
        </w:rPr>
        <w:t xml:space="preserve">, </w:t>
      </w:r>
      <w:r w:rsidRPr="004E1226">
        <w:rPr>
          <w:i/>
          <w:color w:val="auto"/>
          <w:szCs w:val="18"/>
        </w:rPr>
        <w:t>53</w:t>
      </w:r>
      <w:r w:rsidRPr="004E1226">
        <w:rPr>
          <w:color w:val="auto"/>
          <w:szCs w:val="18"/>
        </w:rPr>
        <w:t>, 8346–8356. DOI: 10.1021/ie404287m</w:t>
      </w:r>
    </w:p>
    <w:p w14:paraId="568C5A28" w14:textId="77777777" w:rsidR="00183FAF" w:rsidRPr="009C6857" w:rsidRDefault="00183FAF" w:rsidP="00183FAF">
      <w:pPr>
        <w:pStyle w:val="MDPI71References"/>
        <w:numPr>
          <w:ilvl w:val="0"/>
          <w:numId w:val="3"/>
        </w:numPr>
        <w:rPr>
          <w:color w:val="auto"/>
        </w:rPr>
      </w:pPr>
      <w:proofErr w:type="spellStart"/>
      <w:r w:rsidRPr="009C6857">
        <w:rPr>
          <w:color w:val="auto"/>
        </w:rPr>
        <w:t>Rudakova</w:t>
      </w:r>
      <w:proofErr w:type="spellEnd"/>
      <w:r w:rsidRPr="009C6857">
        <w:rPr>
          <w:color w:val="auto"/>
        </w:rPr>
        <w:t xml:space="preserve">, A.V.; </w:t>
      </w:r>
      <w:proofErr w:type="spellStart"/>
      <w:r w:rsidRPr="009C6857">
        <w:rPr>
          <w:color w:val="auto"/>
        </w:rPr>
        <w:t>Oparicheva</w:t>
      </w:r>
      <w:proofErr w:type="spellEnd"/>
      <w:r w:rsidRPr="009C6857">
        <w:rPr>
          <w:color w:val="auto"/>
        </w:rPr>
        <w:t xml:space="preserve">, U.G.; </w:t>
      </w:r>
      <w:proofErr w:type="spellStart"/>
      <w:r w:rsidRPr="009C6857">
        <w:rPr>
          <w:color w:val="auto"/>
        </w:rPr>
        <w:t>Grishina</w:t>
      </w:r>
      <w:proofErr w:type="spellEnd"/>
      <w:r w:rsidRPr="009C6857">
        <w:rPr>
          <w:color w:val="auto"/>
        </w:rPr>
        <w:t xml:space="preserve">, A.E.; </w:t>
      </w:r>
      <w:proofErr w:type="spellStart"/>
      <w:r w:rsidRPr="009C6857">
        <w:rPr>
          <w:color w:val="auto"/>
        </w:rPr>
        <w:t>Murashkina</w:t>
      </w:r>
      <w:proofErr w:type="spellEnd"/>
      <w:r w:rsidRPr="009C6857">
        <w:rPr>
          <w:color w:val="auto"/>
        </w:rPr>
        <w:t xml:space="preserve">, A.A.; Emeline, A.V.; </w:t>
      </w:r>
      <w:proofErr w:type="spellStart"/>
      <w:r w:rsidRPr="009C6857">
        <w:rPr>
          <w:color w:val="auto"/>
        </w:rPr>
        <w:t>Bahnemann</w:t>
      </w:r>
      <w:proofErr w:type="spellEnd"/>
      <w:r w:rsidRPr="009C6857">
        <w:rPr>
          <w:color w:val="auto"/>
        </w:rPr>
        <w:t xml:space="preserve">, D.W. Photoinduced hydrophilic conversion of hydrated </w:t>
      </w:r>
      <w:proofErr w:type="spellStart"/>
      <w:r w:rsidRPr="009C6857">
        <w:rPr>
          <w:color w:val="auto"/>
        </w:rPr>
        <w:t>ZnO</w:t>
      </w:r>
      <w:proofErr w:type="spellEnd"/>
      <w:r w:rsidRPr="009C6857">
        <w:rPr>
          <w:color w:val="auto"/>
        </w:rPr>
        <w:t xml:space="preserve"> surfaces. </w:t>
      </w:r>
      <w:r w:rsidRPr="009C6857">
        <w:rPr>
          <w:i/>
          <w:color w:val="auto"/>
        </w:rPr>
        <w:t>J. Colloid Interface Sci.</w:t>
      </w:r>
      <w:r w:rsidRPr="009C6857">
        <w:rPr>
          <w:color w:val="auto"/>
        </w:rPr>
        <w:t xml:space="preserve"> </w:t>
      </w:r>
      <w:r w:rsidRPr="009C6857">
        <w:rPr>
          <w:b/>
          <w:color w:val="auto"/>
        </w:rPr>
        <w:t>2016</w:t>
      </w:r>
      <w:r w:rsidRPr="009C6857">
        <w:rPr>
          <w:color w:val="auto"/>
        </w:rPr>
        <w:t xml:space="preserve">, </w:t>
      </w:r>
      <w:r w:rsidRPr="009C6857">
        <w:rPr>
          <w:i/>
          <w:color w:val="auto"/>
        </w:rPr>
        <w:t>466</w:t>
      </w:r>
      <w:r w:rsidRPr="009C6857">
        <w:rPr>
          <w:color w:val="auto"/>
        </w:rPr>
        <w:t>, 452–460. DOI: 10.1016/j.jcis.2015.08.015</w:t>
      </w:r>
    </w:p>
    <w:p w14:paraId="616B93CF" w14:textId="77777777" w:rsidR="00183FAF" w:rsidRPr="009C6857" w:rsidRDefault="00183FAF" w:rsidP="00183FAF">
      <w:pPr>
        <w:pStyle w:val="MDPI71References"/>
        <w:numPr>
          <w:ilvl w:val="0"/>
          <w:numId w:val="3"/>
        </w:numPr>
        <w:rPr>
          <w:color w:val="auto"/>
          <w:szCs w:val="18"/>
        </w:rPr>
      </w:pPr>
      <w:r w:rsidRPr="009C6857">
        <w:rPr>
          <w:color w:val="auto"/>
          <w:szCs w:val="18"/>
        </w:rPr>
        <w:t xml:space="preserve">Mohamed, N.A.; </w:t>
      </w:r>
      <w:proofErr w:type="spellStart"/>
      <w:r w:rsidRPr="009C6857">
        <w:rPr>
          <w:color w:val="auto"/>
          <w:szCs w:val="18"/>
        </w:rPr>
        <w:t>Safaei</w:t>
      </w:r>
      <w:proofErr w:type="spellEnd"/>
      <w:r w:rsidRPr="009C6857">
        <w:rPr>
          <w:color w:val="auto"/>
          <w:szCs w:val="18"/>
        </w:rPr>
        <w:t xml:space="preserve">, J.; Ismail, A.F.; Khalid, M.N.; </w:t>
      </w:r>
      <w:proofErr w:type="spellStart"/>
      <w:r w:rsidRPr="009C6857">
        <w:rPr>
          <w:color w:val="auto"/>
          <w:szCs w:val="18"/>
        </w:rPr>
        <w:t>Jailani</w:t>
      </w:r>
      <w:proofErr w:type="spellEnd"/>
      <w:r w:rsidRPr="009C6857">
        <w:rPr>
          <w:color w:val="auto"/>
          <w:szCs w:val="18"/>
        </w:rPr>
        <w:t xml:space="preserve">, M.F.A.M.; Noh, M.F.M.; </w:t>
      </w:r>
      <w:proofErr w:type="spellStart"/>
      <w:r w:rsidRPr="009C6857">
        <w:rPr>
          <w:color w:val="auto"/>
          <w:szCs w:val="18"/>
        </w:rPr>
        <w:t>Arzaee</w:t>
      </w:r>
      <w:proofErr w:type="spellEnd"/>
      <w:r w:rsidRPr="009C6857">
        <w:rPr>
          <w:color w:val="auto"/>
          <w:szCs w:val="18"/>
        </w:rPr>
        <w:t xml:space="preserve">, N.A.; Zhou, D.;  </w:t>
      </w:r>
      <w:proofErr w:type="spellStart"/>
      <w:r w:rsidRPr="009C6857">
        <w:rPr>
          <w:color w:val="auto"/>
          <w:szCs w:val="18"/>
        </w:rPr>
        <w:t>Sagu</w:t>
      </w:r>
      <w:proofErr w:type="spellEnd"/>
      <w:r w:rsidRPr="009C6857">
        <w:rPr>
          <w:color w:val="auto"/>
          <w:szCs w:val="18"/>
        </w:rPr>
        <w:t xml:space="preserve">, J.S.; </w:t>
      </w:r>
      <w:proofErr w:type="spellStart"/>
      <w:r w:rsidRPr="009C6857">
        <w:rPr>
          <w:color w:val="auto"/>
          <w:szCs w:val="18"/>
        </w:rPr>
        <w:t>Teridi</w:t>
      </w:r>
      <w:proofErr w:type="spellEnd"/>
      <w:r w:rsidRPr="009C6857">
        <w:rPr>
          <w:color w:val="auto"/>
          <w:szCs w:val="18"/>
        </w:rPr>
        <w:t>, M.A.M. Boosting photocatalytic activities of BiVO</w:t>
      </w:r>
      <w:r w:rsidRPr="009C6857">
        <w:rPr>
          <w:color w:val="auto"/>
          <w:szCs w:val="18"/>
          <w:vertAlign w:val="subscript"/>
        </w:rPr>
        <w:t>4</w:t>
      </w:r>
      <w:r w:rsidRPr="009C6857">
        <w:rPr>
          <w:color w:val="auto"/>
          <w:szCs w:val="18"/>
        </w:rPr>
        <w:t xml:space="preserve"> by creation of g-C</w:t>
      </w:r>
      <w:r w:rsidRPr="009C6857">
        <w:rPr>
          <w:color w:val="auto"/>
          <w:szCs w:val="18"/>
          <w:vertAlign w:val="subscript"/>
        </w:rPr>
        <w:t>3</w:t>
      </w:r>
      <w:r w:rsidRPr="009C6857">
        <w:rPr>
          <w:color w:val="auto"/>
          <w:szCs w:val="18"/>
        </w:rPr>
        <w:t>N</w:t>
      </w:r>
      <w:r w:rsidRPr="009C6857">
        <w:rPr>
          <w:color w:val="auto"/>
          <w:szCs w:val="18"/>
          <w:vertAlign w:val="subscript"/>
        </w:rPr>
        <w:t>4</w:t>
      </w:r>
      <w:r w:rsidRPr="009C6857">
        <w:rPr>
          <w:color w:val="auto"/>
          <w:szCs w:val="18"/>
        </w:rPr>
        <w:t>/</w:t>
      </w:r>
      <w:proofErr w:type="spellStart"/>
      <w:r w:rsidRPr="009C6857">
        <w:rPr>
          <w:color w:val="auto"/>
          <w:szCs w:val="18"/>
        </w:rPr>
        <w:t>ZnO</w:t>
      </w:r>
      <w:proofErr w:type="spellEnd"/>
      <w:r w:rsidRPr="009C6857">
        <w:rPr>
          <w:color w:val="auto"/>
          <w:szCs w:val="18"/>
        </w:rPr>
        <w:t>@ BiVO</w:t>
      </w:r>
      <w:r w:rsidRPr="009C6857">
        <w:rPr>
          <w:color w:val="auto"/>
          <w:szCs w:val="18"/>
          <w:vertAlign w:val="subscript"/>
        </w:rPr>
        <w:t>4</w:t>
      </w:r>
      <w:r w:rsidRPr="009C6857">
        <w:rPr>
          <w:color w:val="auto"/>
          <w:szCs w:val="18"/>
        </w:rPr>
        <w:t xml:space="preserve"> heterojunction. </w:t>
      </w:r>
      <w:r w:rsidRPr="009C6857">
        <w:rPr>
          <w:i/>
          <w:color w:val="auto"/>
          <w:szCs w:val="18"/>
        </w:rPr>
        <w:t>Mater. Res. Bull.</w:t>
      </w:r>
      <w:r w:rsidRPr="009C6857">
        <w:rPr>
          <w:color w:val="auto"/>
          <w:szCs w:val="18"/>
        </w:rPr>
        <w:t xml:space="preserve"> </w:t>
      </w:r>
      <w:r w:rsidRPr="009C6857">
        <w:rPr>
          <w:b/>
          <w:color w:val="auto"/>
          <w:szCs w:val="18"/>
        </w:rPr>
        <w:t>2020</w:t>
      </w:r>
      <w:r w:rsidRPr="009C6857">
        <w:rPr>
          <w:color w:val="auto"/>
          <w:szCs w:val="18"/>
        </w:rPr>
        <w:t xml:space="preserve">, </w:t>
      </w:r>
      <w:r w:rsidRPr="009C6857">
        <w:rPr>
          <w:i/>
          <w:color w:val="auto"/>
          <w:szCs w:val="18"/>
        </w:rPr>
        <w:t>125</w:t>
      </w:r>
      <w:r w:rsidRPr="009C6857">
        <w:rPr>
          <w:color w:val="auto"/>
          <w:szCs w:val="18"/>
        </w:rPr>
        <w:t xml:space="preserve"> 110779. DOI: 10.1016/j.materresbull.2020.110779</w:t>
      </w:r>
    </w:p>
    <w:p w14:paraId="77125FE3" w14:textId="77777777" w:rsidR="00183FAF" w:rsidRPr="009C6857" w:rsidRDefault="00183FAF" w:rsidP="00183FAF">
      <w:pPr>
        <w:pStyle w:val="MDPI71References"/>
        <w:numPr>
          <w:ilvl w:val="0"/>
          <w:numId w:val="3"/>
        </w:numPr>
        <w:rPr>
          <w:color w:val="auto"/>
          <w:szCs w:val="18"/>
        </w:rPr>
      </w:pPr>
      <w:r w:rsidRPr="009C6857">
        <w:rPr>
          <w:color w:val="auto"/>
          <w:szCs w:val="18"/>
        </w:rPr>
        <w:t xml:space="preserve">Zhang, J.; </w:t>
      </w:r>
      <w:proofErr w:type="spellStart"/>
      <w:r w:rsidRPr="009C6857">
        <w:rPr>
          <w:color w:val="auto"/>
          <w:szCs w:val="18"/>
        </w:rPr>
        <w:t>Xie</w:t>
      </w:r>
      <w:proofErr w:type="spellEnd"/>
      <w:r w:rsidRPr="009C6857">
        <w:rPr>
          <w:color w:val="auto"/>
          <w:szCs w:val="18"/>
        </w:rPr>
        <w:t xml:space="preserve">, L. Synthesis and </w:t>
      </w:r>
      <w:proofErr w:type="spellStart"/>
      <w:r w:rsidRPr="009C6857">
        <w:rPr>
          <w:color w:val="auto"/>
          <w:szCs w:val="18"/>
        </w:rPr>
        <w:t>sonophotocatalytic</w:t>
      </w:r>
      <w:proofErr w:type="spellEnd"/>
      <w:r w:rsidRPr="009C6857">
        <w:rPr>
          <w:color w:val="auto"/>
          <w:szCs w:val="18"/>
        </w:rPr>
        <w:t xml:space="preserve"> activities of </w:t>
      </w:r>
      <w:proofErr w:type="spellStart"/>
      <w:r w:rsidRPr="009C6857">
        <w:rPr>
          <w:color w:val="auto"/>
          <w:szCs w:val="18"/>
        </w:rPr>
        <w:t>ZnO</w:t>
      </w:r>
      <w:proofErr w:type="spellEnd"/>
      <w:r w:rsidRPr="009C6857">
        <w:rPr>
          <w:color w:val="auto"/>
          <w:szCs w:val="18"/>
        </w:rPr>
        <w:t>\BiVO</w:t>
      </w:r>
      <w:r w:rsidRPr="009C6857">
        <w:rPr>
          <w:color w:val="auto"/>
          <w:szCs w:val="18"/>
          <w:vertAlign w:val="subscript"/>
        </w:rPr>
        <w:t>4</w:t>
      </w:r>
      <w:r w:rsidRPr="009C6857">
        <w:rPr>
          <w:color w:val="auto"/>
          <w:szCs w:val="18"/>
        </w:rPr>
        <w:t>\Co</w:t>
      </w:r>
      <w:r w:rsidRPr="009C6857">
        <w:rPr>
          <w:color w:val="auto"/>
          <w:szCs w:val="18"/>
          <w:vertAlign w:val="subscript"/>
        </w:rPr>
        <w:t>3</w:t>
      </w:r>
      <w:r w:rsidRPr="009C6857">
        <w:rPr>
          <w:color w:val="auto"/>
          <w:szCs w:val="18"/>
        </w:rPr>
        <w:t>O</w:t>
      </w:r>
      <w:r w:rsidRPr="009C6857">
        <w:rPr>
          <w:color w:val="auto"/>
          <w:szCs w:val="18"/>
          <w:vertAlign w:val="subscript"/>
        </w:rPr>
        <w:t>4</w:t>
      </w:r>
      <w:r w:rsidRPr="009C6857">
        <w:rPr>
          <w:color w:val="auto"/>
          <w:szCs w:val="18"/>
        </w:rPr>
        <w:t xml:space="preserve"> composites. </w:t>
      </w:r>
      <w:r w:rsidRPr="009C6857">
        <w:rPr>
          <w:i/>
          <w:color w:val="auto"/>
          <w:szCs w:val="18"/>
        </w:rPr>
        <w:t>Chem. Phys. Lett.</w:t>
      </w:r>
      <w:r w:rsidRPr="009C6857">
        <w:rPr>
          <w:color w:val="auto"/>
          <w:szCs w:val="18"/>
        </w:rPr>
        <w:t xml:space="preserve"> </w:t>
      </w:r>
      <w:r w:rsidRPr="009C6857">
        <w:rPr>
          <w:b/>
          <w:color w:val="auto"/>
          <w:szCs w:val="18"/>
        </w:rPr>
        <w:t>2021</w:t>
      </w:r>
      <w:r w:rsidRPr="009C6857">
        <w:rPr>
          <w:color w:val="auto"/>
          <w:szCs w:val="18"/>
        </w:rPr>
        <w:t xml:space="preserve">, </w:t>
      </w:r>
      <w:r w:rsidRPr="009C6857">
        <w:rPr>
          <w:i/>
          <w:color w:val="auto"/>
          <w:szCs w:val="18"/>
        </w:rPr>
        <w:t>775</w:t>
      </w:r>
      <w:r w:rsidRPr="009C6857">
        <w:rPr>
          <w:color w:val="auto"/>
          <w:szCs w:val="18"/>
        </w:rPr>
        <w:t>, 138660. DOI: 10.1016/j.cplett.2021.138660</w:t>
      </w:r>
    </w:p>
    <w:p w14:paraId="16F572B1" w14:textId="77777777" w:rsidR="00183FAF" w:rsidRPr="009C6857" w:rsidRDefault="00183FAF" w:rsidP="00183FAF">
      <w:pPr>
        <w:pStyle w:val="MDPI71References"/>
        <w:numPr>
          <w:ilvl w:val="0"/>
          <w:numId w:val="3"/>
        </w:numPr>
        <w:rPr>
          <w:color w:val="auto"/>
          <w:szCs w:val="18"/>
        </w:rPr>
      </w:pPr>
      <w:r w:rsidRPr="009C6857">
        <w:rPr>
          <w:color w:val="auto"/>
          <w:szCs w:val="18"/>
        </w:rPr>
        <w:t>Zhang, H.; Chen, Y.; Liang, Y. Lotus Leaf</w:t>
      </w:r>
      <w:r w:rsidRPr="009C6857">
        <w:rPr>
          <w:color w:val="auto"/>
          <w:szCs w:val="18"/>
        </w:rPr>
        <w:noBreakHyphen/>
        <w:t xml:space="preserve">inspired hydrothermal synthesis of composite nanoparticles and application for photocatalytic oil denitrification. </w:t>
      </w:r>
      <w:proofErr w:type="spellStart"/>
      <w:r w:rsidRPr="009C6857">
        <w:rPr>
          <w:i/>
          <w:color w:val="auto"/>
          <w:szCs w:val="18"/>
        </w:rPr>
        <w:t>Catal</w:t>
      </w:r>
      <w:proofErr w:type="spellEnd"/>
      <w:r w:rsidRPr="009C6857">
        <w:rPr>
          <w:i/>
          <w:color w:val="auto"/>
          <w:szCs w:val="18"/>
        </w:rPr>
        <w:t xml:space="preserve">. Lett. </w:t>
      </w:r>
      <w:r w:rsidRPr="009C6857">
        <w:rPr>
          <w:b/>
          <w:color w:val="auto"/>
          <w:szCs w:val="18"/>
        </w:rPr>
        <w:t>2020</w:t>
      </w:r>
      <w:r w:rsidRPr="009C6857">
        <w:rPr>
          <w:color w:val="auto"/>
          <w:szCs w:val="18"/>
        </w:rPr>
        <w:t xml:space="preserve">, </w:t>
      </w:r>
      <w:r w:rsidRPr="009C6857">
        <w:rPr>
          <w:i/>
          <w:color w:val="auto"/>
          <w:szCs w:val="18"/>
        </w:rPr>
        <w:t>150</w:t>
      </w:r>
      <w:r w:rsidRPr="009C6857">
        <w:rPr>
          <w:color w:val="auto"/>
          <w:szCs w:val="18"/>
        </w:rPr>
        <w:t>, 2474–2486. DOI: 10.1007/s10562-020-03146-7</w:t>
      </w:r>
    </w:p>
    <w:p w14:paraId="613DA114" w14:textId="77777777" w:rsidR="00183FAF" w:rsidRPr="009C6857" w:rsidRDefault="00183FAF" w:rsidP="00183FAF">
      <w:pPr>
        <w:pStyle w:val="MDPI71References"/>
        <w:numPr>
          <w:ilvl w:val="0"/>
          <w:numId w:val="3"/>
        </w:numPr>
        <w:rPr>
          <w:rFonts w:cs="Arial"/>
          <w:color w:val="auto"/>
          <w:szCs w:val="18"/>
        </w:rPr>
      </w:pPr>
      <w:r w:rsidRPr="009C6857">
        <w:rPr>
          <w:color w:val="auto"/>
        </w:rPr>
        <w:t xml:space="preserve">Watanabe, T.; </w:t>
      </w:r>
      <w:proofErr w:type="spellStart"/>
      <w:r w:rsidRPr="009C6857">
        <w:rPr>
          <w:color w:val="auto"/>
        </w:rPr>
        <w:t>Fukayama</w:t>
      </w:r>
      <w:proofErr w:type="spellEnd"/>
      <w:r w:rsidRPr="009C6857">
        <w:rPr>
          <w:color w:val="auto"/>
        </w:rPr>
        <w:t xml:space="preserve">, S.; </w:t>
      </w:r>
      <w:proofErr w:type="spellStart"/>
      <w:r w:rsidRPr="009C6857">
        <w:rPr>
          <w:color w:val="auto"/>
        </w:rPr>
        <w:t>Miyauchi</w:t>
      </w:r>
      <w:proofErr w:type="spellEnd"/>
      <w:r w:rsidRPr="009C6857">
        <w:rPr>
          <w:color w:val="auto"/>
        </w:rPr>
        <w:t xml:space="preserve">, M.; </w:t>
      </w:r>
      <w:proofErr w:type="spellStart"/>
      <w:r w:rsidRPr="009C6857">
        <w:rPr>
          <w:color w:val="auto"/>
        </w:rPr>
        <w:t>Fujishima</w:t>
      </w:r>
      <w:proofErr w:type="spellEnd"/>
      <w:r w:rsidRPr="009C6857">
        <w:rPr>
          <w:color w:val="auto"/>
        </w:rPr>
        <w:t>, A.; Hashimoto, K. Photocatalytic activity and photo-induced we</w:t>
      </w:r>
      <w:r w:rsidRPr="009C6857">
        <w:rPr>
          <w:color w:val="auto"/>
        </w:rPr>
        <w:t>t</w:t>
      </w:r>
      <w:r w:rsidRPr="009C6857">
        <w:rPr>
          <w:color w:val="auto"/>
        </w:rPr>
        <w:t>tability conversion of TiO</w:t>
      </w:r>
      <w:r w:rsidRPr="009C6857">
        <w:rPr>
          <w:color w:val="auto"/>
          <w:vertAlign w:val="subscript"/>
        </w:rPr>
        <w:t>2</w:t>
      </w:r>
      <w:r w:rsidRPr="009C6857">
        <w:rPr>
          <w:color w:val="auto"/>
        </w:rPr>
        <w:t xml:space="preserve">. Thin film prepared by sol-gel process on a soda-lime glass. </w:t>
      </w:r>
      <w:r w:rsidRPr="009C6857">
        <w:rPr>
          <w:i/>
          <w:color w:val="auto"/>
        </w:rPr>
        <w:t>J. Sol-Gel Sci. Technol.</w:t>
      </w:r>
      <w:r w:rsidRPr="009C6857">
        <w:rPr>
          <w:color w:val="auto"/>
        </w:rPr>
        <w:t xml:space="preserve"> </w:t>
      </w:r>
      <w:r w:rsidRPr="009C6857">
        <w:rPr>
          <w:b/>
          <w:color w:val="auto"/>
        </w:rPr>
        <w:t>2000</w:t>
      </w:r>
      <w:r w:rsidRPr="009C6857">
        <w:rPr>
          <w:color w:val="auto"/>
        </w:rPr>
        <w:t xml:space="preserve">, </w:t>
      </w:r>
      <w:r w:rsidRPr="009C6857">
        <w:rPr>
          <w:i/>
          <w:color w:val="auto"/>
        </w:rPr>
        <w:t>19</w:t>
      </w:r>
      <w:r w:rsidRPr="009C6857">
        <w:rPr>
          <w:color w:val="auto"/>
        </w:rPr>
        <w:t>, 71–76. DOI: 10.1023/A:1008762121743</w:t>
      </w:r>
    </w:p>
    <w:p w14:paraId="14595FA0" w14:textId="77777777" w:rsidR="00183FAF" w:rsidRPr="007B2AF7" w:rsidRDefault="00183FAF" w:rsidP="00183FAF">
      <w:pPr>
        <w:pStyle w:val="MDPI71References"/>
        <w:numPr>
          <w:ilvl w:val="0"/>
          <w:numId w:val="3"/>
        </w:numPr>
        <w:rPr>
          <w:color w:val="auto"/>
        </w:rPr>
      </w:pPr>
      <w:r w:rsidRPr="007B2AF7">
        <w:rPr>
          <w:rFonts w:cs="Arial"/>
          <w:color w:val="auto"/>
          <w:szCs w:val="18"/>
        </w:rPr>
        <w:t>Yu, J.; Zhao, X.</w:t>
      </w:r>
      <w:r w:rsidRPr="007B2AF7">
        <w:rPr>
          <w:color w:val="auto"/>
        </w:rPr>
        <w:t xml:space="preserve"> </w:t>
      </w:r>
      <w:r w:rsidRPr="007B2AF7">
        <w:rPr>
          <w:rFonts w:cs="Arial"/>
          <w:color w:val="auto"/>
          <w:szCs w:val="18"/>
        </w:rPr>
        <w:t>Effect of substrates on the photocatalytic activity of nanometer TiO</w:t>
      </w:r>
      <w:r w:rsidRPr="007B2AF7">
        <w:rPr>
          <w:rFonts w:cs="Arial"/>
          <w:color w:val="auto"/>
          <w:szCs w:val="18"/>
          <w:vertAlign w:val="subscript"/>
        </w:rPr>
        <w:t>2</w:t>
      </w:r>
      <w:r w:rsidRPr="007B2AF7">
        <w:rPr>
          <w:rFonts w:cs="Arial"/>
          <w:color w:val="auto"/>
          <w:szCs w:val="18"/>
        </w:rPr>
        <w:t xml:space="preserve"> thin films. </w:t>
      </w:r>
      <w:r w:rsidRPr="007B2AF7">
        <w:rPr>
          <w:rFonts w:cs="Arial"/>
          <w:i/>
          <w:color w:val="auto"/>
          <w:szCs w:val="18"/>
        </w:rPr>
        <w:t>Mater. Res. Bull.</w:t>
      </w:r>
      <w:r w:rsidRPr="007B2AF7">
        <w:rPr>
          <w:rFonts w:cs="Arial"/>
          <w:color w:val="auto"/>
          <w:szCs w:val="18"/>
        </w:rPr>
        <w:t xml:space="preserve"> </w:t>
      </w:r>
      <w:r w:rsidRPr="007B2AF7">
        <w:rPr>
          <w:rFonts w:cs="Arial"/>
          <w:b/>
          <w:color w:val="auto"/>
          <w:szCs w:val="18"/>
        </w:rPr>
        <w:t>2000</w:t>
      </w:r>
      <w:r w:rsidRPr="007B2AF7">
        <w:rPr>
          <w:rFonts w:cs="Arial"/>
          <w:color w:val="auto"/>
          <w:szCs w:val="18"/>
        </w:rPr>
        <w:t xml:space="preserve">, </w:t>
      </w:r>
      <w:r w:rsidRPr="007B2AF7">
        <w:rPr>
          <w:rFonts w:cs="Arial"/>
          <w:i/>
          <w:color w:val="auto"/>
          <w:szCs w:val="18"/>
        </w:rPr>
        <w:t>35</w:t>
      </w:r>
      <w:r w:rsidRPr="007B2AF7">
        <w:rPr>
          <w:rFonts w:cs="Arial"/>
          <w:color w:val="auto"/>
          <w:szCs w:val="18"/>
        </w:rPr>
        <w:t>, 1293</w:t>
      </w:r>
      <w:r w:rsidRPr="007B2AF7">
        <w:rPr>
          <w:color w:val="auto"/>
        </w:rPr>
        <w:t>–1301. DOI: 10.1016/S0025-5408(00)00327-5</w:t>
      </w:r>
    </w:p>
    <w:p w14:paraId="43B62B0E" w14:textId="77777777" w:rsidR="00183FAF" w:rsidRPr="00BC5E1F" w:rsidRDefault="00183FAF" w:rsidP="00183FAF">
      <w:pPr>
        <w:pStyle w:val="MDPI71References"/>
        <w:numPr>
          <w:ilvl w:val="0"/>
          <w:numId w:val="3"/>
        </w:numPr>
        <w:rPr>
          <w:color w:val="auto"/>
        </w:rPr>
      </w:pPr>
      <w:r w:rsidRPr="009C6857">
        <w:rPr>
          <w:color w:val="auto"/>
        </w:rPr>
        <w:t xml:space="preserve">Emeline, A.V.; </w:t>
      </w:r>
      <w:proofErr w:type="spellStart"/>
      <w:r w:rsidRPr="009C6857">
        <w:rPr>
          <w:color w:val="auto"/>
        </w:rPr>
        <w:t>Rudakova</w:t>
      </w:r>
      <w:proofErr w:type="spellEnd"/>
      <w:r w:rsidRPr="009C6857">
        <w:rPr>
          <w:color w:val="auto"/>
        </w:rPr>
        <w:t xml:space="preserve">, A.V.; Sakai, M.; Murakami, T.; </w:t>
      </w:r>
      <w:proofErr w:type="spellStart"/>
      <w:r w:rsidRPr="009C6857">
        <w:rPr>
          <w:color w:val="auto"/>
        </w:rPr>
        <w:t>Fujishima</w:t>
      </w:r>
      <w:proofErr w:type="spellEnd"/>
      <w:r w:rsidRPr="009C6857">
        <w:rPr>
          <w:color w:val="auto"/>
        </w:rPr>
        <w:t>, A. Factors affecting UV-induced superhydrophilic conversion of a TiO</w:t>
      </w:r>
      <w:r w:rsidRPr="009C6857">
        <w:rPr>
          <w:color w:val="auto"/>
          <w:vertAlign w:val="subscript"/>
        </w:rPr>
        <w:t>2</w:t>
      </w:r>
      <w:r w:rsidRPr="009C6857">
        <w:rPr>
          <w:color w:val="auto"/>
        </w:rPr>
        <w:t xml:space="preserve"> surface. </w:t>
      </w:r>
      <w:r w:rsidRPr="009C6857">
        <w:rPr>
          <w:i/>
          <w:color w:val="auto"/>
        </w:rPr>
        <w:t>J. Phys. Chem. C</w:t>
      </w:r>
      <w:r w:rsidRPr="009C6857">
        <w:rPr>
          <w:color w:val="auto"/>
        </w:rPr>
        <w:t xml:space="preserve"> </w:t>
      </w:r>
      <w:r w:rsidRPr="009C6857">
        <w:rPr>
          <w:b/>
          <w:color w:val="auto"/>
        </w:rPr>
        <w:t>2013</w:t>
      </w:r>
      <w:r w:rsidRPr="009C6857">
        <w:rPr>
          <w:color w:val="auto"/>
        </w:rPr>
        <w:t xml:space="preserve">, </w:t>
      </w:r>
      <w:r w:rsidRPr="009C6857">
        <w:rPr>
          <w:i/>
          <w:color w:val="auto"/>
        </w:rPr>
        <w:t>117</w:t>
      </w:r>
      <w:r w:rsidRPr="009C6857">
        <w:rPr>
          <w:color w:val="auto"/>
        </w:rPr>
        <w:t>, 12086–12092. DOI: 10.1021/jp400421v</w:t>
      </w:r>
    </w:p>
    <w:p w14:paraId="188AA44D" w14:textId="33613B97" w:rsidR="001B0F83" w:rsidRPr="000727B4" w:rsidRDefault="001B0F83" w:rsidP="00183FAF">
      <w:pPr>
        <w:pStyle w:val="MDPI21heading1"/>
        <w:ind w:left="0"/>
        <w:rPr>
          <w:rFonts w:cs="Arial"/>
          <w:sz w:val="18"/>
          <w:szCs w:val="18"/>
          <w:highlight w:val="yellow"/>
        </w:rPr>
      </w:pPr>
    </w:p>
    <w:sectPr w:rsidR="001B0F83" w:rsidRPr="000727B4" w:rsidSect="00F17AF9">
      <w:headerReference w:type="even" r:id="rId24"/>
      <w:headerReference w:type="default" r:id="rId25"/>
      <w:footerReference w:type="default" r:id="rId26"/>
      <w:headerReference w:type="first" r:id="rId27"/>
      <w:footerReference w:type="first" r:id="rId28"/>
      <w:type w:val="continuous"/>
      <w:pgSz w:w="11906" w:h="16838" w:code="9"/>
      <w:pgMar w:top="1417" w:right="720" w:bottom="1077" w:left="720" w:header="1020" w:footer="340" w:gutter="0"/>
      <w:lnNumType w:countBy="1" w:distance="255" w:restart="continuous"/>
      <w:pgNumType w:start="1"/>
      <w:cols w:space="425"/>
      <w:titlePg/>
      <w:bidi/>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2DDF41" w14:textId="77777777" w:rsidR="00E422C0" w:rsidRDefault="00E422C0">
      <w:pPr>
        <w:spacing w:line="240" w:lineRule="auto"/>
      </w:pPr>
      <w:r>
        <w:separator/>
      </w:r>
    </w:p>
  </w:endnote>
  <w:endnote w:type="continuationSeparator" w:id="0">
    <w:p w14:paraId="016320D5" w14:textId="77777777" w:rsidR="00E422C0" w:rsidRDefault="00E422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CC"/>
    <w:family w:val="roman"/>
    <w:pitch w:val="variable"/>
    <w:sig w:usb0="E0000287" w:usb1="40000013" w:usb2="00000000" w:usb3="00000000" w:csb0="0000019F"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Tahoma">
    <w:panose1 w:val="020B0604030504040204"/>
    <w:charset w:val="CC"/>
    <w:family w:val="swiss"/>
    <w:pitch w:val="variable"/>
    <w:sig w:usb0="E1002EFF" w:usb1="C000605B" w:usb2="00000029" w:usb3="00000000" w:csb0="000101FF" w:csb1="00000000"/>
  </w:font>
  <w:font w:name="DengXian">
    <w:altName w:val="Arial Unicode MS"/>
    <w:charset w:val="86"/>
    <w:family w:val="auto"/>
    <w:pitch w:val="variable"/>
    <w:sig w:usb0="00000000" w:usb1="38CF7CFA" w:usb2="00000016" w:usb3="00000000" w:csb0="0004000F" w:csb1="00000000"/>
  </w:font>
  <w:font w:name="Arial">
    <w:panose1 w:val="020B0604020202020204"/>
    <w:charset w:val="CC"/>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43413D" w14:textId="77777777" w:rsidR="00E422C0" w:rsidRPr="00BD5D38" w:rsidRDefault="00E422C0" w:rsidP="002960D6">
    <w:pPr>
      <w:pStyle w:val="a4"/>
      <w:spacing w:line="240"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E8F339" w14:textId="77777777" w:rsidR="00E422C0" w:rsidRDefault="00E422C0" w:rsidP="00EA593C">
    <w:pPr>
      <w:pBdr>
        <w:top w:val="single" w:sz="4" w:space="0" w:color="000000"/>
      </w:pBdr>
      <w:tabs>
        <w:tab w:val="right" w:pos="8844"/>
      </w:tabs>
      <w:adjustRightInd w:val="0"/>
      <w:snapToGrid w:val="0"/>
      <w:spacing w:before="480" w:line="100" w:lineRule="exact"/>
      <w:jc w:val="left"/>
      <w:rPr>
        <w:i/>
        <w:sz w:val="16"/>
        <w:szCs w:val="16"/>
      </w:rPr>
    </w:pPr>
  </w:p>
  <w:p w14:paraId="04C7DB0E" w14:textId="77777777" w:rsidR="00E422C0" w:rsidRPr="00372FCD" w:rsidRDefault="00E422C0" w:rsidP="000C0E8A">
    <w:pPr>
      <w:tabs>
        <w:tab w:val="right" w:pos="10466"/>
      </w:tabs>
      <w:adjustRightInd w:val="0"/>
      <w:snapToGrid w:val="0"/>
      <w:spacing w:line="240" w:lineRule="auto"/>
      <w:rPr>
        <w:sz w:val="16"/>
        <w:szCs w:val="16"/>
        <w:lang w:val="fr-CH"/>
      </w:rPr>
    </w:pPr>
    <w:r w:rsidRPr="008573B0">
      <w:rPr>
        <w:i/>
        <w:sz w:val="16"/>
        <w:szCs w:val="16"/>
      </w:rPr>
      <w:t>Catalysts</w:t>
    </w:r>
    <w:r>
      <w:rPr>
        <w:i/>
        <w:sz w:val="16"/>
        <w:szCs w:val="16"/>
      </w:rPr>
      <w:t xml:space="preserve"> </w:t>
    </w:r>
    <w:r w:rsidRPr="0015686E">
      <w:rPr>
        <w:b/>
        <w:bCs/>
        <w:iCs/>
        <w:sz w:val="16"/>
        <w:szCs w:val="16"/>
      </w:rPr>
      <w:t>2021</w:t>
    </w:r>
    <w:r w:rsidRPr="00FF09E8">
      <w:rPr>
        <w:bCs/>
        <w:iCs/>
        <w:sz w:val="16"/>
        <w:szCs w:val="16"/>
      </w:rPr>
      <w:t xml:space="preserve">, </w:t>
    </w:r>
    <w:r w:rsidRPr="0015686E">
      <w:rPr>
        <w:bCs/>
        <w:i/>
        <w:iCs/>
        <w:sz w:val="16"/>
        <w:szCs w:val="16"/>
      </w:rPr>
      <w:t>11</w:t>
    </w:r>
    <w:r w:rsidRPr="00FF09E8">
      <w:rPr>
        <w:bCs/>
        <w:iCs/>
        <w:sz w:val="16"/>
        <w:szCs w:val="16"/>
      </w:rPr>
      <w:t xml:space="preserve">, </w:t>
    </w:r>
    <w:r>
      <w:rPr>
        <w:bCs/>
        <w:iCs/>
        <w:sz w:val="16"/>
        <w:szCs w:val="16"/>
      </w:rPr>
      <w:t>x. https://doi.org/10.3390/xxxxx</w:t>
    </w:r>
    <w:r w:rsidRPr="00372FCD">
      <w:rPr>
        <w:sz w:val="16"/>
        <w:szCs w:val="16"/>
        <w:lang w:val="fr-CH"/>
      </w:rPr>
      <w:tab/>
      <w:t>www.mdpi.com/journal/</w:t>
    </w:r>
    <w:r w:rsidRPr="008573B0">
      <w:rPr>
        <w:sz w:val="16"/>
        <w:szCs w:val="16"/>
      </w:rPr>
      <w:t>catalysts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AC60BD" w14:textId="77777777" w:rsidR="00E422C0" w:rsidRDefault="00E422C0">
      <w:pPr>
        <w:spacing w:line="240" w:lineRule="auto"/>
      </w:pPr>
      <w:r>
        <w:separator/>
      </w:r>
    </w:p>
  </w:footnote>
  <w:footnote w:type="continuationSeparator" w:id="0">
    <w:p w14:paraId="5121CD2B" w14:textId="77777777" w:rsidR="00E422C0" w:rsidRDefault="00E422C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A3247B" w14:textId="77777777" w:rsidR="00E422C0" w:rsidRDefault="00E422C0" w:rsidP="002960D6">
    <w:pPr>
      <w:pStyle w:val="a6"/>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016508" w14:textId="77777777" w:rsidR="00E422C0" w:rsidRDefault="00E422C0" w:rsidP="000C0E8A">
    <w:pPr>
      <w:tabs>
        <w:tab w:val="right" w:pos="10466"/>
      </w:tabs>
      <w:adjustRightInd w:val="0"/>
      <w:snapToGrid w:val="0"/>
      <w:spacing w:line="240" w:lineRule="auto"/>
      <w:rPr>
        <w:sz w:val="16"/>
      </w:rPr>
    </w:pPr>
    <w:r>
      <w:rPr>
        <w:i/>
        <w:sz w:val="16"/>
      </w:rPr>
      <w:t xml:space="preserve">Catalysts </w:t>
    </w:r>
    <w:r w:rsidRPr="00D16D62">
      <w:rPr>
        <w:b/>
        <w:sz w:val="16"/>
      </w:rPr>
      <w:t>2021</w:t>
    </w:r>
    <w:r w:rsidRPr="00FF09E8">
      <w:rPr>
        <w:sz w:val="16"/>
      </w:rPr>
      <w:t xml:space="preserve">, </w:t>
    </w:r>
    <w:r w:rsidRPr="00D16D62">
      <w:rPr>
        <w:i/>
        <w:sz w:val="16"/>
      </w:rPr>
      <w:t>11</w:t>
    </w:r>
    <w:r>
      <w:rPr>
        <w:sz w:val="16"/>
      </w:rPr>
      <w:t>, x FOR PEER REVIEW</w:t>
    </w:r>
    <w:r>
      <w:rPr>
        <w:sz w:val="16"/>
      </w:rPr>
      <w:tab/>
    </w:r>
    <w:r>
      <w:rPr>
        <w:sz w:val="16"/>
      </w:rPr>
      <w:fldChar w:fldCharType="begin"/>
    </w:r>
    <w:r>
      <w:rPr>
        <w:sz w:val="16"/>
      </w:rPr>
      <w:instrText xml:space="preserve"> PAGE   \* MERGEFORMAT </w:instrText>
    </w:r>
    <w:r>
      <w:rPr>
        <w:sz w:val="16"/>
      </w:rPr>
      <w:fldChar w:fldCharType="separate"/>
    </w:r>
    <w:r w:rsidR="001F7CDE">
      <w:rPr>
        <w:sz w:val="16"/>
      </w:rPr>
      <w:t>12</w:t>
    </w:r>
    <w:r>
      <w:rPr>
        <w:sz w:val="16"/>
      </w:rPr>
      <w:fldChar w:fldCharType="end"/>
    </w:r>
    <w:r>
      <w:rPr>
        <w:sz w:val="16"/>
      </w:rPr>
      <w:t xml:space="preserve"> of </w:t>
    </w:r>
    <w:r>
      <w:rPr>
        <w:sz w:val="16"/>
      </w:rPr>
      <w:fldChar w:fldCharType="begin"/>
    </w:r>
    <w:r>
      <w:rPr>
        <w:sz w:val="16"/>
      </w:rPr>
      <w:instrText xml:space="preserve"> NUMPAGES   \* MERGEFORMAT </w:instrText>
    </w:r>
    <w:r>
      <w:rPr>
        <w:sz w:val="16"/>
      </w:rPr>
      <w:fldChar w:fldCharType="separate"/>
    </w:r>
    <w:r w:rsidR="001F7CDE">
      <w:rPr>
        <w:sz w:val="16"/>
      </w:rPr>
      <w:t>12</w:t>
    </w:r>
    <w:r>
      <w:rPr>
        <w:sz w:val="16"/>
      </w:rPr>
      <w:fldChar w:fldCharType="end"/>
    </w:r>
  </w:p>
  <w:p w14:paraId="4B8DBAD3" w14:textId="77777777" w:rsidR="00E422C0" w:rsidRPr="001B1E3B" w:rsidRDefault="00E422C0" w:rsidP="00EA593C">
    <w:pPr>
      <w:pBdr>
        <w:bottom w:val="single" w:sz="4" w:space="1" w:color="000000"/>
      </w:pBdr>
      <w:tabs>
        <w:tab w:val="right" w:pos="8844"/>
      </w:tabs>
      <w:adjustRightInd w:val="0"/>
      <w:snapToGrid w:val="0"/>
      <w:spacing w:after="480" w:line="100" w:lineRule="exact"/>
      <w:jc w:val="left"/>
      <w:rPr>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87" w:type="dxa"/>
      <w:tblCellMar>
        <w:left w:w="0" w:type="dxa"/>
        <w:right w:w="0" w:type="dxa"/>
      </w:tblCellMar>
      <w:tblLook w:val="04A0" w:firstRow="1" w:lastRow="0" w:firstColumn="1" w:lastColumn="0" w:noHBand="0" w:noVBand="1"/>
    </w:tblPr>
    <w:tblGrid>
      <w:gridCol w:w="3679"/>
      <w:gridCol w:w="4535"/>
      <w:gridCol w:w="2273"/>
    </w:tblGrid>
    <w:tr w:rsidR="00E422C0" w:rsidRPr="000C0E8A" w14:paraId="41F63C66" w14:textId="77777777" w:rsidTr="000C0E8A">
      <w:trPr>
        <w:trHeight w:val="686"/>
      </w:trPr>
      <w:tc>
        <w:tcPr>
          <w:tcW w:w="3679" w:type="dxa"/>
          <w:shd w:val="clear" w:color="auto" w:fill="auto"/>
          <w:vAlign w:val="center"/>
        </w:tcPr>
        <w:p w14:paraId="3EE779E0" w14:textId="77777777" w:rsidR="00E422C0" w:rsidRPr="00EB7461" w:rsidRDefault="00E422C0" w:rsidP="000C0E8A">
          <w:pPr>
            <w:pStyle w:val="a6"/>
            <w:pBdr>
              <w:bottom w:val="none" w:sz="0" w:space="0" w:color="auto"/>
            </w:pBdr>
            <w:jc w:val="left"/>
            <w:rPr>
              <w:rFonts w:eastAsia="DengXian"/>
              <w:b/>
              <w:bCs/>
            </w:rPr>
          </w:pPr>
          <w:r w:rsidRPr="00EB7461">
            <w:rPr>
              <w:rFonts w:eastAsia="DengXian"/>
              <w:b/>
              <w:bCs/>
              <w:lang w:val="ru-RU" w:eastAsia="ru-RU"/>
            </w:rPr>
            <w:drawing>
              <wp:inline distT="0" distB="0" distL="0" distR="0" wp14:anchorId="79C1FFC7" wp14:editId="227E7725">
                <wp:extent cx="1607185" cy="429260"/>
                <wp:effectExtent l="0" t="0" r="0" b="0"/>
                <wp:docPr id="1" name="Picture 3" descr="C:\Users\home\AppData\Local\Temp\HZ$D.003.482\catalysts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ome\AppData\Local\Temp\HZ$D.003.482\catalysts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7185" cy="429260"/>
                        </a:xfrm>
                        <a:prstGeom prst="rect">
                          <a:avLst/>
                        </a:prstGeom>
                        <a:noFill/>
                        <a:ln>
                          <a:noFill/>
                        </a:ln>
                      </pic:spPr>
                    </pic:pic>
                  </a:graphicData>
                </a:graphic>
              </wp:inline>
            </w:drawing>
          </w:r>
        </w:p>
      </w:tc>
      <w:tc>
        <w:tcPr>
          <w:tcW w:w="4535" w:type="dxa"/>
          <w:shd w:val="clear" w:color="auto" w:fill="auto"/>
          <w:vAlign w:val="center"/>
        </w:tcPr>
        <w:p w14:paraId="513B5712" w14:textId="77777777" w:rsidR="00E422C0" w:rsidRPr="00EB7461" w:rsidRDefault="00E422C0" w:rsidP="000C0E8A">
          <w:pPr>
            <w:pStyle w:val="a6"/>
            <w:pBdr>
              <w:bottom w:val="none" w:sz="0" w:space="0" w:color="auto"/>
            </w:pBdr>
            <w:rPr>
              <w:rFonts w:eastAsia="DengXian"/>
              <w:b/>
              <w:bCs/>
            </w:rPr>
          </w:pPr>
        </w:p>
      </w:tc>
      <w:tc>
        <w:tcPr>
          <w:tcW w:w="2273" w:type="dxa"/>
          <w:shd w:val="clear" w:color="auto" w:fill="auto"/>
          <w:vAlign w:val="center"/>
        </w:tcPr>
        <w:p w14:paraId="6C883F6D" w14:textId="77777777" w:rsidR="00E422C0" w:rsidRPr="00EB7461" w:rsidRDefault="00E422C0" w:rsidP="000C0E8A">
          <w:pPr>
            <w:pStyle w:val="a6"/>
            <w:pBdr>
              <w:bottom w:val="none" w:sz="0" w:space="0" w:color="auto"/>
            </w:pBdr>
            <w:jc w:val="right"/>
            <w:rPr>
              <w:rFonts w:eastAsia="DengXian"/>
              <w:b/>
              <w:bCs/>
            </w:rPr>
          </w:pPr>
          <w:r w:rsidRPr="00EB7461">
            <w:rPr>
              <w:rFonts w:eastAsia="DengXian"/>
              <w:b/>
              <w:bCs/>
              <w:lang w:val="ru-RU" w:eastAsia="ru-RU"/>
            </w:rPr>
            <w:drawing>
              <wp:inline distT="0" distB="0" distL="0" distR="0" wp14:anchorId="68AD9809" wp14:editId="66AE8A0D">
                <wp:extent cx="540385" cy="3530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0385" cy="353060"/>
                        </a:xfrm>
                        <a:prstGeom prst="rect">
                          <a:avLst/>
                        </a:prstGeom>
                        <a:noFill/>
                        <a:ln>
                          <a:noFill/>
                        </a:ln>
                      </pic:spPr>
                    </pic:pic>
                  </a:graphicData>
                </a:graphic>
              </wp:inline>
            </w:drawing>
          </w:r>
        </w:p>
      </w:tc>
    </w:tr>
  </w:tbl>
  <w:p w14:paraId="1E77DC04" w14:textId="77777777" w:rsidR="00E422C0" w:rsidRPr="00600FE1" w:rsidRDefault="00E422C0" w:rsidP="00EA593C">
    <w:pPr>
      <w:pBdr>
        <w:bottom w:val="single" w:sz="4" w:space="1" w:color="000000"/>
      </w:pBdr>
      <w:adjustRightInd w:val="0"/>
      <w:snapToGrid w:val="0"/>
      <w:spacing w:line="100" w:lineRule="exact"/>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A0F88"/>
    <w:multiLevelType w:val="hybridMultilevel"/>
    <w:tmpl w:val="C77C711C"/>
    <w:lvl w:ilvl="0" w:tplc="5286504C">
      <w:start w:val="169"/>
      <w:numFmt w:val="bullet"/>
      <w:lvlText w:val=""/>
      <w:lvlJc w:val="left"/>
      <w:pPr>
        <w:ind w:left="580" w:hanging="360"/>
      </w:pPr>
      <w:rPr>
        <w:rFonts w:ascii="Symbol" w:eastAsia="Times New Roman" w:hAnsi="Symbol" w:cs="Times New Roman" w:hint="default"/>
      </w:rPr>
    </w:lvl>
    <w:lvl w:ilvl="1" w:tplc="1C090003" w:tentative="1">
      <w:start w:val="1"/>
      <w:numFmt w:val="bullet"/>
      <w:lvlText w:val="o"/>
      <w:lvlJc w:val="left"/>
      <w:pPr>
        <w:ind w:left="1300" w:hanging="360"/>
      </w:pPr>
      <w:rPr>
        <w:rFonts w:ascii="Courier New" w:hAnsi="Courier New" w:cs="Courier New" w:hint="default"/>
      </w:rPr>
    </w:lvl>
    <w:lvl w:ilvl="2" w:tplc="1C090005" w:tentative="1">
      <w:start w:val="1"/>
      <w:numFmt w:val="bullet"/>
      <w:lvlText w:val=""/>
      <w:lvlJc w:val="left"/>
      <w:pPr>
        <w:ind w:left="2020" w:hanging="360"/>
      </w:pPr>
      <w:rPr>
        <w:rFonts w:ascii="Wingdings" w:hAnsi="Wingdings" w:hint="default"/>
      </w:rPr>
    </w:lvl>
    <w:lvl w:ilvl="3" w:tplc="1C090001" w:tentative="1">
      <w:start w:val="1"/>
      <w:numFmt w:val="bullet"/>
      <w:lvlText w:val=""/>
      <w:lvlJc w:val="left"/>
      <w:pPr>
        <w:ind w:left="2740" w:hanging="360"/>
      </w:pPr>
      <w:rPr>
        <w:rFonts w:ascii="Symbol" w:hAnsi="Symbol" w:hint="default"/>
      </w:rPr>
    </w:lvl>
    <w:lvl w:ilvl="4" w:tplc="1C090003" w:tentative="1">
      <w:start w:val="1"/>
      <w:numFmt w:val="bullet"/>
      <w:lvlText w:val="o"/>
      <w:lvlJc w:val="left"/>
      <w:pPr>
        <w:ind w:left="3460" w:hanging="360"/>
      </w:pPr>
      <w:rPr>
        <w:rFonts w:ascii="Courier New" w:hAnsi="Courier New" w:cs="Courier New" w:hint="default"/>
      </w:rPr>
    </w:lvl>
    <w:lvl w:ilvl="5" w:tplc="1C090005" w:tentative="1">
      <w:start w:val="1"/>
      <w:numFmt w:val="bullet"/>
      <w:lvlText w:val=""/>
      <w:lvlJc w:val="left"/>
      <w:pPr>
        <w:ind w:left="4180" w:hanging="360"/>
      </w:pPr>
      <w:rPr>
        <w:rFonts w:ascii="Wingdings" w:hAnsi="Wingdings" w:hint="default"/>
      </w:rPr>
    </w:lvl>
    <w:lvl w:ilvl="6" w:tplc="1C090001" w:tentative="1">
      <w:start w:val="1"/>
      <w:numFmt w:val="bullet"/>
      <w:lvlText w:val=""/>
      <w:lvlJc w:val="left"/>
      <w:pPr>
        <w:ind w:left="4900" w:hanging="360"/>
      </w:pPr>
      <w:rPr>
        <w:rFonts w:ascii="Symbol" w:hAnsi="Symbol" w:hint="default"/>
      </w:rPr>
    </w:lvl>
    <w:lvl w:ilvl="7" w:tplc="1C090003" w:tentative="1">
      <w:start w:val="1"/>
      <w:numFmt w:val="bullet"/>
      <w:lvlText w:val="o"/>
      <w:lvlJc w:val="left"/>
      <w:pPr>
        <w:ind w:left="5620" w:hanging="360"/>
      </w:pPr>
      <w:rPr>
        <w:rFonts w:ascii="Courier New" w:hAnsi="Courier New" w:cs="Courier New" w:hint="default"/>
      </w:rPr>
    </w:lvl>
    <w:lvl w:ilvl="8" w:tplc="1C090005" w:tentative="1">
      <w:start w:val="1"/>
      <w:numFmt w:val="bullet"/>
      <w:lvlText w:val=""/>
      <w:lvlJc w:val="left"/>
      <w:pPr>
        <w:ind w:left="6340" w:hanging="360"/>
      </w:pPr>
      <w:rPr>
        <w:rFonts w:ascii="Wingdings" w:hAnsi="Wingdings" w:hint="default"/>
      </w:rPr>
    </w:lvl>
  </w:abstractNum>
  <w:abstractNum w:abstractNumId="1">
    <w:nsid w:val="18B468F5"/>
    <w:multiLevelType w:val="hybridMultilevel"/>
    <w:tmpl w:val="F7E250A8"/>
    <w:lvl w:ilvl="0" w:tplc="5A92E4B0">
      <w:start w:val="1"/>
      <w:numFmt w:val="decimal"/>
      <w:lvlRestart w:val="0"/>
      <w:pStyle w:val="MDPI71References"/>
      <w:lvlText w:val="%1."/>
      <w:lvlJc w:val="left"/>
      <w:pPr>
        <w:ind w:left="425" w:hanging="425"/>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0C6F5D"/>
    <w:multiLevelType w:val="hybridMultilevel"/>
    <w:tmpl w:val="8BFE0D56"/>
    <w:lvl w:ilvl="0" w:tplc="CCCE9BD4">
      <w:start w:val="1"/>
      <w:numFmt w:val="bullet"/>
      <w:lvlRestart w:val="0"/>
      <w:pStyle w:val="MDPI38bullet"/>
      <w:lvlText w:val=""/>
      <w:lvlJc w:val="left"/>
      <w:pPr>
        <w:ind w:left="3033" w:hanging="425"/>
      </w:pPr>
      <w:rPr>
        <w:rFonts w:ascii="Symbol" w:hAnsi="Symbol" w:hint="default"/>
      </w:rPr>
    </w:lvl>
    <w:lvl w:ilvl="1" w:tplc="04090003" w:tentative="1">
      <w:start w:val="1"/>
      <w:numFmt w:val="bullet"/>
      <w:lvlText w:val="o"/>
      <w:lvlJc w:val="left"/>
      <w:pPr>
        <w:ind w:left="4048" w:hanging="360"/>
      </w:pPr>
      <w:rPr>
        <w:rFonts w:ascii="Courier New" w:hAnsi="Courier New" w:cs="Courier New" w:hint="default"/>
      </w:rPr>
    </w:lvl>
    <w:lvl w:ilvl="2" w:tplc="04090005" w:tentative="1">
      <w:start w:val="1"/>
      <w:numFmt w:val="bullet"/>
      <w:lvlText w:val=""/>
      <w:lvlJc w:val="left"/>
      <w:pPr>
        <w:ind w:left="4768" w:hanging="360"/>
      </w:pPr>
      <w:rPr>
        <w:rFonts w:ascii="Wingdings" w:hAnsi="Wingdings" w:hint="default"/>
      </w:rPr>
    </w:lvl>
    <w:lvl w:ilvl="3" w:tplc="04090001" w:tentative="1">
      <w:start w:val="1"/>
      <w:numFmt w:val="bullet"/>
      <w:lvlText w:val=""/>
      <w:lvlJc w:val="left"/>
      <w:pPr>
        <w:ind w:left="5488" w:hanging="360"/>
      </w:pPr>
      <w:rPr>
        <w:rFonts w:ascii="Symbol" w:hAnsi="Symbol" w:hint="default"/>
      </w:rPr>
    </w:lvl>
    <w:lvl w:ilvl="4" w:tplc="04090003" w:tentative="1">
      <w:start w:val="1"/>
      <w:numFmt w:val="bullet"/>
      <w:lvlText w:val="o"/>
      <w:lvlJc w:val="left"/>
      <w:pPr>
        <w:ind w:left="6208" w:hanging="360"/>
      </w:pPr>
      <w:rPr>
        <w:rFonts w:ascii="Courier New" w:hAnsi="Courier New" w:cs="Courier New" w:hint="default"/>
      </w:rPr>
    </w:lvl>
    <w:lvl w:ilvl="5" w:tplc="04090005" w:tentative="1">
      <w:start w:val="1"/>
      <w:numFmt w:val="bullet"/>
      <w:lvlText w:val=""/>
      <w:lvlJc w:val="left"/>
      <w:pPr>
        <w:ind w:left="6928" w:hanging="360"/>
      </w:pPr>
      <w:rPr>
        <w:rFonts w:ascii="Wingdings" w:hAnsi="Wingdings" w:hint="default"/>
      </w:rPr>
    </w:lvl>
    <w:lvl w:ilvl="6" w:tplc="04090001" w:tentative="1">
      <w:start w:val="1"/>
      <w:numFmt w:val="bullet"/>
      <w:lvlText w:val=""/>
      <w:lvlJc w:val="left"/>
      <w:pPr>
        <w:ind w:left="7648" w:hanging="360"/>
      </w:pPr>
      <w:rPr>
        <w:rFonts w:ascii="Symbol" w:hAnsi="Symbol" w:hint="default"/>
      </w:rPr>
    </w:lvl>
    <w:lvl w:ilvl="7" w:tplc="04090003" w:tentative="1">
      <w:start w:val="1"/>
      <w:numFmt w:val="bullet"/>
      <w:lvlText w:val="o"/>
      <w:lvlJc w:val="left"/>
      <w:pPr>
        <w:ind w:left="8368" w:hanging="360"/>
      </w:pPr>
      <w:rPr>
        <w:rFonts w:ascii="Courier New" w:hAnsi="Courier New" w:cs="Courier New" w:hint="default"/>
      </w:rPr>
    </w:lvl>
    <w:lvl w:ilvl="8" w:tplc="04090005" w:tentative="1">
      <w:start w:val="1"/>
      <w:numFmt w:val="bullet"/>
      <w:lvlText w:val=""/>
      <w:lvlJc w:val="left"/>
      <w:pPr>
        <w:ind w:left="9088" w:hanging="360"/>
      </w:pPr>
      <w:rPr>
        <w:rFonts w:ascii="Wingdings" w:hAnsi="Wingdings" w:hint="default"/>
      </w:rPr>
    </w:lvl>
  </w:abstractNum>
  <w:abstractNum w:abstractNumId="3">
    <w:nsid w:val="250A245F"/>
    <w:multiLevelType w:val="hybridMultilevel"/>
    <w:tmpl w:val="29E20A30"/>
    <w:lvl w:ilvl="0" w:tplc="1AF444CE">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805051C"/>
    <w:multiLevelType w:val="hybridMultilevel"/>
    <w:tmpl w:val="D6480D34"/>
    <w:lvl w:ilvl="0" w:tplc="CDCEE7DA">
      <w:start w:val="1"/>
      <w:numFmt w:val="decimal"/>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5">
    <w:nsid w:val="282E1BA0"/>
    <w:multiLevelType w:val="hybridMultilevel"/>
    <w:tmpl w:val="EF3C6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9A6535"/>
    <w:multiLevelType w:val="hybridMultilevel"/>
    <w:tmpl w:val="3CB68362"/>
    <w:lvl w:ilvl="0" w:tplc="B2367048">
      <w:start w:val="1"/>
      <w:numFmt w:val="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7">
    <w:nsid w:val="52E2771B"/>
    <w:multiLevelType w:val="hybridMultilevel"/>
    <w:tmpl w:val="A2A06AAC"/>
    <w:lvl w:ilvl="0" w:tplc="C788203A">
      <w:start w:val="1"/>
      <w:numFmt w:val="decimal"/>
      <w:lvlRestart w:val="0"/>
      <w:pStyle w:val="MDPI71FootNotes"/>
      <w:lvlText w:val="%1"/>
      <w:lvlJc w:val="left"/>
      <w:pPr>
        <w:ind w:left="425" w:hanging="425"/>
      </w:pPr>
      <w:rPr>
        <w:rFonts w:hint="eastAsia"/>
        <w:caps w:val="0"/>
        <w:strike w:val="0"/>
        <w:dstrike w:val="0"/>
        <w:vanish w:val="0"/>
        <w:sz w:val="18"/>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4075B53"/>
    <w:multiLevelType w:val="hybridMultilevel"/>
    <w:tmpl w:val="A0DCA02E"/>
    <w:lvl w:ilvl="0" w:tplc="5CB0595C">
      <w:start w:val="1"/>
      <w:numFmt w:val="decimal"/>
      <w:lvlRestart w:val="0"/>
      <w:pStyle w:val="MDPI37itemize"/>
      <w:lvlText w:val="%1."/>
      <w:lvlJc w:val="left"/>
      <w:pPr>
        <w:ind w:left="3033" w:hanging="425"/>
      </w:pPr>
    </w:lvl>
    <w:lvl w:ilvl="1" w:tplc="04090019" w:tentative="1">
      <w:start w:val="1"/>
      <w:numFmt w:val="lowerLetter"/>
      <w:lvlText w:val="%2."/>
      <w:lvlJc w:val="left"/>
      <w:pPr>
        <w:ind w:left="3691" w:hanging="360"/>
      </w:pPr>
    </w:lvl>
    <w:lvl w:ilvl="2" w:tplc="0409001B" w:tentative="1">
      <w:start w:val="1"/>
      <w:numFmt w:val="lowerRoman"/>
      <w:lvlText w:val="%3."/>
      <w:lvlJc w:val="right"/>
      <w:pPr>
        <w:ind w:left="4411" w:hanging="180"/>
      </w:pPr>
    </w:lvl>
    <w:lvl w:ilvl="3" w:tplc="0409000F" w:tentative="1">
      <w:start w:val="1"/>
      <w:numFmt w:val="decimal"/>
      <w:lvlText w:val="%4."/>
      <w:lvlJc w:val="left"/>
      <w:pPr>
        <w:ind w:left="5131" w:hanging="360"/>
      </w:pPr>
    </w:lvl>
    <w:lvl w:ilvl="4" w:tplc="04090019" w:tentative="1">
      <w:start w:val="1"/>
      <w:numFmt w:val="lowerLetter"/>
      <w:lvlText w:val="%5."/>
      <w:lvlJc w:val="left"/>
      <w:pPr>
        <w:ind w:left="5851" w:hanging="360"/>
      </w:pPr>
    </w:lvl>
    <w:lvl w:ilvl="5" w:tplc="0409001B" w:tentative="1">
      <w:start w:val="1"/>
      <w:numFmt w:val="lowerRoman"/>
      <w:lvlText w:val="%6."/>
      <w:lvlJc w:val="right"/>
      <w:pPr>
        <w:ind w:left="6571" w:hanging="180"/>
      </w:pPr>
    </w:lvl>
    <w:lvl w:ilvl="6" w:tplc="0409000F" w:tentative="1">
      <w:start w:val="1"/>
      <w:numFmt w:val="decimal"/>
      <w:lvlText w:val="%7."/>
      <w:lvlJc w:val="left"/>
      <w:pPr>
        <w:ind w:left="7291" w:hanging="360"/>
      </w:pPr>
    </w:lvl>
    <w:lvl w:ilvl="7" w:tplc="04090019" w:tentative="1">
      <w:start w:val="1"/>
      <w:numFmt w:val="lowerLetter"/>
      <w:lvlText w:val="%8."/>
      <w:lvlJc w:val="left"/>
      <w:pPr>
        <w:ind w:left="8011" w:hanging="360"/>
      </w:pPr>
    </w:lvl>
    <w:lvl w:ilvl="8" w:tplc="0409001B" w:tentative="1">
      <w:start w:val="1"/>
      <w:numFmt w:val="lowerRoman"/>
      <w:lvlText w:val="%9."/>
      <w:lvlJc w:val="right"/>
      <w:pPr>
        <w:ind w:left="8731" w:hanging="180"/>
      </w:pPr>
    </w:lvl>
  </w:abstractNum>
  <w:abstractNum w:abstractNumId="9">
    <w:nsid w:val="56CF7C60"/>
    <w:multiLevelType w:val="hybridMultilevel"/>
    <w:tmpl w:val="BB52EB1E"/>
    <w:lvl w:ilvl="0" w:tplc="08086F0C">
      <w:start w:val="169"/>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706D5736"/>
    <w:multiLevelType w:val="hybridMultilevel"/>
    <w:tmpl w:val="E3640C5C"/>
    <w:lvl w:ilvl="0" w:tplc="0409000F">
      <w:start w:val="1"/>
      <w:numFmt w:val="decimal"/>
      <w:lvlText w:val="%1."/>
      <w:lvlJc w:val="left"/>
      <w:pPr>
        <w:ind w:left="1429" w:hanging="360"/>
      </w:pPr>
      <w:rPr>
        <w:rFonts w:hint="eastAsia"/>
      </w:r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num w:numId="1">
    <w:abstractNumId w:val="4"/>
  </w:num>
  <w:num w:numId="2">
    <w:abstractNumId w:val="6"/>
  </w:num>
  <w:num w:numId="3">
    <w:abstractNumId w:val="3"/>
  </w:num>
  <w:num w:numId="4">
    <w:abstractNumId w:val="5"/>
  </w:num>
  <w:num w:numId="5">
    <w:abstractNumId w:val="8"/>
  </w:num>
  <w:num w:numId="6">
    <w:abstractNumId w:val="2"/>
  </w:num>
  <w:num w:numId="7">
    <w:abstractNumId w:val="8"/>
  </w:num>
  <w:num w:numId="8">
    <w:abstractNumId w:val="2"/>
  </w:num>
  <w:num w:numId="9">
    <w:abstractNumId w:val="8"/>
  </w:num>
  <w:num w:numId="10">
    <w:abstractNumId w:val="2"/>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9"/>
  </w:num>
  <w:num w:numId="14">
    <w:abstractNumId w:val="10"/>
  </w:num>
  <w:num w:numId="15">
    <w:abstractNumId w:val="8"/>
  </w:num>
  <w:num w:numId="16">
    <w:abstractNumId w:val="2"/>
  </w:num>
  <w:num w:numId="17">
    <w:abstractNumId w:val="1"/>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10"/>
  <w:autoHyphenation/>
  <w:drawingGridHorizontalSpacing w:val="100"/>
  <w:drawingGridVerticalSpacing w:val="163"/>
  <w:displayHorizontalDrawingGridEvery w:val="0"/>
  <w:displayVerticalDrawingGridEvery w:val="2"/>
  <w:characterSpacingControl w:val="compressPunctuation"/>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493"/>
    <w:rsid w:val="000011E0"/>
    <w:rsid w:val="0000367C"/>
    <w:rsid w:val="00003A11"/>
    <w:rsid w:val="00012DCD"/>
    <w:rsid w:val="0001390C"/>
    <w:rsid w:val="0001548D"/>
    <w:rsid w:val="000273CE"/>
    <w:rsid w:val="00035BF0"/>
    <w:rsid w:val="00043654"/>
    <w:rsid w:val="000505E6"/>
    <w:rsid w:val="000679AD"/>
    <w:rsid w:val="000727B4"/>
    <w:rsid w:val="000779C5"/>
    <w:rsid w:val="00077A06"/>
    <w:rsid w:val="00081F0B"/>
    <w:rsid w:val="00093D7A"/>
    <w:rsid w:val="00094EB2"/>
    <w:rsid w:val="000A1F88"/>
    <w:rsid w:val="000A34E0"/>
    <w:rsid w:val="000B2A92"/>
    <w:rsid w:val="000B5878"/>
    <w:rsid w:val="000C0A35"/>
    <w:rsid w:val="000C0E8A"/>
    <w:rsid w:val="000C439E"/>
    <w:rsid w:val="000C4D95"/>
    <w:rsid w:val="000D2681"/>
    <w:rsid w:val="000D7137"/>
    <w:rsid w:val="000F0918"/>
    <w:rsid w:val="000F10B9"/>
    <w:rsid w:val="000F4E10"/>
    <w:rsid w:val="000F55E2"/>
    <w:rsid w:val="00106684"/>
    <w:rsid w:val="00110C9E"/>
    <w:rsid w:val="001215B8"/>
    <w:rsid w:val="00130D16"/>
    <w:rsid w:val="00132ECB"/>
    <w:rsid w:val="00136DD1"/>
    <w:rsid w:val="00137810"/>
    <w:rsid w:val="00144F9B"/>
    <w:rsid w:val="00146DA7"/>
    <w:rsid w:val="001472AA"/>
    <w:rsid w:val="0015686E"/>
    <w:rsid w:val="00156E3D"/>
    <w:rsid w:val="00163BBA"/>
    <w:rsid w:val="00170F14"/>
    <w:rsid w:val="001777E8"/>
    <w:rsid w:val="00183FAF"/>
    <w:rsid w:val="00187282"/>
    <w:rsid w:val="00192076"/>
    <w:rsid w:val="00196A48"/>
    <w:rsid w:val="001A43CB"/>
    <w:rsid w:val="001B0F83"/>
    <w:rsid w:val="001B6E88"/>
    <w:rsid w:val="001C0589"/>
    <w:rsid w:val="001E2AEB"/>
    <w:rsid w:val="001F2420"/>
    <w:rsid w:val="001F42CB"/>
    <w:rsid w:val="001F4440"/>
    <w:rsid w:val="001F7CDE"/>
    <w:rsid w:val="00203AD7"/>
    <w:rsid w:val="002118B2"/>
    <w:rsid w:val="0022188B"/>
    <w:rsid w:val="0023130B"/>
    <w:rsid w:val="002335DE"/>
    <w:rsid w:val="00237840"/>
    <w:rsid w:val="00241563"/>
    <w:rsid w:val="00251332"/>
    <w:rsid w:val="00253250"/>
    <w:rsid w:val="00261523"/>
    <w:rsid w:val="0026510A"/>
    <w:rsid w:val="00270191"/>
    <w:rsid w:val="00271BE8"/>
    <w:rsid w:val="0027315D"/>
    <w:rsid w:val="002750D3"/>
    <w:rsid w:val="00284E90"/>
    <w:rsid w:val="002879CA"/>
    <w:rsid w:val="002913B1"/>
    <w:rsid w:val="0029223B"/>
    <w:rsid w:val="00293025"/>
    <w:rsid w:val="00293B0C"/>
    <w:rsid w:val="00293E67"/>
    <w:rsid w:val="002960D6"/>
    <w:rsid w:val="002A503A"/>
    <w:rsid w:val="002C0F99"/>
    <w:rsid w:val="002D33E7"/>
    <w:rsid w:val="002D546A"/>
    <w:rsid w:val="002F6A1E"/>
    <w:rsid w:val="0030333D"/>
    <w:rsid w:val="00311621"/>
    <w:rsid w:val="00316E5E"/>
    <w:rsid w:val="003245AE"/>
    <w:rsid w:val="00326141"/>
    <w:rsid w:val="003357DF"/>
    <w:rsid w:val="003441E2"/>
    <w:rsid w:val="003444E8"/>
    <w:rsid w:val="00345DB2"/>
    <w:rsid w:val="0035290D"/>
    <w:rsid w:val="003650CC"/>
    <w:rsid w:val="00367FED"/>
    <w:rsid w:val="00370741"/>
    <w:rsid w:val="00372FF5"/>
    <w:rsid w:val="0037548D"/>
    <w:rsid w:val="003805D0"/>
    <w:rsid w:val="00385741"/>
    <w:rsid w:val="00397043"/>
    <w:rsid w:val="003A158E"/>
    <w:rsid w:val="003A6B50"/>
    <w:rsid w:val="003C4A42"/>
    <w:rsid w:val="003C5C48"/>
    <w:rsid w:val="003D73BB"/>
    <w:rsid w:val="003D7B1A"/>
    <w:rsid w:val="003F59BE"/>
    <w:rsid w:val="00400E33"/>
    <w:rsid w:val="00401D30"/>
    <w:rsid w:val="004074EC"/>
    <w:rsid w:val="00412645"/>
    <w:rsid w:val="00414BA3"/>
    <w:rsid w:val="004178A3"/>
    <w:rsid w:val="00422232"/>
    <w:rsid w:val="00434598"/>
    <w:rsid w:val="00443E55"/>
    <w:rsid w:val="00453DB8"/>
    <w:rsid w:val="0045757E"/>
    <w:rsid w:val="004731A7"/>
    <w:rsid w:val="0047598D"/>
    <w:rsid w:val="00480C0E"/>
    <w:rsid w:val="00484169"/>
    <w:rsid w:val="00491E12"/>
    <w:rsid w:val="0049740B"/>
    <w:rsid w:val="00497BC4"/>
    <w:rsid w:val="004A33C1"/>
    <w:rsid w:val="004A3F44"/>
    <w:rsid w:val="004B09B9"/>
    <w:rsid w:val="004B1D4D"/>
    <w:rsid w:val="004B4495"/>
    <w:rsid w:val="004C2A66"/>
    <w:rsid w:val="004C5D0C"/>
    <w:rsid w:val="004D47D8"/>
    <w:rsid w:val="004D6E23"/>
    <w:rsid w:val="004E211C"/>
    <w:rsid w:val="004E2FB7"/>
    <w:rsid w:val="004E3606"/>
    <w:rsid w:val="004F77A7"/>
    <w:rsid w:val="00500769"/>
    <w:rsid w:val="00504592"/>
    <w:rsid w:val="00505DF6"/>
    <w:rsid w:val="00521E12"/>
    <w:rsid w:val="005230BB"/>
    <w:rsid w:val="00523505"/>
    <w:rsid w:val="00536F97"/>
    <w:rsid w:val="00546ACE"/>
    <w:rsid w:val="00546ED8"/>
    <w:rsid w:val="0055118B"/>
    <w:rsid w:val="00552A98"/>
    <w:rsid w:val="00564ED0"/>
    <w:rsid w:val="00567920"/>
    <w:rsid w:val="0057027A"/>
    <w:rsid w:val="005721FE"/>
    <w:rsid w:val="005737EF"/>
    <w:rsid w:val="00580770"/>
    <w:rsid w:val="00584D8F"/>
    <w:rsid w:val="00591EEC"/>
    <w:rsid w:val="00597AAF"/>
    <w:rsid w:val="005A2505"/>
    <w:rsid w:val="005C25AA"/>
    <w:rsid w:val="005C539D"/>
    <w:rsid w:val="005C74B6"/>
    <w:rsid w:val="005D3566"/>
    <w:rsid w:val="005D4E89"/>
    <w:rsid w:val="005E013A"/>
    <w:rsid w:val="005E1D84"/>
    <w:rsid w:val="005E363E"/>
    <w:rsid w:val="005F2C41"/>
    <w:rsid w:val="006001DE"/>
    <w:rsid w:val="00600FE1"/>
    <w:rsid w:val="00601835"/>
    <w:rsid w:val="00601FC8"/>
    <w:rsid w:val="00603482"/>
    <w:rsid w:val="00605C3D"/>
    <w:rsid w:val="00630F65"/>
    <w:rsid w:val="006316C0"/>
    <w:rsid w:val="00633923"/>
    <w:rsid w:val="00634DF0"/>
    <w:rsid w:val="006363E2"/>
    <w:rsid w:val="006405D2"/>
    <w:rsid w:val="00641352"/>
    <w:rsid w:val="0064641A"/>
    <w:rsid w:val="006511C8"/>
    <w:rsid w:val="00652601"/>
    <w:rsid w:val="00655510"/>
    <w:rsid w:val="00661AB3"/>
    <w:rsid w:val="006644BF"/>
    <w:rsid w:val="00671208"/>
    <w:rsid w:val="0067540B"/>
    <w:rsid w:val="00676CB2"/>
    <w:rsid w:val="006857EF"/>
    <w:rsid w:val="00692393"/>
    <w:rsid w:val="00692BF5"/>
    <w:rsid w:val="00696A3C"/>
    <w:rsid w:val="006A18A5"/>
    <w:rsid w:val="006A21BE"/>
    <w:rsid w:val="006B574B"/>
    <w:rsid w:val="006B5B1F"/>
    <w:rsid w:val="006C45F9"/>
    <w:rsid w:val="006D2152"/>
    <w:rsid w:val="006E39F8"/>
    <w:rsid w:val="006E574C"/>
    <w:rsid w:val="006F336F"/>
    <w:rsid w:val="006F486A"/>
    <w:rsid w:val="006F4CFB"/>
    <w:rsid w:val="006F4E45"/>
    <w:rsid w:val="00714A6E"/>
    <w:rsid w:val="00716E96"/>
    <w:rsid w:val="007241FE"/>
    <w:rsid w:val="0072755F"/>
    <w:rsid w:val="007301CD"/>
    <w:rsid w:val="00730DA9"/>
    <w:rsid w:val="007416E4"/>
    <w:rsid w:val="00747EA1"/>
    <w:rsid w:val="007531CE"/>
    <w:rsid w:val="00760006"/>
    <w:rsid w:val="00764050"/>
    <w:rsid w:val="007643C9"/>
    <w:rsid w:val="00766F8C"/>
    <w:rsid w:val="00767E69"/>
    <w:rsid w:val="007831D3"/>
    <w:rsid w:val="00785997"/>
    <w:rsid w:val="00786EC5"/>
    <w:rsid w:val="00787A28"/>
    <w:rsid w:val="00793178"/>
    <w:rsid w:val="007946C1"/>
    <w:rsid w:val="007972AE"/>
    <w:rsid w:val="00797F16"/>
    <w:rsid w:val="007A1C74"/>
    <w:rsid w:val="007A1F75"/>
    <w:rsid w:val="007A7D50"/>
    <w:rsid w:val="007B0F55"/>
    <w:rsid w:val="007B2458"/>
    <w:rsid w:val="007B2692"/>
    <w:rsid w:val="007B2883"/>
    <w:rsid w:val="007C146C"/>
    <w:rsid w:val="007C199D"/>
    <w:rsid w:val="007C2E0E"/>
    <w:rsid w:val="007C2FE5"/>
    <w:rsid w:val="007C7039"/>
    <w:rsid w:val="007E29D2"/>
    <w:rsid w:val="007E3150"/>
    <w:rsid w:val="007F57D8"/>
    <w:rsid w:val="00801B3D"/>
    <w:rsid w:val="0080460A"/>
    <w:rsid w:val="008065E1"/>
    <w:rsid w:val="00807E37"/>
    <w:rsid w:val="008109D0"/>
    <w:rsid w:val="00810CD4"/>
    <w:rsid w:val="00811FE3"/>
    <w:rsid w:val="00813FC0"/>
    <w:rsid w:val="00834266"/>
    <w:rsid w:val="00847F6E"/>
    <w:rsid w:val="00856248"/>
    <w:rsid w:val="00866D4E"/>
    <w:rsid w:val="00871E3D"/>
    <w:rsid w:val="008778C2"/>
    <w:rsid w:val="008844E0"/>
    <w:rsid w:val="00894A8E"/>
    <w:rsid w:val="008A7C51"/>
    <w:rsid w:val="008A7DEB"/>
    <w:rsid w:val="008B002F"/>
    <w:rsid w:val="008C7379"/>
    <w:rsid w:val="008E3A5F"/>
    <w:rsid w:val="008F3BDE"/>
    <w:rsid w:val="00900026"/>
    <w:rsid w:val="00900A4E"/>
    <w:rsid w:val="009101FB"/>
    <w:rsid w:val="00913030"/>
    <w:rsid w:val="0091628D"/>
    <w:rsid w:val="00916542"/>
    <w:rsid w:val="009177FD"/>
    <w:rsid w:val="00920B4C"/>
    <w:rsid w:val="00921AD8"/>
    <w:rsid w:val="00933C74"/>
    <w:rsid w:val="00941A69"/>
    <w:rsid w:val="009459F0"/>
    <w:rsid w:val="0095518E"/>
    <w:rsid w:val="00961339"/>
    <w:rsid w:val="00966423"/>
    <w:rsid w:val="009750D7"/>
    <w:rsid w:val="0097760A"/>
    <w:rsid w:val="009778D8"/>
    <w:rsid w:val="00984C03"/>
    <w:rsid w:val="0098714D"/>
    <w:rsid w:val="00992A65"/>
    <w:rsid w:val="00996FF8"/>
    <w:rsid w:val="009A1C5A"/>
    <w:rsid w:val="009A5151"/>
    <w:rsid w:val="009A6288"/>
    <w:rsid w:val="009A7DDF"/>
    <w:rsid w:val="009B4312"/>
    <w:rsid w:val="009B60B6"/>
    <w:rsid w:val="009C60D7"/>
    <w:rsid w:val="009D0406"/>
    <w:rsid w:val="009D3A5A"/>
    <w:rsid w:val="009D450D"/>
    <w:rsid w:val="009D655B"/>
    <w:rsid w:val="009F3691"/>
    <w:rsid w:val="009F36AC"/>
    <w:rsid w:val="009F70E6"/>
    <w:rsid w:val="00A0285F"/>
    <w:rsid w:val="00A0376A"/>
    <w:rsid w:val="00A0435D"/>
    <w:rsid w:val="00A05412"/>
    <w:rsid w:val="00A109C9"/>
    <w:rsid w:val="00A13407"/>
    <w:rsid w:val="00A144EF"/>
    <w:rsid w:val="00A20B72"/>
    <w:rsid w:val="00A21AA2"/>
    <w:rsid w:val="00A248FD"/>
    <w:rsid w:val="00A252DC"/>
    <w:rsid w:val="00A30D86"/>
    <w:rsid w:val="00A30E8C"/>
    <w:rsid w:val="00A33E22"/>
    <w:rsid w:val="00A65746"/>
    <w:rsid w:val="00A72496"/>
    <w:rsid w:val="00A747A7"/>
    <w:rsid w:val="00A82A63"/>
    <w:rsid w:val="00A87726"/>
    <w:rsid w:val="00A9006D"/>
    <w:rsid w:val="00A921E1"/>
    <w:rsid w:val="00A9339D"/>
    <w:rsid w:val="00AA0AF2"/>
    <w:rsid w:val="00AB06AA"/>
    <w:rsid w:val="00AB098C"/>
    <w:rsid w:val="00AB5A40"/>
    <w:rsid w:val="00AC0328"/>
    <w:rsid w:val="00AC42CA"/>
    <w:rsid w:val="00AC72CD"/>
    <w:rsid w:val="00AD6BC5"/>
    <w:rsid w:val="00AD778A"/>
    <w:rsid w:val="00AE07D3"/>
    <w:rsid w:val="00AE0C70"/>
    <w:rsid w:val="00AE2F71"/>
    <w:rsid w:val="00AE67CF"/>
    <w:rsid w:val="00B005A6"/>
    <w:rsid w:val="00B03314"/>
    <w:rsid w:val="00B05E1C"/>
    <w:rsid w:val="00B25174"/>
    <w:rsid w:val="00B304B5"/>
    <w:rsid w:val="00B332B9"/>
    <w:rsid w:val="00B34E9F"/>
    <w:rsid w:val="00B44854"/>
    <w:rsid w:val="00B4605C"/>
    <w:rsid w:val="00B51693"/>
    <w:rsid w:val="00B5660A"/>
    <w:rsid w:val="00B64225"/>
    <w:rsid w:val="00B73333"/>
    <w:rsid w:val="00B73C33"/>
    <w:rsid w:val="00B81BAB"/>
    <w:rsid w:val="00B835BB"/>
    <w:rsid w:val="00B83DAF"/>
    <w:rsid w:val="00B84EDA"/>
    <w:rsid w:val="00B93553"/>
    <w:rsid w:val="00BA0BF1"/>
    <w:rsid w:val="00BA2818"/>
    <w:rsid w:val="00BA49DD"/>
    <w:rsid w:val="00BA4DAE"/>
    <w:rsid w:val="00BA5FCE"/>
    <w:rsid w:val="00BB22D8"/>
    <w:rsid w:val="00BC5E1A"/>
    <w:rsid w:val="00BD523B"/>
    <w:rsid w:val="00BD759A"/>
    <w:rsid w:val="00BE3BAA"/>
    <w:rsid w:val="00BE7213"/>
    <w:rsid w:val="00BE729E"/>
    <w:rsid w:val="00BF3151"/>
    <w:rsid w:val="00C01C7F"/>
    <w:rsid w:val="00C01CE3"/>
    <w:rsid w:val="00C0255E"/>
    <w:rsid w:val="00C02D02"/>
    <w:rsid w:val="00C03906"/>
    <w:rsid w:val="00C10894"/>
    <w:rsid w:val="00C13D53"/>
    <w:rsid w:val="00C1657D"/>
    <w:rsid w:val="00C20C63"/>
    <w:rsid w:val="00C23C61"/>
    <w:rsid w:val="00C26C8A"/>
    <w:rsid w:val="00C420A5"/>
    <w:rsid w:val="00C4445B"/>
    <w:rsid w:val="00C45303"/>
    <w:rsid w:val="00C5040B"/>
    <w:rsid w:val="00C53451"/>
    <w:rsid w:val="00C55047"/>
    <w:rsid w:val="00C5674B"/>
    <w:rsid w:val="00C60885"/>
    <w:rsid w:val="00C60EE2"/>
    <w:rsid w:val="00C61727"/>
    <w:rsid w:val="00C705C7"/>
    <w:rsid w:val="00C804C9"/>
    <w:rsid w:val="00C87210"/>
    <w:rsid w:val="00C95D1A"/>
    <w:rsid w:val="00CA2BD8"/>
    <w:rsid w:val="00CA3224"/>
    <w:rsid w:val="00CA4CD0"/>
    <w:rsid w:val="00CA4D68"/>
    <w:rsid w:val="00CA7E16"/>
    <w:rsid w:val="00CB42EE"/>
    <w:rsid w:val="00CC1DAF"/>
    <w:rsid w:val="00CC48F8"/>
    <w:rsid w:val="00CD3E5C"/>
    <w:rsid w:val="00CD45DA"/>
    <w:rsid w:val="00CD4F4D"/>
    <w:rsid w:val="00CE0D39"/>
    <w:rsid w:val="00CE6F61"/>
    <w:rsid w:val="00CF3EC6"/>
    <w:rsid w:val="00CF6109"/>
    <w:rsid w:val="00D04592"/>
    <w:rsid w:val="00D05238"/>
    <w:rsid w:val="00D06493"/>
    <w:rsid w:val="00D0702F"/>
    <w:rsid w:val="00D16D62"/>
    <w:rsid w:val="00D21026"/>
    <w:rsid w:val="00D2399C"/>
    <w:rsid w:val="00D24A18"/>
    <w:rsid w:val="00D343FB"/>
    <w:rsid w:val="00D43394"/>
    <w:rsid w:val="00D5131F"/>
    <w:rsid w:val="00D517F6"/>
    <w:rsid w:val="00D54C5A"/>
    <w:rsid w:val="00D630AB"/>
    <w:rsid w:val="00D63988"/>
    <w:rsid w:val="00D7244D"/>
    <w:rsid w:val="00D73D32"/>
    <w:rsid w:val="00D75AC0"/>
    <w:rsid w:val="00D844FC"/>
    <w:rsid w:val="00D84667"/>
    <w:rsid w:val="00D90C0E"/>
    <w:rsid w:val="00D923EC"/>
    <w:rsid w:val="00D92BC2"/>
    <w:rsid w:val="00DB155B"/>
    <w:rsid w:val="00DE1629"/>
    <w:rsid w:val="00DF62C6"/>
    <w:rsid w:val="00DF6538"/>
    <w:rsid w:val="00DF7396"/>
    <w:rsid w:val="00E24171"/>
    <w:rsid w:val="00E2543E"/>
    <w:rsid w:val="00E31D29"/>
    <w:rsid w:val="00E41471"/>
    <w:rsid w:val="00E422C0"/>
    <w:rsid w:val="00E43304"/>
    <w:rsid w:val="00E47A08"/>
    <w:rsid w:val="00E52031"/>
    <w:rsid w:val="00E52242"/>
    <w:rsid w:val="00E532E9"/>
    <w:rsid w:val="00E53589"/>
    <w:rsid w:val="00E63842"/>
    <w:rsid w:val="00E665EB"/>
    <w:rsid w:val="00E70B87"/>
    <w:rsid w:val="00E72F74"/>
    <w:rsid w:val="00E747D1"/>
    <w:rsid w:val="00E84887"/>
    <w:rsid w:val="00EA1437"/>
    <w:rsid w:val="00EA593C"/>
    <w:rsid w:val="00EA7985"/>
    <w:rsid w:val="00EB135C"/>
    <w:rsid w:val="00EB7030"/>
    <w:rsid w:val="00EB7461"/>
    <w:rsid w:val="00EC3453"/>
    <w:rsid w:val="00EC47F5"/>
    <w:rsid w:val="00EC550F"/>
    <w:rsid w:val="00EE2B7A"/>
    <w:rsid w:val="00EE30FB"/>
    <w:rsid w:val="00EE5BE6"/>
    <w:rsid w:val="00EE693D"/>
    <w:rsid w:val="00EE7CB1"/>
    <w:rsid w:val="00EF076F"/>
    <w:rsid w:val="00EF1359"/>
    <w:rsid w:val="00EF1973"/>
    <w:rsid w:val="00EF2874"/>
    <w:rsid w:val="00EF6103"/>
    <w:rsid w:val="00EF7CCF"/>
    <w:rsid w:val="00F01431"/>
    <w:rsid w:val="00F114CE"/>
    <w:rsid w:val="00F14017"/>
    <w:rsid w:val="00F144A0"/>
    <w:rsid w:val="00F15759"/>
    <w:rsid w:val="00F17AF9"/>
    <w:rsid w:val="00F21BEC"/>
    <w:rsid w:val="00F317EB"/>
    <w:rsid w:val="00F33CC0"/>
    <w:rsid w:val="00F50D54"/>
    <w:rsid w:val="00F53425"/>
    <w:rsid w:val="00F53BD2"/>
    <w:rsid w:val="00F61C3E"/>
    <w:rsid w:val="00F6639A"/>
    <w:rsid w:val="00F67BBD"/>
    <w:rsid w:val="00F70368"/>
    <w:rsid w:val="00F76E4F"/>
    <w:rsid w:val="00F83939"/>
    <w:rsid w:val="00F945C2"/>
    <w:rsid w:val="00FA2EC3"/>
    <w:rsid w:val="00FB70B3"/>
    <w:rsid w:val="00FC35B4"/>
    <w:rsid w:val="00FC6365"/>
    <w:rsid w:val="00FD5106"/>
    <w:rsid w:val="00FE089B"/>
    <w:rsid w:val="00FE4121"/>
    <w:rsid w:val="00FF09E8"/>
    <w:rsid w:val="00FF2264"/>
    <w:rsid w:val="00FF484C"/>
    <w:rsid w:val="00FF5B6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7572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574C"/>
    <w:pPr>
      <w:spacing w:line="260" w:lineRule="atLeast"/>
      <w:jc w:val="both"/>
    </w:pPr>
    <w:rPr>
      <w:rFonts w:ascii="Palatino Linotype" w:hAnsi="Palatino Linotype"/>
      <w:noProof/>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DPI11articletype">
    <w:name w:val="MDPI_1.1_article_type"/>
    <w:next w:val="a"/>
    <w:qFormat/>
    <w:rsid w:val="006E574C"/>
    <w:pPr>
      <w:adjustRightInd w:val="0"/>
      <w:snapToGrid w:val="0"/>
      <w:spacing w:before="240"/>
    </w:pPr>
    <w:rPr>
      <w:rFonts w:ascii="Palatino Linotype" w:eastAsia="Times New Roman" w:hAnsi="Palatino Linotype"/>
      <w:i/>
      <w:snapToGrid w:val="0"/>
      <w:color w:val="000000"/>
      <w:szCs w:val="22"/>
      <w:lang w:eastAsia="de-DE" w:bidi="en-US"/>
    </w:rPr>
  </w:style>
  <w:style w:type="paragraph" w:customStyle="1" w:styleId="MDPI12title">
    <w:name w:val="MDPI_1.2_title"/>
    <w:next w:val="a"/>
    <w:qFormat/>
    <w:rsid w:val="006E574C"/>
    <w:pPr>
      <w:adjustRightInd w:val="0"/>
      <w:snapToGrid w:val="0"/>
      <w:spacing w:after="240" w:line="240" w:lineRule="atLeast"/>
    </w:pPr>
    <w:rPr>
      <w:rFonts w:ascii="Palatino Linotype" w:eastAsia="Times New Roman" w:hAnsi="Palatino Linotype"/>
      <w:b/>
      <w:snapToGrid w:val="0"/>
      <w:color w:val="000000"/>
      <w:sz w:val="36"/>
      <w:lang w:eastAsia="de-DE" w:bidi="en-US"/>
    </w:rPr>
  </w:style>
  <w:style w:type="paragraph" w:customStyle="1" w:styleId="MDPI13authornames">
    <w:name w:val="MDPI_1.3_authornames"/>
    <w:next w:val="a"/>
    <w:qFormat/>
    <w:rsid w:val="006E574C"/>
    <w:pPr>
      <w:adjustRightInd w:val="0"/>
      <w:snapToGrid w:val="0"/>
      <w:spacing w:after="360" w:line="260" w:lineRule="atLeast"/>
    </w:pPr>
    <w:rPr>
      <w:rFonts w:ascii="Palatino Linotype" w:eastAsia="Times New Roman" w:hAnsi="Palatino Linotype"/>
      <w:b/>
      <w:color w:val="000000"/>
      <w:szCs w:val="22"/>
      <w:lang w:eastAsia="de-DE" w:bidi="en-US"/>
    </w:rPr>
  </w:style>
  <w:style w:type="paragraph" w:customStyle="1" w:styleId="MDPI14history">
    <w:name w:val="MDPI_1.4_history"/>
    <w:basedOn w:val="a"/>
    <w:next w:val="a"/>
    <w:qFormat/>
    <w:rsid w:val="006E574C"/>
    <w:pPr>
      <w:adjustRightInd w:val="0"/>
      <w:snapToGrid w:val="0"/>
      <w:spacing w:line="240" w:lineRule="atLeast"/>
      <w:ind w:right="113"/>
      <w:jc w:val="left"/>
    </w:pPr>
    <w:rPr>
      <w:rFonts w:eastAsia="Times New Roman"/>
      <w:noProof w:val="0"/>
      <w:sz w:val="14"/>
      <w:lang w:eastAsia="de-DE" w:bidi="en-US"/>
    </w:rPr>
  </w:style>
  <w:style w:type="paragraph" w:customStyle="1" w:styleId="MDPI16affiliation">
    <w:name w:val="MDPI_1.6_affiliation"/>
    <w:qFormat/>
    <w:rsid w:val="006E574C"/>
    <w:pPr>
      <w:adjustRightInd w:val="0"/>
      <w:snapToGrid w:val="0"/>
      <w:spacing w:line="200" w:lineRule="atLeast"/>
      <w:ind w:left="2806" w:hanging="198"/>
    </w:pPr>
    <w:rPr>
      <w:rFonts w:ascii="Palatino Linotype" w:eastAsia="Times New Roman" w:hAnsi="Palatino Linotype"/>
      <w:color w:val="000000"/>
      <w:sz w:val="16"/>
      <w:szCs w:val="18"/>
      <w:lang w:eastAsia="de-DE" w:bidi="en-US"/>
    </w:rPr>
  </w:style>
  <w:style w:type="paragraph" w:customStyle="1" w:styleId="MDPI17abstract">
    <w:name w:val="MDPI_1.7_abstract"/>
    <w:next w:val="a"/>
    <w:qFormat/>
    <w:rsid w:val="006E574C"/>
    <w:pPr>
      <w:adjustRightInd w:val="0"/>
      <w:snapToGrid w:val="0"/>
      <w:spacing w:before="240" w:line="260" w:lineRule="atLeast"/>
      <w:ind w:left="2608"/>
      <w:jc w:val="both"/>
    </w:pPr>
    <w:rPr>
      <w:rFonts w:ascii="Palatino Linotype" w:eastAsia="Times New Roman" w:hAnsi="Palatino Linotype"/>
      <w:color w:val="000000"/>
      <w:sz w:val="18"/>
      <w:szCs w:val="22"/>
      <w:lang w:eastAsia="de-DE" w:bidi="en-US"/>
    </w:rPr>
  </w:style>
  <w:style w:type="paragraph" w:customStyle="1" w:styleId="MDPI18keywords">
    <w:name w:val="MDPI_1.8_keywords"/>
    <w:next w:val="a"/>
    <w:qFormat/>
    <w:rsid w:val="006E574C"/>
    <w:pPr>
      <w:adjustRightInd w:val="0"/>
      <w:snapToGrid w:val="0"/>
      <w:spacing w:before="240" w:line="260" w:lineRule="atLeast"/>
      <w:ind w:left="2608"/>
      <w:jc w:val="both"/>
    </w:pPr>
    <w:rPr>
      <w:rFonts w:ascii="Palatino Linotype" w:eastAsia="Times New Roman" w:hAnsi="Palatino Linotype"/>
      <w:snapToGrid w:val="0"/>
      <w:color w:val="000000"/>
      <w:sz w:val="18"/>
      <w:szCs w:val="22"/>
      <w:lang w:eastAsia="de-DE" w:bidi="en-US"/>
    </w:rPr>
  </w:style>
  <w:style w:type="paragraph" w:customStyle="1" w:styleId="MDPI19line">
    <w:name w:val="MDPI_1.9_line"/>
    <w:qFormat/>
    <w:rsid w:val="006E574C"/>
    <w:pPr>
      <w:pBdr>
        <w:bottom w:val="single" w:sz="6" w:space="1" w:color="auto"/>
      </w:pBdr>
      <w:adjustRightInd w:val="0"/>
      <w:snapToGrid w:val="0"/>
      <w:spacing w:after="480" w:line="260" w:lineRule="atLeast"/>
      <w:ind w:left="2608"/>
      <w:jc w:val="both"/>
    </w:pPr>
    <w:rPr>
      <w:rFonts w:ascii="Palatino Linotype" w:eastAsia="Times New Roman" w:hAnsi="Palatino Linotype" w:cs="Cordia New"/>
      <w:color w:val="000000"/>
      <w:szCs w:val="24"/>
      <w:lang w:eastAsia="de-DE" w:bidi="en-US"/>
    </w:rPr>
  </w:style>
  <w:style w:type="table" w:customStyle="1" w:styleId="Mdeck5tablebodythreelines">
    <w:name w:val="M_deck_5_table_body_three_lines"/>
    <w:basedOn w:val="a1"/>
    <w:uiPriority w:val="99"/>
    <w:rsid w:val="00807E37"/>
    <w:pPr>
      <w:adjustRightInd w:val="0"/>
      <w:snapToGrid w:val="0"/>
      <w:spacing w:line="300" w:lineRule="exact"/>
      <w:jc w:val="center"/>
    </w:pPr>
    <w:rPr>
      <w:rFonts w:ascii="Times New Roman" w:hAnsi="Times New Roman"/>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table" w:styleId="a3">
    <w:name w:val="Table Grid"/>
    <w:basedOn w:val="a1"/>
    <w:uiPriority w:val="59"/>
    <w:rsid w:val="006E574C"/>
    <w:pPr>
      <w:spacing w:line="260" w:lineRule="atLeast"/>
      <w:jc w:val="both"/>
    </w:pPr>
    <w:rPr>
      <w:rFonts w:ascii="Palatino Linotype" w:hAnsi="Palatino Linotype"/>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6E574C"/>
    <w:pPr>
      <w:tabs>
        <w:tab w:val="center" w:pos="4153"/>
        <w:tab w:val="right" w:pos="8306"/>
      </w:tabs>
      <w:snapToGrid w:val="0"/>
      <w:spacing w:line="240" w:lineRule="atLeast"/>
    </w:pPr>
    <w:rPr>
      <w:szCs w:val="18"/>
    </w:rPr>
  </w:style>
  <w:style w:type="character" w:customStyle="1" w:styleId="a5">
    <w:name w:val="Нижний колонтитул Знак"/>
    <w:link w:val="a4"/>
    <w:uiPriority w:val="99"/>
    <w:rsid w:val="006E574C"/>
    <w:rPr>
      <w:rFonts w:ascii="Palatino Linotype" w:hAnsi="Palatino Linotype"/>
      <w:noProof/>
      <w:color w:val="000000"/>
      <w:szCs w:val="18"/>
    </w:rPr>
  </w:style>
  <w:style w:type="paragraph" w:styleId="a6">
    <w:name w:val="header"/>
    <w:basedOn w:val="a"/>
    <w:link w:val="a7"/>
    <w:uiPriority w:val="99"/>
    <w:rsid w:val="006E574C"/>
    <w:pPr>
      <w:pBdr>
        <w:bottom w:val="single" w:sz="6" w:space="1" w:color="auto"/>
      </w:pBdr>
      <w:tabs>
        <w:tab w:val="center" w:pos="4153"/>
        <w:tab w:val="right" w:pos="8306"/>
      </w:tabs>
      <w:snapToGrid w:val="0"/>
      <w:spacing w:line="240" w:lineRule="atLeast"/>
      <w:jc w:val="center"/>
    </w:pPr>
    <w:rPr>
      <w:szCs w:val="18"/>
    </w:rPr>
  </w:style>
  <w:style w:type="character" w:customStyle="1" w:styleId="a7">
    <w:name w:val="Верхний колонтитул Знак"/>
    <w:link w:val="a6"/>
    <w:uiPriority w:val="99"/>
    <w:rsid w:val="006E574C"/>
    <w:rPr>
      <w:rFonts w:ascii="Palatino Linotype" w:hAnsi="Palatino Linotype"/>
      <w:noProof/>
      <w:color w:val="000000"/>
      <w:szCs w:val="18"/>
    </w:rPr>
  </w:style>
  <w:style w:type="paragraph" w:customStyle="1" w:styleId="MDPIheaderjournallogo">
    <w:name w:val="MDPI_header_journal_logo"/>
    <w:qFormat/>
    <w:rsid w:val="006E574C"/>
    <w:pPr>
      <w:adjustRightInd w:val="0"/>
      <w:snapToGrid w:val="0"/>
      <w:spacing w:line="260" w:lineRule="atLeast"/>
      <w:jc w:val="both"/>
    </w:pPr>
    <w:rPr>
      <w:rFonts w:ascii="Palatino Linotype" w:eastAsia="Times New Roman" w:hAnsi="Palatino Linotype"/>
      <w:i/>
      <w:color w:val="000000"/>
      <w:sz w:val="24"/>
      <w:szCs w:val="22"/>
      <w:lang w:eastAsia="de-CH"/>
    </w:rPr>
  </w:style>
  <w:style w:type="paragraph" w:customStyle="1" w:styleId="MDPI32textnoindent">
    <w:name w:val="MDPI_3.2_text_no_indent"/>
    <w:basedOn w:val="MDPI31text"/>
    <w:qFormat/>
    <w:rsid w:val="006E574C"/>
    <w:pPr>
      <w:ind w:firstLine="0"/>
    </w:pPr>
  </w:style>
  <w:style w:type="paragraph" w:customStyle="1" w:styleId="MDPI31text">
    <w:name w:val="MDPI_3.1_text"/>
    <w:qFormat/>
    <w:rsid w:val="0057027A"/>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3textspaceafter">
    <w:name w:val="MDPI_3.3_text_space_after"/>
    <w:qFormat/>
    <w:rsid w:val="006E574C"/>
    <w:pPr>
      <w:adjustRightInd w:val="0"/>
      <w:snapToGrid w:val="0"/>
      <w:spacing w:after="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4textspacebefore">
    <w:name w:val="MDPI_3.4_text_space_before"/>
    <w:qFormat/>
    <w:rsid w:val="006E574C"/>
    <w:pPr>
      <w:adjustRightInd w:val="0"/>
      <w:snapToGrid w:val="0"/>
      <w:spacing w:before="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5textbeforelist">
    <w:name w:val="MDPI_3.5_text_before_list"/>
    <w:qFormat/>
    <w:rsid w:val="006E574C"/>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6textafterlist">
    <w:name w:val="MDPI_3.6_text_after_list"/>
    <w:qFormat/>
    <w:rsid w:val="006E574C"/>
    <w:pPr>
      <w:adjustRightInd w:val="0"/>
      <w:snapToGrid w:val="0"/>
      <w:spacing w:before="12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7itemize">
    <w:name w:val="MDPI_3.7_itemize"/>
    <w:qFormat/>
    <w:rsid w:val="006E574C"/>
    <w:pPr>
      <w:numPr>
        <w:numId w:val="15"/>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8bullet">
    <w:name w:val="MDPI_3.8_bullet"/>
    <w:qFormat/>
    <w:rsid w:val="006E574C"/>
    <w:pPr>
      <w:numPr>
        <w:numId w:val="16"/>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9equation">
    <w:name w:val="MDPI_3.9_equation"/>
    <w:qFormat/>
    <w:rsid w:val="006E574C"/>
    <w:pPr>
      <w:adjustRightInd w:val="0"/>
      <w:snapToGrid w:val="0"/>
      <w:spacing w:before="120" w:after="120" w:line="260" w:lineRule="atLeast"/>
      <w:ind w:left="709"/>
      <w:jc w:val="center"/>
    </w:pPr>
    <w:rPr>
      <w:rFonts w:ascii="Palatino Linotype" w:eastAsia="Times New Roman" w:hAnsi="Palatino Linotype"/>
      <w:snapToGrid w:val="0"/>
      <w:color w:val="000000"/>
      <w:szCs w:val="22"/>
      <w:lang w:eastAsia="de-DE" w:bidi="en-US"/>
    </w:rPr>
  </w:style>
  <w:style w:type="paragraph" w:customStyle="1" w:styleId="MDPI3aequationnumber">
    <w:name w:val="MDPI_3.a_equation_number"/>
    <w:qFormat/>
    <w:rsid w:val="006E574C"/>
    <w:pPr>
      <w:spacing w:before="120" w:after="120"/>
      <w:jc w:val="right"/>
    </w:pPr>
    <w:rPr>
      <w:rFonts w:ascii="Palatino Linotype" w:eastAsia="Times New Roman" w:hAnsi="Palatino Linotype"/>
      <w:snapToGrid w:val="0"/>
      <w:color w:val="000000"/>
      <w:szCs w:val="22"/>
      <w:lang w:eastAsia="de-DE" w:bidi="en-US"/>
    </w:rPr>
  </w:style>
  <w:style w:type="paragraph" w:customStyle="1" w:styleId="MDPI41tablecaption">
    <w:name w:val="MDPI_4.1_table_caption"/>
    <w:qFormat/>
    <w:rsid w:val="006E574C"/>
    <w:pPr>
      <w:adjustRightInd w:val="0"/>
      <w:snapToGrid w:val="0"/>
      <w:spacing w:before="240" w:after="120" w:line="228" w:lineRule="auto"/>
      <w:ind w:left="2608"/>
    </w:pPr>
    <w:rPr>
      <w:rFonts w:ascii="Palatino Linotype" w:eastAsia="Times New Roman" w:hAnsi="Palatino Linotype" w:cs="Cordia New"/>
      <w:color w:val="000000"/>
      <w:sz w:val="18"/>
      <w:szCs w:val="22"/>
      <w:lang w:eastAsia="de-DE" w:bidi="en-US"/>
    </w:rPr>
  </w:style>
  <w:style w:type="paragraph" w:customStyle="1" w:styleId="MDPI42tablebody">
    <w:name w:val="MDPI_4.2_table_body"/>
    <w:qFormat/>
    <w:rsid w:val="00797F16"/>
    <w:pPr>
      <w:adjustRightInd w:val="0"/>
      <w:snapToGrid w:val="0"/>
      <w:spacing w:line="260" w:lineRule="atLeast"/>
      <w:jc w:val="center"/>
    </w:pPr>
    <w:rPr>
      <w:rFonts w:ascii="Palatino Linotype" w:eastAsia="Times New Roman" w:hAnsi="Palatino Linotype"/>
      <w:snapToGrid w:val="0"/>
      <w:color w:val="000000"/>
      <w:lang w:eastAsia="de-DE" w:bidi="en-US"/>
    </w:rPr>
  </w:style>
  <w:style w:type="paragraph" w:customStyle="1" w:styleId="MDPI43tablefooter">
    <w:name w:val="MDPI_4.3_table_footer"/>
    <w:next w:val="MDPI31text"/>
    <w:qFormat/>
    <w:rsid w:val="006E574C"/>
    <w:pPr>
      <w:adjustRightInd w:val="0"/>
      <w:snapToGrid w:val="0"/>
      <w:spacing w:line="228" w:lineRule="auto"/>
      <w:ind w:left="2608"/>
    </w:pPr>
    <w:rPr>
      <w:rFonts w:ascii="Palatino Linotype" w:eastAsia="Times New Roman" w:hAnsi="Palatino Linotype" w:cs="Cordia New"/>
      <w:color w:val="000000"/>
      <w:sz w:val="18"/>
      <w:szCs w:val="22"/>
      <w:lang w:eastAsia="de-DE" w:bidi="en-US"/>
    </w:rPr>
  </w:style>
  <w:style w:type="paragraph" w:customStyle="1" w:styleId="MDPI51figurecaption">
    <w:name w:val="MDPI_5.1_figure_caption"/>
    <w:qFormat/>
    <w:rsid w:val="006E574C"/>
    <w:pPr>
      <w:adjustRightInd w:val="0"/>
      <w:snapToGrid w:val="0"/>
      <w:spacing w:before="120" w:after="240" w:line="228" w:lineRule="auto"/>
      <w:ind w:left="2608"/>
    </w:pPr>
    <w:rPr>
      <w:rFonts w:ascii="Palatino Linotype" w:eastAsia="Times New Roman" w:hAnsi="Palatino Linotype"/>
      <w:color w:val="000000"/>
      <w:sz w:val="18"/>
      <w:lang w:eastAsia="de-DE" w:bidi="en-US"/>
    </w:rPr>
  </w:style>
  <w:style w:type="paragraph" w:customStyle="1" w:styleId="MDPI52figure">
    <w:name w:val="MDPI_5.2_figure"/>
    <w:qFormat/>
    <w:rsid w:val="006E574C"/>
    <w:pPr>
      <w:adjustRightInd w:val="0"/>
      <w:snapToGrid w:val="0"/>
      <w:spacing w:before="240" w:after="120"/>
      <w:jc w:val="center"/>
    </w:pPr>
    <w:rPr>
      <w:rFonts w:ascii="Palatino Linotype" w:eastAsia="Times New Roman" w:hAnsi="Palatino Linotype"/>
      <w:snapToGrid w:val="0"/>
      <w:color w:val="000000"/>
      <w:lang w:eastAsia="de-DE" w:bidi="en-US"/>
    </w:rPr>
  </w:style>
  <w:style w:type="paragraph" w:customStyle="1" w:styleId="MDPI81theorem">
    <w:name w:val="MDPI_8.1_theorem"/>
    <w:qFormat/>
    <w:rsid w:val="006E574C"/>
    <w:pPr>
      <w:adjustRightInd w:val="0"/>
      <w:snapToGrid w:val="0"/>
      <w:spacing w:line="228" w:lineRule="auto"/>
      <w:ind w:left="2608"/>
      <w:jc w:val="both"/>
    </w:pPr>
    <w:rPr>
      <w:rFonts w:ascii="Palatino Linotype" w:eastAsia="Times New Roman" w:hAnsi="Palatino Linotype"/>
      <w:i/>
      <w:snapToGrid w:val="0"/>
      <w:color w:val="000000"/>
      <w:szCs w:val="22"/>
      <w:lang w:eastAsia="de-DE" w:bidi="en-US"/>
    </w:rPr>
  </w:style>
  <w:style w:type="paragraph" w:customStyle="1" w:styleId="MDPI82proof">
    <w:name w:val="MDPI_8.2_proof"/>
    <w:qFormat/>
    <w:rsid w:val="006E574C"/>
    <w:pPr>
      <w:adjustRightInd w:val="0"/>
      <w:snapToGrid w:val="0"/>
      <w:spacing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23heading3">
    <w:name w:val="MDPI_2.3_heading3"/>
    <w:qFormat/>
    <w:rsid w:val="006E574C"/>
    <w:pPr>
      <w:adjustRightInd w:val="0"/>
      <w:snapToGrid w:val="0"/>
      <w:spacing w:before="60" w:after="60" w:line="228" w:lineRule="auto"/>
      <w:ind w:left="2608"/>
      <w:outlineLvl w:val="2"/>
    </w:pPr>
    <w:rPr>
      <w:rFonts w:ascii="Palatino Linotype" w:eastAsia="Times New Roman" w:hAnsi="Palatino Linotype"/>
      <w:snapToGrid w:val="0"/>
      <w:color w:val="000000"/>
      <w:szCs w:val="22"/>
      <w:lang w:eastAsia="de-DE" w:bidi="en-US"/>
    </w:rPr>
  </w:style>
  <w:style w:type="paragraph" w:customStyle="1" w:styleId="MDPI21heading1">
    <w:name w:val="MDPI_2.1_heading1"/>
    <w:qFormat/>
    <w:rsid w:val="006E574C"/>
    <w:pPr>
      <w:adjustRightInd w:val="0"/>
      <w:snapToGrid w:val="0"/>
      <w:spacing w:before="240" w:after="60" w:line="228" w:lineRule="auto"/>
      <w:ind w:left="2608"/>
      <w:outlineLvl w:val="0"/>
    </w:pPr>
    <w:rPr>
      <w:rFonts w:ascii="Palatino Linotype" w:eastAsia="Times New Roman" w:hAnsi="Palatino Linotype"/>
      <w:b/>
      <w:snapToGrid w:val="0"/>
      <w:color w:val="000000"/>
      <w:szCs w:val="22"/>
      <w:lang w:eastAsia="de-DE" w:bidi="en-US"/>
    </w:rPr>
  </w:style>
  <w:style w:type="paragraph" w:customStyle="1" w:styleId="MDPI22heading2">
    <w:name w:val="MDPI_2.2_heading2"/>
    <w:qFormat/>
    <w:rsid w:val="006E574C"/>
    <w:pPr>
      <w:adjustRightInd w:val="0"/>
      <w:snapToGrid w:val="0"/>
      <w:spacing w:before="60" w:after="60" w:line="228" w:lineRule="auto"/>
      <w:ind w:left="2608"/>
      <w:outlineLvl w:val="1"/>
    </w:pPr>
    <w:rPr>
      <w:rFonts w:ascii="Palatino Linotype" w:eastAsia="Times New Roman" w:hAnsi="Palatino Linotype"/>
      <w:i/>
      <w:noProof/>
      <w:snapToGrid w:val="0"/>
      <w:color w:val="000000"/>
      <w:szCs w:val="22"/>
      <w:lang w:eastAsia="de-DE" w:bidi="en-US"/>
    </w:rPr>
  </w:style>
  <w:style w:type="paragraph" w:customStyle="1" w:styleId="MDPI71References">
    <w:name w:val="MDPI_7.1_References"/>
    <w:qFormat/>
    <w:rsid w:val="00CC48F8"/>
    <w:pPr>
      <w:numPr>
        <w:numId w:val="17"/>
      </w:numPr>
      <w:adjustRightInd w:val="0"/>
      <w:snapToGrid w:val="0"/>
      <w:spacing w:line="228" w:lineRule="auto"/>
      <w:jc w:val="both"/>
    </w:pPr>
    <w:rPr>
      <w:rFonts w:ascii="Palatino Linotype" w:eastAsia="Times New Roman" w:hAnsi="Palatino Linotype"/>
      <w:color w:val="000000"/>
      <w:sz w:val="18"/>
      <w:lang w:eastAsia="de-DE" w:bidi="en-US"/>
    </w:rPr>
  </w:style>
  <w:style w:type="paragraph" w:styleId="a8">
    <w:name w:val="Balloon Text"/>
    <w:basedOn w:val="a"/>
    <w:link w:val="a9"/>
    <w:uiPriority w:val="99"/>
    <w:rsid w:val="006E574C"/>
    <w:rPr>
      <w:rFonts w:cs="Tahoma"/>
      <w:szCs w:val="18"/>
    </w:rPr>
  </w:style>
  <w:style w:type="character" w:customStyle="1" w:styleId="a9">
    <w:name w:val="Текст выноски Знак"/>
    <w:link w:val="a8"/>
    <w:uiPriority w:val="99"/>
    <w:rsid w:val="006E574C"/>
    <w:rPr>
      <w:rFonts w:ascii="Palatino Linotype" w:hAnsi="Palatino Linotype" w:cs="Tahoma"/>
      <w:noProof/>
      <w:color w:val="000000"/>
      <w:szCs w:val="18"/>
    </w:rPr>
  </w:style>
  <w:style w:type="character" w:styleId="aa">
    <w:name w:val="line number"/>
    <w:uiPriority w:val="99"/>
    <w:rsid w:val="00F17AF9"/>
    <w:rPr>
      <w:rFonts w:ascii="Palatino Linotype" w:hAnsi="Palatino Linotype"/>
      <w:sz w:val="16"/>
    </w:rPr>
  </w:style>
  <w:style w:type="table" w:customStyle="1" w:styleId="MDPI41threelinetable">
    <w:name w:val="MDPI_4.1_three_line_table"/>
    <w:basedOn w:val="a1"/>
    <w:uiPriority w:val="99"/>
    <w:rsid w:val="006E574C"/>
    <w:pPr>
      <w:adjustRightInd w:val="0"/>
      <w:snapToGrid w:val="0"/>
      <w:jc w:val="center"/>
    </w:pPr>
    <w:rPr>
      <w:rFonts w:ascii="Palatino Linotype" w:hAnsi="Palatino Linotype"/>
      <w:color w:val="000000"/>
    </w:rPr>
    <w:tblPr>
      <w:jc w:val="center"/>
      <w:tblBorders>
        <w:top w:val="single" w:sz="8" w:space="0" w:color="auto"/>
        <w:bottom w:val="single" w:sz="8" w:space="0" w:color="auto"/>
      </w:tblBorders>
    </w:tblPr>
    <w:trPr>
      <w:jc w:val="center"/>
    </w:trPr>
    <w:tcPr>
      <w:vAlign w:val="center"/>
    </w:tcPr>
    <w:tblStylePr w:type="firstRow">
      <w:rPr>
        <w:rFonts w:ascii="Palatino Linotype" w:hAnsi="Palatino Linotype"/>
        <w:b/>
        <w:i w:val="0"/>
        <w:sz w:val="20"/>
      </w:rPr>
      <w:tblPr/>
      <w:tcPr>
        <w:tcBorders>
          <w:bottom w:val="single" w:sz="4" w:space="0" w:color="auto"/>
        </w:tcBorders>
      </w:tcPr>
    </w:tblStylePr>
  </w:style>
  <w:style w:type="character" w:styleId="ab">
    <w:name w:val="Hyperlink"/>
    <w:uiPriority w:val="99"/>
    <w:rsid w:val="006E574C"/>
    <w:rPr>
      <w:color w:val="0000FF"/>
      <w:u w:val="single"/>
    </w:rPr>
  </w:style>
  <w:style w:type="character" w:customStyle="1" w:styleId="UnresolvedMention1">
    <w:name w:val="Unresolved Mention1"/>
    <w:uiPriority w:val="99"/>
    <w:semiHidden/>
    <w:unhideWhenUsed/>
    <w:rsid w:val="00C60885"/>
    <w:rPr>
      <w:color w:val="605E5C"/>
      <w:shd w:val="clear" w:color="auto" w:fill="E1DFDD"/>
    </w:rPr>
  </w:style>
  <w:style w:type="table" w:customStyle="1" w:styleId="PlainTable41">
    <w:name w:val="Plain Table 41"/>
    <w:basedOn w:val="a1"/>
    <w:uiPriority w:val="44"/>
    <w:rsid w:val="00FF09E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MDPI61Citation">
    <w:name w:val="MDPI_6.1_Citation"/>
    <w:qFormat/>
    <w:rsid w:val="006E574C"/>
    <w:pPr>
      <w:adjustRightInd w:val="0"/>
      <w:snapToGrid w:val="0"/>
      <w:spacing w:line="240" w:lineRule="atLeast"/>
      <w:ind w:right="113"/>
    </w:pPr>
    <w:rPr>
      <w:rFonts w:ascii="Palatino Linotype" w:hAnsi="Palatino Linotype" w:cs="Cordia New"/>
      <w:sz w:val="14"/>
      <w:szCs w:val="22"/>
    </w:rPr>
  </w:style>
  <w:style w:type="paragraph" w:customStyle="1" w:styleId="MDPI62BackMatter">
    <w:name w:val="MDPI_6.2_BackMatter"/>
    <w:qFormat/>
    <w:rsid w:val="006E574C"/>
    <w:pPr>
      <w:adjustRightInd w:val="0"/>
      <w:snapToGrid w:val="0"/>
      <w:spacing w:after="120" w:line="228" w:lineRule="auto"/>
      <w:ind w:left="2608"/>
      <w:jc w:val="both"/>
    </w:pPr>
    <w:rPr>
      <w:rFonts w:ascii="Palatino Linotype" w:eastAsia="Times New Roman" w:hAnsi="Palatino Linotype"/>
      <w:snapToGrid w:val="0"/>
      <w:color w:val="000000"/>
      <w:sz w:val="18"/>
      <w:lang w:eastAsia="en-US" w:bidi="en-US"/>
    </w:rPr>
  </w:style>
  <w:style w:type="paragraph" w:customStyle="1" w:styleId="MDPI63Notes">
    <w:name w:val="MDPI_6.3_Notes"/>
    <w:qFormat/>
    <w:rsid w:val="006E574C"/>
    <w:pPr>
      <w:adjustRightInd w:val="0"/>
      <w:snapToGrid w:val="0"/>
      <w:spacing w:after="120" w:line="240" w:lineRule="atLeast"/>
      <w:ind w:right="113"/>
    </w:pPr>
    <w:rPr>
      <w:rFonts w:ascii="Palatino Linotype" w:hAnsi="Palatino Linotype"/>
      <w:snapToGrid w:val="0"/>
      <w:color w:val="000000"/>
      <w:sz w:val="14"/>
      <w:lang w:eastAsia="en-US" w:bidi="en-US"/>
    </w:rPr>
  </w:style>
  <w:style w:type="paragraph" w:customStyle="1" w:styleId="MDPI15academiceditor">
    <w:name w:val="MDPI_1.5_academic_editor"/>
    <w:qFormat/>
    <w:rsid w:val="006E574C"/>
    <w:pPr>
      <w:adjustRightInd w:val="0"/>
      <w:snapToGrid w:val="0"/>
      <w:spacing w:before="240" w:line="240" w:lineRule="atLeast"/>
      <w:ind w:right="113"/>
    </w:pPr>
    <w:rPr>
      <w:rFonts w:ascii="Palatino Linotype" w:eastAsia="Times New Roman" w:hAnsi="Palatino Linotype"/>
      <w:color w:val="000000"/>
      <w:sz w:val="14"/>
      <w:szCs w:val="22"/>
      <w:lang w:eastAsia="de-DE" w:bidi="en-US"/>
    </w:rPr>
  </w:style>
  <w:style w:type="paragraph" w:customStyle="1" w:styleId="MDPI19classification">
    <w:name w:val="MDPI_1.9_classification"/>
    <w:qFormat/>
    <w:rsid w:val="006E574C"/>
    <w:pPr>
      <w:spacing w:before="240" w:line="260" w:lineRule="atLeast"/>
      <w:ind w:left="113"/>
      <w:jc w:val="both"/>
    </w:pPr>
    <w:rPr>
      <w:rFonts w:ascii="Palatino Linotype" w:eastAsia="Times New Roman" w:hAnsi="Palatino Linotype"/>
      <w:b/>
      <w:color w:val="000000"/>
      <w:szCs w:val="22"/>
      <w:lang w:eastAsia="de-DE" w:bidi="en-US"/>
    </w:rPr>
  </w:style>
  <w:style w:type="paragraph" w:customStyle="1" w:styleId="MDPI411onetablecaption">
    <w:name w:val="MDPI_4.1.1_one_table_caption"/>
    <w:qFormat/>
    <w:rsid w:val="006E574C"/>
    <w:pPr>
      <w:adjustRightInd w:val="0"/>
      <w:snapToGrid w:val="0"/>
      <w:spacing w:before="240" w:after="120" w:line="260" w:lineRule="atLeast"/>
      <w:jc w:val="center"/>
    </w:pPr>
    <w:rPr>
      <w:rFonts w:ascii="Palatino Linotype" w:hAnsi="Palatino Linotype" w:cs="Cordia New"/>
      <w:noProof/>
      <w:color w:val="000000"/>
      <w:sz w:val="18"/>
      <w:szCs w:val="22"/>
      <w:lang w:bidi="en-US"/>
    </w:rPr>
  </w:style>
  <w:style w:type="paragraph" w:customStyle="1" w:styleId="MDPI511onefigurecaption">
    <w:name w:val="MDPI_5.1.1_one_figure_caption"/>
    <w:qFormat/>
    <w:rsid w:val="006E574C"/>
    <w:pPr>
      <w:adjustRightInd w:val="0"/>
      <w:snapToGrid w:val="0"/>
      <w:spacing w:before="240" w:after="120" w:line="260" w:lineRule="atLeast"/>
      <w:jc w:val="center"/>
    </w:pPr>
    <w:rPr>
      <w:rFonts w:ascii="Palatino Linotype" w:hAnsi="Palatino Linotype"/>
      <w:noProof/>
      <w:color w:val="000000"/>
      <w:sz w:val="18"/>
      <w:lang w:bidi="en-US"/>
    </w:rPr>
  </w:style>
  <w:style w:type="paragraph" w:customStyle="1" w:styleId="MDPI72Copyright">
    <w:name w:val="MDPI_7.2_Copyright"/>
    <w:qFormat/>
    <w:rsid w:val="006E574C"/>
    <w:pPr>
      <w:adjustRightInd w:val="0"/>
      <w:snapToGrid w:val="0"/>
      <w:spacing w:before="240" w:line="240" w:lineRule="atLeast"/>
      <w:ind w:right="113"/>
    </w:pPr>
    <w:rPr>
      <w:rFonts w:ascii="Palatino Linotype" w:eastAsia="Times New Roman" w:hAnsi="Palatino Linotype"/>
      <w:noProof/>
      <w:snapToGrid w:val="0"/>
      <w:color w:val="000000"/>
      <w:spacing w:val="-2"/>
      <w:sz w:val="14"/>
      <w:lang w:val="en-GB" w:eastAsia="en-GB"/>
    </w:rPr>
  </w:style>
  <w:style w:type="paragraph" w:customStyle="1" w:styleId="MDPI73CopyrightImage">
    <w:name w:val="MDPI_7.3_CopyrightImage"/>
    <w:rsid w:val="006E574C"/>
    <w:pPr>
      <w:adjustRightInd w:val="0"/>
      <w:snapToGrid w:val="0"/>
      <w:spacing w:after="100" w:line="260" w:lineRule="atLeast"/>
      <w:jc w:val="right"/>
    </w:pPr>
    <w:rPr>
      <w:rFonts w:ascii="Palatino Linotype" w:eastAsia="Times New Roman" w:hAnsi="Palatino Linotype"/>
      <w:color w:val="000000"/>
      <w:lang w:eastAsia="de-CH"/>
    </w:rPr>
  </w:style>
  <w:style w:type="paragraph" w:customStyle="1" w:styleId="MDPIequationFram">
    <w:name w:val="MDPI_equationFram"/>
    <w:qFormat/>
    <w:rsid w:val="006E574C"/>
    <w:pPr>
      <w:adjustRightInd w:val="0"/>
      <w:snapToGrid w:val="0"/>
      <w:spacing w:before="120" w:after="120"/>
      <w:jc w:val="center"/>
    </w:pPr>
    <w:rPr>
      <w:rFonts w:ascii="Palatino Linotype" w:eastAsia="Times New Roman" w:hAnsi="Palatino Linotype"/>
      <w:snapToGrid w:val="0"/>
      <w:color w:val="000000"/>
      <w:szCs w:val="22"/>
      <w:lang w:eastAsia="de-DE" w:bidi="en-US"/>
    </w:rPr>
  </w:style>
  <w:style w:type="paragraph" w:customStyle="1" w:styleId="MDPIfooter">
    <w:name w:val="MDPI_footer"/>
    <w:qFormat/>
    <w:rsid w:val="006E574C"/>
    <w:pPr>
      <w:adjustRightInd w:val="0"/>
      <w:snapToGrid w:val="0"/>
      <w:spacing w:before="120" w:line="260" w:lineRule="atLeast"/>
      <w:jc w:val="center"/>
    </w:pPr>
    <w:rPr>
      <w:rFonts w:ascii="Palatino Linotype" w:eastAsia="Times New Roman" w:hAnsi="Palatino Linotype"/>
      <w:color w:val="000000"/>
      <w:lang w:eastAsia="de-DE"/>
    </w:rPr>
  </w:style>
  <w:style w:type="paragraph" w:customStyle="1" w:styleId="MDPIfooterfirstpage">
    <w:name w:val="MDPI_footer_firstpage"/>
    <w:qFormat/>
    <w:rsid w:val="006E574C"/>
    <w:pPr>
      <w:tabs>
        <w:tab w:val="right" w:pos="8845"/>
      </w:tabs>
      <w:spacing w:line="160" w:lineRule="exact"/>
    </w:pPr>
    <w:rPr>
      <w:rFonts w:ascii="Palatino Linotype" w:eastAsia="Times New Roman" w:hAnsi="Palatino Linotype"/>
      <w:color w:val="000000"/>
      <w:sz w:val="16"/>
      <w:lang w:eastAsia="de-DE"/>
    </w:rPr>
  </w:style>
  <w:style w:type="paragraph" w:customStyle="1" w:styleId="MDPIheader">
    <w:name w:val="MDPI_header"/>
    <w:qFormat/>
    <w:rsid w:val="006E574C"/>
    <w:pPr>
      <w:adjustRightInd w:val="0"/>
      <w:snapToGrid w:val="0"/>
      <w:spacing w:after="240" w:line="260" w:lineRule="atLeast"/>
      <w:jc w:val="both"/>
    </w:pPr>
    <w:rPr>
      <w:rFonts w:ascii="Palatino Linotype" w:eastAsia="Times New Roman" w:hAnsi="Palatino Linotype"/>
      <w:iCs/>
      <w:color w:val="000000"/>
      <w:sz w:val="16"/>
      <w:lang w:eastAsia="de-DE"/>
    </w:rPr>
  </w:style>
  <w:style w:type="paragraph" w:customStyle="1" w:styleId="MDPIheadercitation">
    <w:name w:val="MDPI_header_citation"/>
    <w:rsid w:val="006E574C"/>
    <w:pPr>
      <w:spacing w:after="240"/>
    </w:pPr>
    <w:rPr>
      <w:rFonts w:ascii="Palatino Linotype" w:eastAsia="Times New Roman" w:hAnsi="Palatino Linotype"/>
      <w:snapToGrid w:val="0"/>
      <w:color w:val="000000"/>
      <w:sz w:val="18"/>
      <w:lang w:eastAsia="de-DE" w:bidi="en-US"/>
    </w:rPr>
  </w:style>
  <w:style w:type="paragraph" w:customStyle="1" w:styleId="MDPIheadermdpilogo">
    <w:name w:val="MDPI_header_mdpi_logo"/>
    <w:qFormat/>
    <w:rsid w:val="006E574C"/>
    <w:pPr>
      <w:adjustRightInd w:val="0"/>
      <w:snapToGrid w:val="0"/>
      <w:spacing w:line="260" w:lineRule="atLeast"/>
      <w:jc w:val="right"/>
    </w:pPr>
    <w:rPr>
      <w:rFonts w:ascii="Palatino Linotype" w:eastAsia="Times New Roman" w:hAnsi="Palatino Linotype"/>
      <w:color w:val="000000"/>
      <w:sz w:val="24"/>
      <w:szCs w:val="22"/>
      <w:lang w:eastAsia="de-CH"/>
    </w:rPr>
  </w:style>
  <w:style w:type="table" w:customStyle="1" w:styleId="MDPITable">
    <w:name w:val="MDPI_Table"/>
    <w:basedOn w:val="a1"/>
    <w:uiPriority w:val="99"/>
    <w:rsid w:val="006E574C"/>
    <w:rPr>
      <w:rFonts w:ascii="Palatino Linotype" w:hAnsi="Palatino Linotype"/>
      <w:color w:val="000000"/>
      <w:lang w:val="en-CA" w:eastAsia="en-US"/>
    </w:rPr>
    <w:tblPr>
      <w:tblCellMar>
        <w:left w:w="0" w:type="dxa"/>
        <w:right w:w="0" w:type="dxa"/>
      </w:tblCellMar>
    </w:tblPr>
  </w:style>
  <w:style w:type="paragraph" w:customStyle="1" w:styleId="MDPItext">
    <w:name w:val="MDPI_text"/>
    <w:qFormat/>
    <w:rsid w:val="006E574C"/>
    <w:pPr>
      <w:spacing w:line="260" w:lineRule="atLeast"/>
      <w:ind w:left="425" w:right="425" w:firstLine="284"/>
      <w:jc w:val="both"/>
    </w:pPr>
    <w:rPr>
      <w:rFonts w:ascii="Times New Roman" w:eastAsia="Times New Roman" w:hAnsi="Times New Roman"/>
      <w:noProof/>
      <w:snapToGrid w:val="0"/>
      <w:color w:val="000000"/>
      <w:sz w:val="22"/>
      <w:szCs w:val="22"/>
      <w:lang w:eastAsia="de-DE" w:bidi="en-US"/>
    </w:rPr>
  </w:style>
  <w:style w:type="paragraph" w:customStyle="1" w:styleId="MDPItitle">
    <w:name w:val="MDPI_title"/>
    <w:qFormat/>
    <w:rsid w:val="006E574C"/>
    <w:pPr>
      <w:adjustRightInd w:val="0"/>
      <w:snapToGrid w:val="0"/>
      <w:spacing w:after="240" w:line="260" w:lineRule="atLeast"/>
      <w:jc w:val="both"/>
    </w:pPr>
    <w:rPr>
      <w:rFonts w:ascii="Palatino Linotype" w:eastAsia="Times New Roman" w:hAnsi="Palatino Linotype"/>
      <w:b/>
      <w:snapToGrid w:val="0"/>
      <w:color w:val="000000"/>
      <w:sz w:val="36"/>
      <w:lang w:eastAsia="de-DE" w:bidi="en-US"/>
    </w:rPr>
  </w:style>
  <w:style w:type="character" w:customStyle="1" w:styleId="apple-converted-space">
    <w:name w:val="apple-converted-space"/>
    <w:rsid w:val="006E574C"/>
  </w:style>
  <w:style w:type="paragraph" w:styleId="ac">
    <w:name w:val="Bibliography"/>
    <w:basedOn w:val="a"/>
    <w:next w:val="a"/>
    <w:uiPriority w:val="37"/>
    <w:semiHidden/>
    <w:unhideWhenUsed/>
    <w:rsid w:val="006E574C"/>
  </w:style>
  <w:style w:type="paragraph" w:styleId="ad">
    <w:name w:val="Body Text"/>
    <w:link w:val="ae"/>
    <w:rsid w:val="006E574C"/>
    <w:pPr>
      <w:spacing w:after="120" w:line="340" w:lineRule="atLeast"/>
      <w:jc w:val="both"/>
    </w:pPr>
    <w:rPr>
      <w:rFonts w:ascii="Palatino Linotype" w:hAnsi="Palatino Linotype"/>
      <w:color w:val="000000"/>
      <w:sz w:val="24"/>
      <w:lang w:eastAsia="de-DE"/>
    </w:rPr>
  </w:style>
  <w:style w:type="character" w:customStyle="1" w:styleId="ae">
    <w:name w:val="Основной текст Знак"/>
    <w:link w:val="ad"/>
    <w:rsid w:val="006E574C"/>
    <w:rPr>
      <w:rFonts w:ascii="Palatino Linotype" w:hAnsi="Palatino Linotype"/>
      <w:color w:val="000000"/>
      <w:sz w:val="24"/>
      <w:lang w:eastAsia="de-DE"/>
    </w:rPr>
  </w:style>
  <w:style w:type="character" w:styleId="af">
    <w:name w:val="annotation reference"/>
    <w:rsid w:val="006E574C"/>
    <w:rPr>
      <w:sz w:val="21"/>
      <w:szCs w:val="21"/>
    </w:rPr>
  </w:style>
  <w:style w:type="paragraph" w:styleId="af0">
    <w:name w:val="annotation text"/>
    <w:basedOn w:val="a"/>
    <w:link w:val="af1"/>
    <w:rsid w:val="006E574C"/>
  </w:style>
  <w:style w:type="character" w:customStyle="1" w:styleId="af1">
    <w:name w:val="Текст примечания Знак"/>
    <w:link w:val="af0"/>
    <w:rsid w:val="006E574C"/>
    <w:rPr>
      <w:rFonts w:ascii="Palatino Linotype" w:hAnsi="Palatino Linotype"/>
      <w:noProof/>
      <w:color w:val="000000"/>
    </w:rPr>
  </w:style>
  <w:style w:type="paragraph" w:styleId="af2">
    <w:name w:val="annotation subject"/>
    <w:basedOn w:val="af0"/>
    <w:next w:val="af0"/>
    <w:link w:val="af3"/>
    <w:rsid w:val="006E574C"/>
    <w:rPr>
      <w:b/>
      <w:bCs/>
    </w:rPr>
  </w:style>
  <w:style w:type="character" w:customStyle="1" w:styleId="af3">
    <w:name w:val="Тема примечания Знак"/>
    <w:link w:val="af2"/>
    <w:rsid w:val="006E574C"/>
    <w:rPr>
      <w:rFonts w:ascii="Palatino Linotype" w:hAnsi="Palatino Linotype"/>
      <w:b/>
      <w:bCs/>
      <w:noProof/>
      <w:color w:val="000000"/>
    </w:rPr>
  </w:style>
  <w:style w:type="character" w:styleId="af4">
    <w:name w:val="endnote reference"/>
    <w:rsid w:val="006E574C"/>
    <w:rPr>
      <w:vertAlign w:val="superscript"/>
    </w:rPr>
  </w:style>
  <w:style w:type="paragraph" w:styleId="af5">
    <w:name w:val="endnote text"/>
    <w:basedOn w:val="a"/>
    <w:link w:val="af6"/>
    <w:semiHidden/>
    <w:unhideWhenUsed/>
    <w:rsid w:val="006E574C"/>
    <w:pPr>
      <w:spacing w:line="240" w:lineRule="auto"/>
    </w:pPr>
  </w:style>
  <w:style w:type="character" w:customStyle="1" w:styleId="af6">
    <w:name w:val="Текст концевой сноски Знак"/>
    <w:link w:val="af5"/>
    <w:semiHidden/>
    <w:rsid w:val="006E574C"/>
    <w:rPr>
      <w:rFonts w:ascii="Palatino Linotype" w:hAnsi="Palatino Linotype"/>
      <w:noProof/>
      <w:color w:val="000000"/>
    </w:rPr>
  </w:style>
  <w:style w:type="character" w:styleId="af7">
    <w:name w:val="FollowedHyperlink"/>
    <w:rsid w:val="006E574C"/>
    <w:rPr>
      <w:color w:val="954F72"/>
      <w:u w:val="single"/>
    </w:rPr>
  </w:style>
  <w:style w:type="paragraph" w:styleId="af8">
    <w:name w:val="footnote text"/>
    <w:basedOn w:val="a"/>
    <w:link w:val="af9"/>
    <w:semiHidden/>
    <w:unhideWhenUsed/>
    <w:rsid w:val="006E574C"/>
    <w:pPr>
      <w:spacing w:line="240" w:lineRule="auto"/>
    </w:pPr>
  </w:style>
  <w:style w:type="character" w:customStyle="1" w:styleId="af9">
    <w:name w:val="Текст сноски Знак"/>
    <w:link w:val="af8"/>
    <w:semiHidden/>
    <w:rsid w:val="006E574C"/>
    <w:rPr>
      <w:rFonts w:ascii="Palatino Linotype" w:hAnsi="Palatino Linotype"/>
      <w:noProof/>
      <w:color w:val="000000"/>
    </w:rPr>
  </w:style>
  <w:style w:type="paragraph" w:styleId="afa">
    <w:name w:val="Normal (Web)"/>
    <w:basedOn w:val="a"/>
    <w:uiPriority w:val="99"/>
    <w:rsid w:val="006E574C"/>
    <w:rPr>
      <w:szCs w:val="24"/>
    </w:rPr>
  </w:style>
  <w:style w:type="paragraph" w:customStyle="1" w:styleId="MsoFootnoteText0">
    <w:name w:val="MsoFootnoteText"/>
    <w:basedOn w:val="afa"/>
    <w:qFormat/>
    <w:rsid w:val="006E574C"/>
    <w:rPr>
      <w:rFonts w:ascii="Times New Roman" w:hAnsi="Times New Roman"/>
    </w:rPr>
  </w:style>
  <w:style w:type="character" w:styleId="afb">
    <w:name w:val="page number"/>
    <w:rsid w:val="006E574C"/>
  </w:style>
  <w:style w:type="character" w:styleId="afc">
    <w:name w:val="Placeholder Text"/>
    <w:uiPriority w:val="99"/>
    <w:semiHidden/>
    <w:rsid w:val="006E574C"/>
    <w:rPr>
      <w:color w:val="808080"/>
    </w:rPr>
  </w:style>
  <w:style w:type="paragraph" w:customStyle="1" w:styleId="MDPI71FootNotes">
    <w:name w:val="MDPI_7.1_FootNotes"/>
    <w:qFormat/>
    <w:rsid w:val="00900026"/>
    <w:pPr>
      <w:numPr>
        <w:numId w:val="18"/>
      </w:numPr>
      <w:adjustRightInd w:val="0"/>
      <w:snapToGrid w:val="0"/>
      <w:spacing w:line="228" w:lineRule="auto"/>
      <w:jc w:val="both"/>
    </w:pPr>
    <w:rPr>
      <w:rFonts w:ascii="Palatino Linotype" w:eastAsiaTheme="minorEastAsia" w:hAnsi="Palatino Linotype"/>
      <w:noProof/>
      <w:color w:val="000000"/>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574C"/>
    <w:pPr>
      <w:spacing w:line="260" w:lineRule="atLeast"/>
      <w:jc w:val="both"/>
    </w:pPr>
    <w:rPr>
      <w:rFonts w:ascii="Palatino Linotype" w:hAnsi="Palatino Linotype"/>
      <w:noProof/>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DPI11articletype">
    <w:name w:val="MDPI_1.1_article_type"/>
    <w:next w:val="a"/>
    <w:qFormat/>
    <w:rsid w:val="006E574C"/>
    <w:pPr>
      <w:adjustRightInd w:val="0"/>
      <w:snapToGrid w:val="0"/>
      <w:spacing w:before="240"/>
    </w:pPr>
    <w:rPr>
      <w:rFonts w:ascii="Palatino Linotype" w:eastAsia="Times New Roman" w:hAnsi="Palatino Linotype"/>
      <w:i/>
      <w:snapToGrid w:val="0"/>
      <w:color w:val="000000"/>
      <w:szCs w:val="22"/>
      <w:lang w:eastAsia="de-DE" w:bidi="en-US"/>
    </w:rPr>
  </w:style>
  <w:style w:type="paragraph" w:customStyle="1" w:styleId="MDPI12title">
    <w:name w:val="MDPI_1.2_title"/>
    <w:next w:val="a"/>
    <w:qFormat/>
    <w:rsid w:val="006E574C"/>
    <w:pPr>
      <w:adjustRightInd w:val="0"/>
      <w:snapToGrid w:val="0"/>
      <w:spacing w:after="240" w:line="240" w:lineRule="atLeast"/>
    </w:pPr>
    <w:rPr>
      <w:rFonts w:ascii="Palatino Linotype" w:eastAsia="Times New Roman" w:hAnsi="Palatino Linotype"/>
      <w:b/>
      <w:snapToGrid w:val="0"/>
      <w:color w:val="000000"/>
      <w:sz w:val="36"/>
      <w:lang w:eastAsia="de-DE" w:bidi="en-US"/>
    </w:rPr>
  </w:style>
  <w:style w:type="paragraph" w:customStyle="1" w:styleId="MDPI13authornames">
    <w:name w:val="MDPI_1.3_authornames"/>
    <w:next w:val="a"/>
    <w:qFormat/>
    <w:rsid w:val="006E574C"/>
    <w:pPr>
      <w:adjustRightInd w:val="0"/>
      <w:snapToGrid w:val="0"/>
      <w:spacing w:after="360" w:line="260" w:lineRule="atLeast"/>
    </w:pPr>
    <w:rPr>
      <w:rFonts w:ascii="Palatino Linotype" w:eastAsia="Times New Roman" w:hAnsi="Palatino Linotype"/>
      <w:b/>
      <w:color w:val="000000"/>
      <w:szCs w:val="22"/>
      <w:lang w:eastAsia="de-DE" w:bidi="en-US"/>
    </w:rPr>
  </w:style>
  <w:style w:type="paragraph" w:customStyle="1" w:styleId="MDPI14history">
    <w:name w:val="MDPI_1.4_history"/>
    <w:basedOn w:val="a"/>
    <w:next w:val="a"/>
    <w:qFormat/>
    <w:rsid w:val="006E574C"/>
    <w:pPr>
      <w:adjustRightInd w:val="0"/>
      <w:snapToGrid w:val="0"/>
      <w:spacing w:line="240" w:lineRule="atLeast"/>
      <w:ind w:right="113"/>
      <w:jc w:val="left"/>
    </w:pPr>
    <w:rPr>
      <w:rFonts w:eastAsia="Times New Roman"/>
      <w:noProof w:val="0"/>
      <w:sz w:val="14"/>
      <w:lang w:eastAsia="de-DE" w:bidi="en-US"/>
    </w:rPr>
  </w:style>
  <w:style w:type="paragraph" w:customStyle="1" w:styleId="MDPI16affiliation">
    <w:name w:val="MDPI_1.6_affiliation"/>
    <w:qFormat/>
    <w:rsid w:val="006E574C"/>
    <w:pPr>
      <w:adjustRightInd w:val="0"/>
      <w:snapToGrid w:val="0"/>
      <w:spacing w:line="200" w:lineRule="atLeast"/>
      <w:ind w:left="2806" w:hanging="198"/>
    </w:pPr>
    <w:rPr>
      <w:rFonts w:ascii="Palatino Linotype" w:eastAsia="Times New Roman" w:hAnsi="Palatino Linotype"/>
      <w:color w:val="000000"/>
      <w:sz w:val="16"/>
      <w:szCs w:val="18"/>
      <w:lang w:eastAsia="de-DE" w:bidi="en-US"/>
    </w:rPr>
  </w:style>
  <w:style w:type="paragraph" w:customStyle="1" w:styleId="MDPI17abstract">
    <w:name w:val="MDPI_1.7_abstract"/>
    <w:next w:val="a"/>
    <w:qFormat/>
    <w:rsid w:val="006E574C"/>
    <w:pPr>
      <w:adjustRightInd w:val="0"/>
      <w:snapToGrid w:val="0"/>
      <w:spacing w:before="240" w:line="260" w:lineRule="atLeast"/>
      <w:ind w:left="2608"/>
      <w:jc w:val="both"/>
    </w:pPr>
    <w:rPr>
      <w:rFonts w:ascii="Palatino Linotype" w:eastAsia="Times New Roman" w:hAnsi="Palatino Linotype"/>
      <w:color w:val="000000"/>
      <w:sz w:val="18"/>
      <w:szCs w:val="22"/>
      <w:lang w:eastAsia="de-DE" w:bidi="en-US"/>
    </w:rPr>
  </w:style>
  <w:style w:type="paragraph" w:customStyle="1" w:styleId="MDPI18keywords">
    <w:name w:val="MDPI_1.8_keywords"/>
    <w:next w:val="a"/>
    <w:qFormat/>
    <w:rsid w:val="006E574C"/>
    <w:pPr>
      <w:adjustRightInd w:val="0"/>
      <w:snapToGrid w:val="0"/>
      <w:spacing w:before="240" w:line="260" w:lineRule="atLeast"/>
      <w:ind w:left="2608"/>
      <w:jc w:val="both"/>
    </w:pPr>
    <w:rPr>
      <w:rFonts w:ascii="Palatino Linotype" w:eastAsia="Times New Roman" w:hAnsi="Palatino Linotype"/>
      <w:snapToGrid w:val="0"/>
      <w:color w:val="000000"/>
      <w:sz w:val="18"/>
      <w:szCs w:val="22"/>
      <w:lang w:eastAsia="de-DE" w:bidi="en-US"/>
    </w:rPr>
  </w:style>
  <w:style w:type="paragraph" w:customStyle="1" w:styleId="MDPI19line">
    <w:name w:val="MDPI_1.9_line"/>
    <w:qFormat/>
    <w:rsid w:val="006E574C"/>
    <w:pPr>
      <w:pBdr>
        <w:bottom w:val="single" w:sz="6" w:space="1" w:color="auto"/>
      </w:pBdr>
      <w:adjustRightInd w:val="0"/>
      <w:snapToGrid w:val="0"/>
      <w:spacing w:after="480" w:line="260" w:lineRule="atLeast"/>
      <w:ind w:left="2608"/>
      <w:jc w:val="both"/>
    </w:pPr>
    <w:rPr>
      <w:rFonts w:ascii="Palatino Linotype" w:eastAsia="Times New Roman" w:hAnsi="Palatino Linotype" w:cs="Cordia New"/>
      <w:color w:val="000000"/>
      <w:szCs w:val="24"/>
      <w:lang w:eastAsia="de-DE" w:bidi="en-US"/>
    </w:rPr>
  </w:style>
  <w:style w:type="table" w:customStyle="1" w:styleId="Mdeck5tablebodythreelines">
    <w:name w:val="M_deck_5_table_body_three_lines"/>
    <w:basedOn w:val="a1"/>
    <w:uiPriority w:val="99"/>
    <w:rsid w:val="00807E37"/>
    <w:pPr>
      <w:adjustRightInd w:val="0"/>
      <w:snapToGrid w:val="0"/>
      <w:spacing w:line="300" w:lineRule="exact"/>
      <w:jc w:val="center"/>
    </w:pPr>
    <w:rPr>
      <w:rFonts w:ascii="Times New Roman" w:hAnsi="Times New Roman"/>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table" w:styleId="a3">
    <w:name w:val="Table Grid"/>
    <w:basedOn w:val="a1"/>
    <w:uiPriority w:val="59"/>
    <w:rsid w:val="006E574C"/>
    <w:pPr>
      <w:spacing w:line="260" w:lineRule="atLeast"/>
      <w:jc w:val="both"/>
    </w:pPr>
    <w:rPr>
      <w:rFonts w:ascii="Palatino Linotype" w:hAnsi="Palatino Linotype"/>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6E574C"/>
    <w:pPr>
      <w:tabs>
        <w:tab w:val="center" w:pos="4153"/>
        <w:tab w:val="right" w:pos="8306"/>
      </w:tabs>
      <w:snapToGrid w:val="0"/>
      <w:spacing w:line="240" w:lineRule="atLeast"/>
    </w:pPr>
    <w:rPr>
      <w:szCs w:val="18"/>
    </w:rPr>
  </w:style>
  <w:style w:type="character" w:customStyle="1" w:styleId="a5">
    <w:name w:val="Нижний колонтитул Знак"/>
    <w:link w:val="a4"/>
    <w:uiPriority w:val="99"/>
    <w:rsid w:val="006E574C"/>
    <w:rPr>
      <w:rFonts w:ascii="Palatino Linotype" w:hAnsi="Palatino Linotype"/>
      <w:noProof/>
      <w:color w:val="000000"/>
      <w:szCs w:val="18"/>
    </w:rPr>
  </w:style>
  <w:style w:type="paragraph" w:styleId="a6">
    <w:name w:val="header"/>
    <w:basedOn w:val="a"/>
    <w:link w:val="a7"/>
    <w:uiPriority w:val="99"/>
    <w:rsid w:val="006E574C"/>
    <w:pPr>
      <w:pBdr>
        <w:bottom w:val="single" w:sz="6" w:space="1" w:color="auto"/>
      </w:pBdr>
      <w:tabs>
        <w:tab w:val="center" w:pos="4153"/>
        <w:tab w:val="right" w:pos="8306"/>
      </w:tabs>
      <w:snapToGrid w:val="0"/>
      <w:spacing w:line="240" w:lineRule="atLeast"/>
      <w:jc w:val="center"/>
    </w:pPr>
    <w:rPr>
      <w:szCs w:val="18"/>
    </w:rPr>
  </w:style>
  <w:style w:type="character" w:customStyle="1" w:styleId="a7">
    <w:name w:val="Верхний колонтитул Знак"/>
    <w:link w:val="a6"/>
    <w:uiPriority w:val="99"/>
    <w:rsid w:val="006E574C"/>
    <w:rPr>
      <w:rFonts w:ascii="Palatino Linotype" w:hAnsi="Palatino Linotype"/>
      <w:noProof/>
      <w:color w:val="000000"/>
      <w:szCs w:val="18"/>
    </w:rPr>
  </w:style>
  <w:style w:type="paragraph" w:customStyle="1" w:styleId="MDPIheaderjournallogo">
    <w:name w:val="MDPI_header_journal_logo"/>
    <w:qFormat/>
    <w:rsid w:val="006E574C"/>
    <w:pPr>
      <w:adjustRightInd w:val="0"/>
      <w:snapToGrid w:val="0"/>
      <w:spacing w:line="260" w:lineRule="atLeast"/>
      <w:jc w:val="both"/>
    </w:pPr>
    <w:rPr>
      <w:rFonts w:ascii="Palatino Linotype" w:eastAsia="Times New Roman" w:hAnsi="Palatino Linotype"/>
      <w:i/>
      <w:color w:val="000000"/>
      <w:sz w:val="24"/>
      <w:szCs w:val="22"/>
      <w:lang w:eastAsia="de-CH"/>
    </w:rPr>
  </w:style>
  <w:style w:type="paragraph" w:customStyle="1" w:styleId="MDPI32textnoindent">
    <w:name w:val="MDPI_3.2_text_no_indent"/>
    <w:basedOn w:val="MDPI31text"/>
    <w:qFormat/>
    <w:rsid w:val="006E574C"/>
    <w:pPr>
      <w:ind w:firstLine="0"/>
    </w:pPr>
  </w:style>
  <w:style w:type="paragraph" w:customStyle="1" w:styleId="MDPI31text">
    <w:name w:val="MDPI_3.1_text"/>
    <w:qFormat/>
    <w:rsid w:val="0057027A"/>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3textspaceafter">
    <w:name w:val="MDPI_3.3_text_space_after"/>
    <w:qFormat/>
    <w:rsid w:val="006E574C"/>
    <w:pPr>
      <w:adjustRightInd w:val="0"/>
      <w:snapToGrid w:val="0"/>
      <w:spacing w:after="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4textspacebefore">
    <w:name w:val="MDPI_3.4_text_space_before"/>
    <w:qFormat/>
    <w:rsid w:val="006E574C"/>
    <w:pPr>
      <w:adjustRightInd w:val="0"/>
      <w:snapToGrid w:val="0"/>
      <w:spacing w:before="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5textbeforelist">
    <w:name w:val="MDPI_3.5_text_before_list"/>
    <w:qFormat/>
    <w:rsid w:val="006E574C"/>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6textafterlist">
    <w:name w:val="MDPI_3.6_text_after_list"/>
    <w:qFormat/>
    <w:rsid w:val="006E574C"/>
    <w:pPr>
      <w:adjustRightInd w:val="0"/>
      <w:snapToGrid w:val="0"/>
      <w:spacing w:before="12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7itemize">
    <w:name w:val="MDPI_3.7_itemize"/>
    <w:qFormat/>
    <w:rsid w:val="006E574C"/>
    <w:pPr>
      <w:numPr>
        <w:numId w:val="15"/>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8bullet">
    <w:name w:val="MDPI_3.8_bullet"/>
    <w:qFormat/>
    <w:rsid w:val="006E574C"/>
    <w:pPr>
      <w:numPr>
        <w:numId w:val="16"/>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9equation">
    <w:name w:val="MDPI_3.9_equation"/>
    <w:qFormat/>
    <w:rsid w:val="006E574C"/>
    <w:pPr>
      <w:adjustRightInd w:val="0"/>
      <w:snapToGrid w:val="0"/>
      <w:spacing w:before="120" w:after="120" w:line="260" w:lineRule="atLeast"/>
      <w:ind w:left="709"/>
      <w:jc w:val="center"/>
    </w:pPr>
    <w:rPr>
      <w:rFonts w:ascii="Palatino Linotype" w:eastAsia="Times New Roman" w:hAnsi="Palatino Linotype"/>
      <w:snapToGrid w:val="0"/>
      <w:color w:val="000000"/>
      <w:szCs w:val="22"/>
      <w:lang w:eastAsia="de-DE" w:bidi="en-US"/>
    </w:rPr>
  </w:style>
  <w:style w:type="paragraph" w:customStyle="1" w:styleId="MDPI3aequationnumber">
    <w:name w:val="MDPI_3.a_equation_number"/>
    <w:qFormat/>
    <w:rsid w:val="006E574C"/>
    <w:pPr>
      <w:spacing w:before="120" w:after="120"/>
      <w:jc w:val="right"/>
    </w:pPr>
    <w:rPr>
      <w:rFonts w:ascii="Palatino Linotype" w:eastAsia="Times New Roman" w:hAnsi="Palatino Linotype"/>
      <w:snapToGrid w:val="0"/>
      <w:color w:val="000000"/>
      <w:szCs w:val="22"/>
      <w:lang w:eastAsia="de-DE" w:bidi="en-US"/>
    </w:rPr>
  </w:style>
  <w:style w:type="paragraph" w:customStyle="1" w:styleId="MDPI41tablecaption">
    <w:name w:val="MDPI_4.1_table_caption"/>
    <w:qFormat/>
    <w:rsid w:val="006E574C"/>
    <w:pPr>
      <w:adjustRightInd w:val="0"/>
      <w:snapToGrid w:val="0"/>
      <w:spacing w:before="240" w:after="120" w:line="228" w:lineRule="auto"/>
      <w:ind w:left="2608"/>
    </w:pPr>
    <w:rPr>
      <w:rFonts w:ascii="Palatino Linotype" w:eastAsia="Times New Roman" w:hAnsi="Palatino Linotype" w:cs="Cordia New"/>
      <w:color w:val="000000"/>
      <w:sz w:val="18"/>
      <w:szCs w:val="22"/>
      <w:lang w:eastAsia="de-DE" w:bidi="en-US"/>
    </w:rPr>
  </w:style>
  <w:style w:type="paragraph" w:customStyle="1" w:styleId="MDPI42tablebody">
    <w:name w:val="MDPI_4.2_table_body"/>
    <w:qFormat/>
    <w:rsid w:val="00797F16"/>
    <w:pPr>
      <w:adjustRightInd w:val="0"/>
      <w:snapToGrid w:val="0"/>
      <w:spacing w:line="260" w:lineRule="atLeast"/>
      <w:jc w:val="center"/>
    </w:pPr>
    <w:rPr>
      <w:rFonts w:ascii="Palatino Linotype" w:eastAsia="Times New Roman" w:hAnsi="Palatino Linotype"/>
      <w:snapToGrid w:val="0"/>
      <w:color w:val="000000"/>
      <w:lang w:eastAsia="de-DE" w:bidi="en-US"/>
    </w:rPr>
  </w:style>
  <w:style w:type="paragraph" w:customStyle="1" w:styleId="MDPI43tablefooter">
    <w:name w:val="MDPI_4.3_table_footer"/>
    <w:next w:val="MDPI31text"/>
    <w:qFormat/>
    <w:rsid w:val="006E574C"/>
    <w:pPr>
      <w:adjustRightInd w:val="0"/>
      <w:snapToGrid w:val="0"/>
      <w:spacing w:line="228" w:lineRule="auto"/>
      <w:ind w:left="2608"/>
    </w:pPr>
    <w:rPr>
      <w:rFonts w:ascii="Palatino Linotype" w:eastAsia="Times New Roman" w:hAnsi="Palatino Linotype" w:cs="Cordia New"/>
      <w:color w:val="000000"/>
      <w:sz w:val="18"/>
      <w:szCs w:val="22"/>
      <w:lang w:eastAsia="de-DE" w:bidi="en-US"/>
    </w:rPr>
  </w:style>
  <w:style w:type="paragraph" w:customStyle="1" w:styleId="MDPI51figurecaption">
    <w:name w:val="MDPI_5.1_figure_caption"/>
    <w:qFormat/>
    <w:rsid w:val="006E574C"/>
    <w:pPr>
      <w:adjustRightInd w:val="0"/>
      <w:snapToGrid w:val="0"/>
      <w:spacing w:before="120" w:after="240" w:line="228" w:lineRule="auto"/>
      <w:ind w:left="2608"/>
    </w:pPr>
    <w:rPr>
      <w:rFonts w:ascii="Palatino Linotype" w:eastAsia="Times New Roman" w:hAnsi="Palatino Linotype"/>
      <w:color w:val="000000"/>
      <w:sz w:val="18"/>
      <w:lang w:eastAsia="de-DE" w:bidi="en-US"/>
    </w:rPr>
  </w:style>
  <w:style w:type="paragraph" w:customStyle="1" w:styleId="MDPI52figure">
    <w:name w:val="MDPI_5.2_figure"/>
    <w:qFormat/>
    <w:rsid w:val="006E574C"/>
    <w:pPr>
      <w:adjustRightInd w:val="0"/>
      <w:snapToGrid w:val="0"/>
      <w:spacing w:before="240" w:after="120"/>
      <w:jc w:val="center"/>
    </w:pPr>
    <w:rPr>
      <w:rFonts w:ascii="Palatino Linotype" w:eastAsia="Times New Roman" w:hAnsi="Palatino Linotype"/>
      <w:snapToGrid w:val="0"/>
      <w:color w:val="000000"/>
      <w:lang w:eastAsia="de-DE" w:bidi="en-US"/>
    </w:rPr>
  </w:style>
  <w:style w:type="paragraph" w:customStyle="1" w:styleId="MDPI81theorem">
    <w:name w:val="MDPI_8.1_theorem"/>
    <w:qFormat/>
    <w:rsid w:val="006E574C"/>
    <w:pPr>
      <w:adjustRightInd w:val="0"/>
      <w:snapToGrid w:val="0"/>
      <w:spacing w:line="228" w:lineRule="auto"/>
      <w:ind w:left="2608"/>
      <w:jc w:val="both"/>
    </w:pPr>
    <w:rPr>
      <w:rFonts w:ascii="Palatino Linotype" w:eastAsia="Times New Roman" w:hAnsi="Palatino Linotype"/>
      <w:i/>
      <w:snapToGrid w:val="0"/>
      <w:color w:val="000000"/>
      <w:szCs w:val="22"/>
      <w:lang w:eastAsia="de-DE" w:bidi="en-US"/>
    </w:rPr>
  </w:style>
  <w:style w:type="paragraph" w:customStyle="1" w:styleId="MDPI82proof">
    <w:name w:val="MDPI_8.2_proof"/>
    <w:qFormat/>
    <w:rsid w:val="006E574C"/>
    <w:pPr>
      <w:adjustRightInd w:val="0"/>
      <w:snapToGrid w:val="0"/>
      <w:spacing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23heading3">
    <w:name w:val="MDPI_2.3_heading3"/>
    <w:qFormat/>
    <w:rsid w:val="006E574C"/>
    <w:pPr>
      <w:adjustRightInd w:val="0"/>
      <w:snapToGrid w:val="0"/>
      <w:spacing w:before="60" w:after="60" w:line="228" w:lineRule="auto"/>
      <w:ind w:left="2608"/>
      <w:outlineLvl w:val="2"/>
    </w:pPr>
    <w:rPr>
      <w:rFonts w:ascii="Palatino Linotype" w:eastAsia="Times New Roman" w:hAnsi="Palatino Linotype"/>
      <w:snapToGrid w:val="0"/>
      <w:color w:val="000000"/>
      <w:szCs w:val="22"/>
      <w:lang w:eastAsia="de-DE" w:bidi="en-US"/>
    </w:rPr>
  </w:style>
  <w:style w:type="paragraph" w:customStyle="1" w:styleId="MDPI21heading1">
    <w:name w:val="MDPI_2.1_heading1"/>
    <w:qFormat/>
    <w:rsid w:val="006E574C"/>
    <w:pPr>
      <w:adjustRightInd w:val="0"/>
      <w:snapToGrid w:val="0"/>
      <w:spacing w:before="240" w:after="60" w:line="228" w:lineRule="auto"/>
      <w:ind w:left="2608"/>
      <w:outlineLvl w:val="0"/>
    </w:pPr>
    <w:rPr>
      <w:rFonts w:ascii="Palatino Linotype" w:eastAsia="Times New Roman" w:hAnsi="Palatino Linotype"/>
      <w:b/>
      <w:snapToGrid w:val="0"/>
      <w:color w:val="000000"/>
      <w:szCs w:val="22"/>
      <w:lang w:eastAsia="de-DE" w:bidi="en-US"/>
    </w:rPr>
  </w:style>
  <w:style w:type="paragraph" w:customStyle="1" w:styleId="MDPI22heading2">
    <w:name w:val="MDPI_2.2_heading2"/>
    <w:qFormat/>
    <w:rsid w:val="006E574C"/>
    <w:pPr>
      <w:adjustRightInd w:val="0"/>
      <w:snapToGrid w:val="0"/>
      <w:spacing w:before="60" w:after="60" w:line="228" w:lineRule="auto"/>
      <w:ind w:left="2608"/>
      <w:outlineLvl w:val="1"/>
    </w:pPr>
    <w:rPr>
      <w:rFonts w:ascii="Palatino Linotype" w:eastAsia="Times New Roman" w:hAnsi="Palatino Linotype"/>
      <w:i/>
      <w:noProof/>
      <w:snapToGrid w:val="0"/>
      <w:color w:val="000000"/>
      <w:szCs w:val="22"/>
      <w:lang w:eastAsia="de-DE" w:bidi="en-US"/>
    </w:rPr>
  </w:style>
  <w:style w:type="paragraph" w:customStyle="1" w:styleId="MDPI71References">
    <w:name w:val="MDPI_7.1_References"/>
    <w:qFormat/>
    <w:rsid w:val="00CC48F8"/>
    <w:pPr>
      <w:numPr>
        <w:numId w:val="17"/>
      </w:numPr>
      <w:adjustRightInd w:val="0"/>
      <w:snapToGrid w:val="0"/>
      <w:spacing w:line="228" w:lineRule="auto"/>
      <w:jc w:val="both"/>
    </w:pPr>
    <w:rPr>
      <w:rFonts w:ascii="Palatino Linotype" w:eastAsia="Times New Roman" w:hAnsi="Palatino Linotype"/>
      <w:color w:val="000000"/>
      <w:sz w:val="18"/>
      <w:lang w:eastAsia="de-DE" w:bidi="en-US"/>
    </w:rPr>
  </w:style>
  <w:style w:type="paragraph" w:styleId="a8">
    <w:name w:val="Balloon Text"/>
    <w:basedOn w:val="a"/>
    <w:link w:val="a9"/>
    <w:uiPriority w:val="99"/>
    <w:rsid w:val="006E574C"/>
    <w:rPr>
      <w:rFonts w:cs="Tahoma"/>
      <w:szCs w:val="18"/>
    </w:rPr>
  </w:style>
  <w:style w:type="character" w:customStyle="1" w:styleId="a9">
    <w:name w:val="Текст выноски Знак"/>
    <w:link w:val="a8"/>
    <w:uiPriority w:val="99"/>
    <w:rsid w:val="006E574C"/>
    <w:rPr>
      <w:rFonts w:ascii="Palatino Linotype" w:hAnsi="Palatino Linotype" w:cs="Tahoma"/>
      <w:noProof/>
      <w:color w:val="000000"/>
      <w:szCs w:val="18"/>
    </w:rPr>
  </w:style>
  <w:style w:type="character" w:styleId="aa">
    <w:name w:val="line number"/>
    <w:uiPriority w:val="99"/>
    <w:rsid w:val="00F17AF9"/>
    <w:rPr>
      <w:rFonts w:ascii="Palatino Linotype" w:hAnsi="Palatino Linotype"/>
      <w:sz w:val="16"/>
    </w:rPr>
  </w:style>
  <w:style w:type="table" w:customStyle="1" w:styleId="MDPI41threelinetable">
    <w:name w:val="MDPI_4.1_three_line_table"/>
    <w:basedOn w:val="a1"/>
    <w:uiPriority w:val="99"/>
    <w:rsid w:val="006E574C"/>
    <w:pPr>
      <w:adjustRightInd w:val="0"/>
      <w:snapToGrid w:val="0"/>
      <w:jc w:val="center"/>
    </w:pPr>
    <w:rPr>
      <w:rFonts w:ascii="Palatino Linotype" w:hAnsi="Palatino Linotype"/>
      <w:color w:val="000000"/>
    </w:rPr>
    <w:tblPr>
      <w:jc w:val="center"/>
      <w:tblBorders>
        <w:top w:val="single" w:sz="8" w:space="0" w:color="auto"/>
        <w:bottom w:val="single" w:sz="8" w:space="0" w:color="auto"/>
      </w:tblBorders>
    </w:tblPr>
    <w:trPr>
      <w:jc w:val="center"/>
    </w:trPr>
    <w:tcPr>
      <w:vAlign w:val="center"/>
    </w:tcPr>
    <w:tblStylePr w:type="firstRow">
      <w:rPr>
        <w:rFonts w:ascii="Palatino Linotype" w:hAnsi="Palatino Linotype"/>
        <w:b/>
        <w:i w:val="0"/>
        <w:sz w:val="20"/>
      </w:rPr>
      <w:tblPr/>
      <w:tcPr>
        <w:tcBorders>
          <w:bottom w:val="single" w:sz="4" w:space="0" w:color="auto"/>
        </w:tcBorders>
      </w:tcPr>
    </w:tblStylePr>
  </w:style>
  <w:style w:type="character" w:styleId="ab">
    <w:name w:val="Hyperlink"/>
    <w:uiPriority w:val="99"/>
    <w:rsid w:val="006E574C"/>
    <w:rPr>
      <w:color w:val="0000FF"/>
      <w:u w:val="single"/>
    </w:rPr>
  </w:style>
  <w:style w:type="character" w:customStyle="1" w:styleId="UnresolvedMention1">
    <w:name w:val="Unresolved Mention1"/>
    <w:uiPriority w:val="99"/>
    <w:semiHidden/>
    <w:unhideWhenUsed/>
    <w:rsid w:val="00C60885"/>
    <w:rPr>
      <w:color w:val="605E5C"/>
      <w:shd w:val="clear" w:color="auto" w:fill="E1DFDD"/>
    </w:rPr>
  </w:style>
  <w:style w:type="table" w:customStyle="1" w:styleId="PlainTable41">
    <w:name w:val="Plain Table 41"/>
    <w:basedOn w:val="a1"/>
    <w:uiPriority w:val="44"/>
    <w:rsid w:val="00FF09E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MDPI61Citation">
    <w:name w:val="MDPI_6.1_Citation"/>
    <w:qFormat/>
    <w:rsid w:val="006E574C"/>
    <w:pPr>
      <w:adjustRightInd w:val="0"/>
      <w:snapToGrid w:val="0"/>
      <w:spacing w:line="240" w:lineRule="atLeast"/>
      <w:ind w:right="113"/>
    </w:pPr>
    <w:rPr>
      <w:rFonts w:ascii="Palatino Linotype" w:hAnsi="Palatino Linotype" w:cs="Cordia New"/>
      <w:sz w:val="14"/>
      <w:szCs w:val="22"/>
    </w:rPr>
  </w:style>
  <w:style w:type="paragraph" w:customStyle="1" w:styleId="MDPI62BackMatter">
    <w:name w:val="MDPI_6.2_BackMatter"/>
    <w:qFormat/>
    <w:rsid w:val="006E574C"/>
    <w:pPr>
      <w:adjustRightInd w:val="0"/>
      <w:snapToGrid w:val="0"/>
      <w:spacing w:after="120" w:line="228" w:lineRule="auto"/>
      <w:ind w:left="2608"/>
      <w:jc w:val="both"/>
    </w:pPr>
    <w:rPr>
      <w:rFonts w:ascii="Palatino Linotype" w:eastAsia="Times New Roman" w:hAnsi="Palatino Linotype"/>
      <w:snapToGrid w:val="0"/>
      <w:color w:val="000000"/>
      <w:sz w:val="18"/>
      <w:lang w:eastAsia="en-US" w:bidi="en-US"/>
    </w:rPr>
  </w:style>
  <w:style w:type="paragraph" w:customStyle="1" w:styleId="MDPI63Notes">
    <w:name w:val="MDPI_6.3_Notes"/>
    <w:qFormat/>
    <w:rsid w:val="006E574C"/>
    <w:pPr>
      <w:adjustRightInd w:val="0"/>
      <w:snapToGrid w:val="0"/>
      <w:spacing w:after="120" w:line="240" w:lineRule="atLeast"/>
      <w:ind w:right="113"/>
    </w:pPr>
    <w:rPr>
      <w:rFonts w:ascii="Palatino Linotype" w:hAnsi="Palatino Linotype"/>
      <w:snapToGrid w:val="0"/>
      <w:color w:val="000000"/>
      <w:sz w:val="14"/>
      <w:lang w:eastAsia="en-US" w:bidi="en-US"/>
    </w:rPr>
  </w:style>
  <w:style w:type="paragraph" w:customStyle="1" w:styleId="MDPI15academiceditor">
    <w:name w:val="MDPI_1.5_academic_editor"/>
    <w:qFormat/>
    <w:rsid w:val="006E574C"/>
    <w:pPr>
      <w:adjustRightInd w:val="0"/>
      <w:snapToGrid w:val="0"/>
      <w:spacing w:before="240" w:line="240" w:lineRule="atLeast"/>
      <w:ind w:right="113"/>
    </w:pPr>
    <w:rPr>
      <w:rFonts w:ascii="Palatino Linotype" w:eastAsia="Times New Roman" w:hAnsi="Palatino Linotype"/>
      <w:color w:val="000000"/>
      <w:sz w:val="14"/>
      <w:szCs w:val="22"/>
      <w:lang w:eastAsia="de-DE" w:bidi="en-US"/>
    </w:rPr>
  </w:style>
  <w:style w:type="paragraph" w:customStyle="1" w:styleId="MDPI19classification">
    <w:name w:val="MDPI_1.9_classification"/>
    <w:qFormat/>
    <w:rsid w:val="006E574C"/>
    <w:pPr>
      <w:spacing w:before="240" w:line="260" w:lineRule="atLeast"/>
      <w:ind w:left="113"/>
      <w:jc w:val="both"/>
    </w:pPr>
    <w:rPr>
      <w:rFonts w:ascii="Palatino Linotype" w:eastAsia="Times New Roman" w:hAnsi="Palatino Linotype"/>
      <w:b/>
      <w:color w:val="000000"/>
      <w:szCs w:val="22"/>
      <w:lang w:eastAsia="de-DE" w:bidi="en-US"/>
    </w:rPr>
  </w:style>
  <w:style w:type="paragraph" w:customStyle="1" w:styleId="MDPI411onetablecaption">
    <w:name w:val="MDPI_4.1.1_one_table_caption"/>
    <w:qFormat/>
    <w:rsid w:val="006E574C"/>
    <w:pPr>
      <w:adjustRightInd w:val="0"/>
      <w:snapToGrid w:val="0"/>
      <w:spacing w:before="240" w:after="120" w:line="260" w:lineRule="atLeast"/>
      <w:jc w:val="center"/>
    </w:pPr>
    <w:rPr>
      <w:rFonts w:ascii="Palatino Linotype" w:hAnsi="Palatino Linotype" w:cs="Cordia New"/>
      <w:noProof/>
      <w:color w:val="000000"/>
      <w:sz w:val="18"/>
      <w:szCs w:val="22"/>
      <w:lang w:bidi="en-US"/>
    </w:rPr>
  </w:style>
  <w:style w:type="paragraph" w:customStyle="1" w:styleId="MDPI511onefigurecaption">
    <w:name w:val="MDPI_5.1.1_one_figure_caption"/>
    <w:qFormat/>
    <w:rsid w:val="006E574C"/>
    <w:pPr>
      <w:adjustRightInd w:val="0"/>
      <w:snapToGrid w:val="0"/>
      <w:spacing w:before="240" w:after="120" w:line="260" w:lineRule="atLeast"/>
      <w:jc w:val="center"/>
    </w:pPr>
    <w:rPr>
      <w:rFonts w:ascii="Palatino Linotype" w:hAnsi="Palatino Linotype"/>
      <w:noProof/>
      <w:color w:val="000000"/>
      <w:sz w:val="18"/>
      <w:lang w:bidi="en-US"/>
    </w:rPr>
  </w:style>
  <w:style w:type="paragraph" w:customStyle="1" w:styleId="MDPI72Copyright">
    <w:name w:val="MDPI_7.2_Copyright"/>
    <w:qFormat/>
    <w:rsid w:val="006E574C"/>
    <w:pPr>
      <w:adjustRightInd w:val="0"/>
      <w:snapToGrid w:val="0"/>
      <w:spacing w:before="240" w:line="240" w:lineRule="atLeast"/>
      <w:ind w:right="113"/>
    </w:pPr>
    <w:rPr>
      <w:rFonts w:ascii="Palatino Linotype" w:eastAsia="Times New Roman" w:hAnsi="Palatino Linotype"/>
      <w:noProof/>
      <w:snapToGrid w:val="0"/>
      <w:color w:val="000000"/>
      <w:spacing w:val="-2"/>
      <w:sz w:val="14"/>
      <w:lang w:val="en-GB" w:eastAsia="en-GB"/>
    </w:rPr>
  </w:style>
  <w:style w:type="paragraph" w:customStyle="1" w:styleId="MDPI73CopyrightImage">
    <w:name w:val="MDPI_7.3_CopyrightImage"/>
    <w:rsid w:val="006E574C"/>
    <w:pPr>
      <w:adjustRightInd w:val="0"/>
      <w:snapToGrid w:val="0"/>
      <w:spacing w:after="100" w:line="260" w:lineRule="atLeast"/>
      <w:jc w:val="right"/>
    </w:pPr>
    <w:rPr>
      <w:rFonts w:ascii="Palatino Linotype" w:eastAsia="Times New Roman" w:hAnsi="Palatino Linotype"/>
      <w:color w:val="000000"/>
      <w:lang w:eastAsia="de-CH"/>
    </w:rPr>
  </w:style>
  <w:style w:type="paragraph" w:customStyle="1" w:styleId="MDPIequationFram">
    <w:name w:val="MDPI_equationFram"/>
    <w:qFormat/>
    <w:rsid w:val="006E574C"/>
    <w:pPr>
      <w:adjustRightInd w:val="0"/>
      <w:snapToGrid w:val="0"/>
      <w:spacing w:before="120" w:after="120"/>
      <w:jc w:val="center"/>
    </w:pPr>
    <w:rPr>
      <w:rFonts w:ascii="Palatino Linotype" w:eastAsia="Times New Roman" w:hAnsi="Palatino Linotype"/>
      <w:snapToGrid w:val="0"/>
      <w:color w:val="000000"/>
      <w:szCs w:val="22"/>
      <w:lang w:eastAsia="de-DE" w:bidi="en-US"/>
    </w:rPr>
  </w:style>
  <w:style w:type="paragraph" w:customStyle="1" w:styleId="MDPIfooter">
    <w:name w:val="MDPI_footer"/>
    <w:qFormat/>
    <w:rsid w:val="006E574C"/>
    <w:pPr>
      <w:adjustRightInd w:val="0"/>
      <w:snapToGrid w:val="0"/>
      <w:spacing w:before="120" w:line="260" w:lineRule="atLeast"/>
      <w:jc w:val="center"/>
    </w:pPr>
    <w:rPr>
      <w:rFonts w:ascii="Palatino Linotype" w:eastAsia="Times New Roman" w:hAnsi="Palatino Linotype"/>
      <w:color w:val="000000"/>
      <w:lang w:eastAsia="de-DE"/>
    </w:rPr>
  </w:style>
  <w:style w:type="paragraph" w:customStyle="1" w:styleId="MDPIfooterfirstpage">
    <w:name w:val="MDPI_footer_firstpage"/>
    <w:qFormat/>
    <w:rsid w:val="006E574C"/>
    <w:pPr>
      <w:tabs>
        <w:tab w:val="right" w:pos="8845"/>
      </w:tabs>
      <w:spacing w:line="160" w:lineRule="exact"/>
    </w:pPr>
    <w:rPr>
      <w:rFonts w:ascii="Palatino Linotype" w:eastAsia="Times New Roman" w:hAnsi="Palatino Linotype"/>
      <w:color w:val="000000"/>
      <w:sz w:val="16"/>
      <w:lang w:eastAsia="de-DE"/>
    </w:rPr>
  </w:style>
  <w:style w:type="paragraph" w:customStyle="1" w:styleId="MDPIheader">
    <w:name w:val="MDPI_header"/>
    <w:qFormat/>
    <w:rsid w:val="006E574C"/>
    <w:pPr>
      <w:adjustRightInd w:val="0"/>
      <w:snapToGrid w:val="0"/>
      <w:spacing w:after="240" w:line="260" w:lineRule="atLeast"/>
      <w:jc w:val="both"/>
    </w:pPr>
    <w:rPr>
      <w:rFonts w:ascii="Palatino Linotype" w:eastAsia="Times New Roman" w:hAnsi="Palatino Linotype"/>
      <w:iCs/>
      <w:color w:val="000000"/>
      <w:sz w:val="16"/>
      <w:lang w:eastAsia="de-DE"/>
    </w:rPr>
  </w:style>
  <w:style w:type="paragraph" w:customStyle="1" w:styleId="MDPIheadercitation">
    <w:name w:val="MDPI_header_citation"/>
    <w:rsid w:val="006E574C"/>
    <w:pPr>
      <w:spacing w:after="240"/>
    </w:pPr>
    <w:rPr>
      <w:rFonts w:ascii="Palatino Linotype" w:eastAsia="Times New Roman" w:hAnsi="Palatino Linotype"/>
      <w:snapToGrid w:val="0"/>
      <w:color w:val="000000"/>
      <w:sz w:val="18"/>
      <w:lang w:eastAsia="de-DE" w:bidi="en-US"/>
    </w:rPr>
  </w:style>
  <w:style w:type="paragraph" w:customStyle="1" w:styleId="MDPIheadermdpilogo">
    <w:name w:val="MDPI_header_mdpi_logo"/>
    <w:qFormat/>
    <w:rsid w:val="006E574C"/>
    <w:pPr>
      <w:adjustRightInd w:val="0"/>
      <w:snapToGrid w:val="0"/>
      <w:spacing w:line="260" w:lineRule="atLeast"/>
      <w:jc w:val="right"/>
    </w:pPr>
    <w:rPr>
      <w:rFonts w:ascii="Palatino Linotype" w:eastAsia="Times New Roman" w:hAnsi="Palatino Linotype"/>
      <w:color w:val="000000"/>
      <w:sz w:val="24"/>
      <w:szCs w:val="22"/>
      <w:lang w:eastAsia="de-CH"/>
    </w:rPr>
  </w:style>
  <w:style w:type="table" w:customStyle="1" w:styleId="MDPITable">
    <w:name w:val="MDPI_Table"/>
    <w:basedOn w:val="a1"/>
    <w:uiPriority w:val="99"/>
    <w:rsid w:val="006E574C"/>
    <w:rPr>
      <w:rFonts w:ascii="Palatino Linotype" w:hAnsi="Palatino Linotype"/>
      <w:color w:val="000000"/>
      <w:lang w:val="en-CA" w:eastAsia="en-US"/>
    </w:rPr>
    <w:tblPr>
      <w:tblCellMar>
        <w:left w:w="0" w:type="dxa"/>
        <w:right w:w="0" w:type="dxa"/>
      </w:tblCellMar>
    </w:tblPr>
  </w:style>
  <w:style w:type="paragraph" w:customStyle="1" w:styleId="MDPItext">
    <w:name w:val="MDPI_text"/>
    <w:qFormat/>
    <w:rsid w:val="006E574C"/>
    <w:pPr>
      <w:spacing w:line="260" w:lineRule="atLeast"/>
      <w:ind w:left="425" w:right="425" w:firstLine="284"/>
      <w:jc w:val="both"/>
    </w:pPr>
    <w:rPr>
      <w:rFonts w:ascii="Times New Roman" w:eastAsia="Times New Roman" w:hAnsi="Times New Roman"/>
      <w:noProof/>
      <w:snapToGrid w:val="0"/>
      <w:color w:val="000000"/>
      <w:sz w:val="22"/>
      <w:szCs w:val="22"/>
      <w:lang w:eastAsia="de-DE" w:bidi="en-US"/>
    </w:rPr>
  </w:style>
  <w:style w:type="paragraph" w:customStyle="1" w:styleId="MDPItitle">
    <w:name w:val="MDPI_title"/>
    <w:qFormat/>
    <w:rsid w:val="006E574C"/>
    <w:pPr>
      <w:adjustRightInd w:val="0"/>
      <w:snapToGrid w:val="0"/>
      <w:spacing w:after="240" w:line="260" w:lineRule="atLeast"/>
      <w:jc w:val="both"/>
    </w:pPr>
    <w:rPr>
      <w:rFonts w:ascii="Palatino Linotype" w:eastAsia="Times New Roman" w:hAnsi="Palatino Linotype"/>
      <w:b/>
      <w:snapToGrid w:val="0"/>
      <w:color w:val="000000"/>
      <w:sz w:val="36"/>
      <w:lang w:eastAsia="de-DE" w:bidi="en-US"/>
    </w:rPr>
  </w:style>
  <w:style w:type="character" w:customStyle="1" w:styleId="apple-converted-space">
    <w:name w:val="apple-converted-space"/>
    <w:rsid w:val="006E574C"/>
  </w:style>
  <w:style w:type="paragraph" w:styleId="ac">
    <w:name w:val="Bibliography"/>
    <w:basedOn w:val="a"/>
    <w:next w:val="a"/>
    <w:uiPriority w:val="37"/>
    <w:semiHidden/>
    <w:unhideWhenUsed/>
    <w:rsid w:val="006E574C"/>
  </w:style>
  <w:style w:type="paragraph" w:styleId="ad">
    <w:name w:val="Body Text"/>
    <w:link w:val="ae"/>
    <w:rsid w:val="006E574C"/>
    <w:pPr>
      <w:spacing w:after="120" w:line="340" w:lineRule="atLeast"/>
      <w:jc w:val="both"/>
    </w:pPr>
    <w:rPr>
      <w:rFonts w:ascii="Palatino Linotype" w:hAnsi="Palatino Linotype"/>
      <w:color w:val="000000"/>
      <w:sz w:val="24"/>
      <w:lang w:eastAsia="de-DE"/>
    </w:rPr>
  </w:style>
  <w:style w:type="character" w:customStyle="1" w:styleId="ae">
    <w:name w:val="Основной текст Знак"/>
    <w:link w:val="ad"/>
    <w:rsid w:val="006E574C"/>
    <w:rPr>
      <w:rFonts w:ascii="Palatino Linotype" w:hAnsi="Palatino Linotype"/>
      <w:color w:val="000000"/>
      <w:sz w:val="24"/>
      <w:lang w:eastAsia="de-DE"/>
    </w:rPr>
  </w:style>
  <w:style w:type="character" w:styleId="af">
    <w:name w:val="annotation reference"/>
    <w:rsid w:val="006E574C"/>
    <w:rPr>
      <w:sz w:val="21"/>
      <w:szCs w:val="21"/>
    </w:rPr>
  </w:style>
  <w:style w:type="paragraph" w:styleId="af0">
    <w:name w:val="annotation text"/>
    <w:basedOn w:val="a"/>
    <w:link w:val="af1"/>
    <w:rsid w:val="006E574C"/>
  </w:style>
  <w:style w:type="character" w:customStyle="1" w:styleId="af1">
    <w:name w:val="Текст примечания Знак"/>
    <w:link w:val="af0"/>
    <w:rsid w:val="006E574C"/>
    <w:rPr>
      <w:rFonts w:ascii="Palatino Linotype" w:hAnsi="Palatino Linotype"/>
      <w:noProof/>
      <w:color w:val="000000"/>
    </w:rPr>
  </w:style>
  <w:style w:type="paragraph" w:styleId="af2">
    <w:name w:val="annotation subject"/>
    <w:basedOn w:val="af0"/>
    <w:next w:val="af0"/>
    <w:link w:val="af3"/>
    <w:rsid w:val="006E574C"/>
    <w:rPr>
      <w:b/>
      <w:bCs/>
    </w:rPr>
  </w:style>
  <w:style w:type="character" w:customStyle="1" w:styleId="af3">
    <w:name w:val="Тема примечания Знак"/>
    <w:link w:val="af2"/>
    <w:rsid w:val="006E574C"/>
    <w:rPr>
      <w:rFonts w:ascii="Palatino Linotype" w:hAnsi="Palatino Linotype"/>
      <w:b/>
      <w:bCs/>
      <w:noProof/>
      <w:color w:val="000000"/>
    </w:rPr>
  </w:style>
  <w:style w:type="character" w:styleId="af4">
    <w:name w:val="endnote reference"/>
    <w:rsid w:val="006E574C"/>
    <w:rPr>
      <w:vertAlign w:val="superscript"/>
    </w:rPr>
  </w:style>
  <w:style w:type="paragraph" w:styleId="af5">
    <w:name w:val="endnote text"/>
    <w:basedOn w:val="a"/>
    <w:link w:val="af6"/>
    <w:semiHidden/>
    <w:unhideWhenUsed/>
    <w:rsid w:val="006E574C"/>
    <w:pPr>
      <w:spacing w:line="240" w:lineRule="auto"/>
    </w:pPr>
  </w:style>
  <w:style w:type="character" w:customStyle="1" w:styleId="af6">
    <w:name w:val="Текст концевой сноски Знак"/>
    <w:link w:val="af5"/>
    <w:semiHidden/>
    <w:rsid w:val="006E574C"/>
    <w:rPr>
      <w:rFonts w:ascii="Palatino Linotype" w:hAnsi="Palatino Linotype"/>
      <w:noProof/>
      <w:color w:val="000000"/>
    </w:rPr>
  </w:style>
  <w:style w:type="character" w:styleId="af7">
    <w:name w:val="FollowedHyperlink"/>
    <w:rsid w:val="006E574C"/>
    <w:rPr>
      <w:color w:val="954F72"/>
      <w:u w:val="single"/>
    </w:rPr>
  </w:style>
  <w:style w:type="paragraph" w:styleId="af8">
    <w:name w:val="footnote text"/>
    <w:basedOn w:val="a"/>
    <w:link w:val="af9"/>
    <w:semiHidden/>
    <w:unhideWhenUsed/>
    <w:rsid w:val="006E574C"/>
    <w:pPr>
      <w:spacing w:line="240" w:lineRule="auto"/>
    </w:pPr>
  </w:style>
  <w:style w:type="character" w:customStyle="1" w:styleId="af9">
    <w:name w:val="Текст сноски Знак"/>
    <w:link w:val="af8"/>
    <w:semiHidden/>
    <w:rsid w:val="006E574C"/>
    <w:rPr>
      <w:rFonts w:ascii="Palatino Linotype" w:hAnsi="Palatino Linotype"/>
      <w:noProof/>
      <w:color w:val="000000"/>
    </w:rPr>
  </w:style>
  <w:style w:type="paragraph" w:styleId="afa">
    <w:name w:val="Normal (Web)"/>
    <w:basedOn w:val="a"/>
    <w:uiPriority w:val="99"/>
    <w:rsid w:val="006E574C"/>
    <w:rPr>
      <w:szCs w:val="24"/>
    </w:rPr>
  </w:style>
  <w:style w:type="paragraph" w:customStyle="1" w:styleId="MsoFootnoteText0">
    <w:name w:val="MsoFootnoteText"/>
    <w:basedOn w:val="afa"/>
    <w:qFormat/>
    <w:rsid w:val="006E574C"/>
    <w:rPr>
      <w:rFonts w:ascii="Times New Roman" w:hAnsi="Times New Roman"/>
    </w:rPr>
  </w:style>
  <w:style w:type="character" w:styleId="afb">
    <w:name w:val="page number"/>
    <w:rsid w:val="006E574C"/>
  </w:style>
  <w:style w:type="character" w:styleId="afc">
    <w:name w:val="Placeholder Text"/>
    <w:uiPriority w:val="99"/>
    <w:semiHidden/>
    <w:rsid w:val="006E574C"/>
    <w:rPr>
      <w:color w:val="808080"/>
    </w:rPr>
  </w:style>
  <w:style w:type="paragraph" w:customStyle="1" w:styleId="MDPI71FootNotes">
    <w:name w:val="MDPI_7.1_FootNotes"/>
    <w:qFormat/>
    <w:rsid w:val="00900026"/>
    <w:pPr>
      <w:numPr>
        <w:numId w:val="18"/>
      </w:numPr>
      <w:adjustRightInd w:val="0"/>
      <w:snapToGrid w:val="0"/>
      <w:spacing w:line="228" w:lineRule="auto"/>
      <w:jc w:val="both"/>
    </w:pPr>
    <w:rPr>
      <w:rFonts w:ascii="Palatino Linotype" w:eastAsiaTheme="minorEastAsia" w:hAnsi="Palatino Linotype"/>
      <w:noProof/>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4817201">
      <w:bodyDiv w:val="1"/>
      <w:marLeft w:val="0"/>
      <w:marRight w:val="0"/>
      <w:marTop w:val="0"/>
      <w:marBottom w:val="0"/>
      <w:divBdr>
        <w:top w:val="none" w:sz="0" w:space="0" w:color="auto"/>
        <w:left w:val="none" w:sz="0" w:space="0" w:color="auto"/>
        <w:bottom w:val="none" w:sz="0" w:space="0" w:color="auto"/>
        <w:right w:val="none" w:sz="0" w:space="0" w:color="auto"/>
      </w:divBdr>
    </w:div>
    <w:div w:id="1112868683">
      <w:bodyDiv w:val="1"/>
      <w:marLeft w:val="0"/>
      <w:marRight w:val="0"/>
      <w:marTop w:val="0"/>
      <w:marBottom w:val="0"/>
      <w:divBdr>
        <w:top w:val="none" w:sz="0" w:space="0" w:color="auto"/>
        <w:left w:val="none" w:sz="0" w:space="0" w:color="auto"/>
        <w:bottom w:val="none" w:sz="0" w:space="0" w:color="auto"/>
        <w:right w:val="none" w:sz="0" w:space="0" w:color="auto"/>
      </w:divBdr>
    </w:div>
    <w:div w:id="1791704140">
      <w:bodyDiv w:val="1"/>
      <w:marLeft w:val="0"/>
      <w:marRight w:val="0"/>
      <w:marTop w:val="0"/>
      <w:marBottom w:val="0"/>
      <w:divBdr>
        <w:top w:val="none" w:sz="0" w:space="0" w:color="auto"/>
        <w:left w:val="none" w:sz="0" w:space="0" w:color="auto"/>
        <w:bottom w:val="none" w:sz="0" w:space="0" w:color="auto"/>
        <w:right w:val="none" w:sz="0" w:space="0" w:color="auto"/>
      </w:divBdr>
    </w:div>
  </w:divs>
  <w:encoding w:val="iso-8859-6"/>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1.bin"/><Relationship Id="rId18" Type="http://schemas.openxmlformats.org/officeDocument/2006/relationships/image" Target="media/image6.png"/><Relationship Id="rId26"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image" Target="media/image5.png"/><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bahnemann@iftc.uni-hannover.de"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image" Target="media/image11.png"/><Relationship Id="rId28" Type="http://schemas.openxmlformats.org/officeDocument/2006/relationships/footer" Target="footer2.xml"/><Relationship Id="rId10" Type="http://schemas.openxmlformats.org/officeDocument/2006/relationships/hyperlink" Target="mailto:ale.x-man@mail.ru" TargetMode="External"/><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hyperlink" Target="mailto:dalika@inbox.ru" TargetMode="External"/><Relationship Id="rId14" Type="http://schemas.openxmlformats.org/officeDocument/2006/relationships/image" Target="media/image3.emf"/><Relationship Id="rId22" Type="http://schemas.openxmlformats.org/officeDocument/2006/relationships/image" Target="media/image10.png"/><Relationship Id="rId27" Type="http://schemas.openxmlformats.org/officeDocument/2006/relationships/header" Target="header3.xml"/><Relationship Id="rId30"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13.png"/><Relationship Id="rId1" Type="http://schemas.openxmlformats.org/officeDocument/2006/relationships/image" Target="media/image12.png"/></Relationships>
</file>

<file path=word/_rels/settings.xml.rels><?xml version="1.0" encoding="UTF-8" standalone="yes"?>
<Relationships xmlns="http://schemas.openxmlformats.org/package/2006/relationships"><Relationship Id="rId1" Type="http://schemas.openxmlformats.org/officeDocument/2006/relationships/attachedTemplate" Target="file:///D:\Kirill\Downloads\catalysts-template%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catalysts-template (1)</Template>
  <TotalTime>6</TotalTime>
  <Pages>12</Pages>
  <Words>5908</Words>
  <Characters>33681</Characters>
  <Application>Microsoft Office Word</Application>
  <DocSecurity>0</DocSecurity>
  <Lines>280</Lines>
  <Paragraphs>79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Type of the Paper (Article</vt:lpstr>
      <vt:lpstr>Type of the Paper (Article</vt:lpstr>
    </vt:vector>
  </TitlesOfParts>
  <Company/>
  <LinksUpToDate>false</LinksUpToDate>
  <CharactersWithSpaces>39510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the Paper (Article</dc:title>
  <dc:creator>Kirill</dc:creator>
  <cp:lastModifiedBy>Kirill</cp:lastModifiedBy>
  <cp:revision>4</cp:revision>
  <dcterms:created xsi:type="dcterms:W3CDTF">2021-11-15T07:56:00Z</dcterms:created>
  <dcterms:modified xsi:type="dcterms:W3CDTF">2021-11-15T08:09:00Z</dcterms:modified>
</cp:coreProperties>
</file>