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567" w:right="141" w:firstLine="425"/>
        <w:jc w:val="both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white"/>
          <w:lang w:val="en-US"/>
        </w:rPr>
        <w:t>Molecular Dynamics Simulation of [CuCl</w:t>
      </w:r>
      <w:r>
        <w:rPr>
          <w:b/>
          <w:bCs/>
          <w:color w:val="000000"/>
          <w:sz w:val="24"/>
          <w:szCs w:val="24"/>
          <w:highlight w:val="white"/>
          <w:vertAlign w:val="subscript"/>
          <w:lang w:val="en-US"/>
        </w:rPr>
        <w:t>2</w:t>
      </w:r>
      <w:r>
        <w:rPr>
          <w:b/>
          <w:bCs/>
          <w:color w:val="000000"/>
          <w:sz w:val="24"/>
          <w:szCs w:val="24"/>
          <w:highlight w:val="white"/>
          <w:lang w:val="en-US"/>
        </w:rPr>
        <w:t>(1,2-diaminoethane)</w:t>
      </w:r>
      <w:r>
        <w:rPr>
          <w:b/>
          <w:bCs/>
          <w:color w:val="000000"/>
          <w:sz w:val="24"/>
          <w:szCs w:val="24"/>
          <w:highlight w:val="white"/>
          <w:vertAlign w:val="subscript"/>
          <w:lang w:val="en-US"/>
        </w:rPr>
        <w:t>n</w:t>
      </w:r>
      <w:r>
        <w:rPr>
          <w:b/>
          <w:bCs/>
          <w:color w:val="000000"/>
          <w:sz w:val="24"/>
          <w:szCs w:val="24"/>
          <w:highlight w:val="white"/>
          <w:lang w:val="en-US"/>
        </w:rPr>
        <w:t>] (n = 1, 2) complexes in aqueous solution</w:t>
      </w:r>
    </w:p>
    <w:p>
      <w:pPr>
        <w:pStyle w:val="Avtor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Avtor"/>
        <w:spacing w:before="0" w:after="0"/>
        <w:ind w:left="567" w:right="567" w:hanging="0"/>
        <w:rPr/>
      </w:pPr>
      <w:r>
        <w:rPr>
          <w:sz w:val="24"/>
          <w:szCs w:val="24"/>
          <w:lang w:val="en-US"/>
        </w:rPr>
        <w:t xml:space="preserve">Yefimova Irina, </w:t>
      </w:r>
      <w:hyperlink r:id="rId2">
        <w:r>
          <w:rPr>
            <w:rStyle w:val="Style14"/>
            <w:sz w:val="24"/>
            <w:szCs w:val="24"/>
            <w:lang w:val="en-US"/>
          </w:rPr>
          <w:t>yefir2000@gmail.co</w:t>
        </w:r>
      </w:hyperlink>
      <w:r>
        <w:rPr>
          <w:rStyle w:val="Style14"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</w:t>
      </w:r>
    </w:p>
    <w:p>
      <w:pPr>
        <w:pStyle w:val="Nauchruk"/>
        <w:spacing w:before="0"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Scientific supervisor: Dr. Komolkin A. V., </w:t>
      </w:r>
      <w:r>
        <w:rPr>
          <w:color w:val="000000"/>
          <w:sz w:val="24"/>
          <w:szCs w:val="24"/>
          <w:lang w:val="en-US"/>
        </w:rPr>
        <w:t>Department of Nuclear-Physical Research Methods</w:t>
      </w:r>
      <w:r>
        <w:rPr>
          <w:sz w:val="24"/>
          <w:szCs w:val="24"/>
          <w:lang w:val="en-US"/>
        </w:rPr>
        <w:t>, Faculty of Physics, Saint-Petersburg State University</w:t>
      </w:r>
    </w:p>
    <w:p>
      <w:pPr>
        <w:pStyle w:val="Abzac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/>
        <w:ind w:left="-567" w:right="141" w:firstLine="425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Introduction</w:t>
      </w:r>
    </w:p>
    <w:p>
      <w:pPr>
        <w:pStyle w:val="Normal"/>
        <w:ind w:left="-340" w:right="113" w:firstLine="3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Medical research shows that many anticancer, antiviral and antiseptic agents work by binding to DNA. This can damage the DNA of cancer cells and kill them [1]. </w:t>
      </w:r>
      <w:r>
        <w:rPr>
          <w:sz w:val="24"/>
          <w:szCs w:val="24"/>
          <w:lang w:val="en-US"/>
        </w:rPr>
        <w:t xml:space="preserve">The use of metal-based drugs with transition metals, like </w:t>
      </w:r>
      <w:r>
        <w:rPr>
          <w:color w:val="000000"/>
          <w:sz w:val="24"/>
          <w:szCs w:val="24"/>
          <w:lang w:val="en-US"/>
        </w:rPr>
        <w:t xml:space="preserve">Cu (II) or Zn (II), </w:t>
      </w:r>
      <w:r>
        <w:rPr>
          <w:sz w:val="24"/>
          <w:szCs w:val="24"/>
          <w:lang w:val="en-US"/>
        </w:rPr>
        <w:t>presents the most important strategy in the development of new anticancer and antimicrobial agents [2].</w:t>
      </w:r>
    </w:p>
    <w:p>
      <w:pPr>
        <w:pStyle w:val="Normal"/>
        <w:tabs>
          <w:tab w:val="clear" w:pos="709"/>
          <w:tab w:val="left" w:pos="114" w:leader="none"/>
        </w:tabs>
        <w:ind w:left="-340" w:right="113" w:firstLine="3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Selection of suitable Force Fields for Molecular Dynamics simulation of EDA-Cu</w:t>
      </w:r>
      <w:r>
        <w:rPr>
          <w:sz w:val="24"/>
          <w:szCs w:val="24"/>
          <w:vertAlign w:val="superscript"/>
          <w:lang w:val="en-US"/>
        </w:rPr>
        <w:t>2+</w:t>
      </w:r>
      <w:r>
        <w:rPr>
          <w:sz w:val="24"/>
          <w:szCs w:val="24"/>
          <w:lang w:val="en-US"/>
        </w:rPr>
        <w:t>·2Cl</w:t>
      </w:r>
      <w:r>
        <w:rPr>
          <w:sz w:val="24"/>
          <w:szCs w:val="24"/>
          <w:vertAlign w:val="superscript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  <w:lang w:val="en-US"/>
        </w:rPr>
        <w:t>and EDA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-Cu</w:t>
      </w:r>
      <w:r>
        <w:rPr>
          <w:sz w:val="24"/>
          <w:szCs w:val="24"/>
          <w:vertAlign w:val="superscript"/>
          <w:lang w:val="en-US"/>
        </w:rPr>
        <w:t>2+</w:t>
      </w:r>
      <w:r>
        <w:rPr>
          <w:sz w:val="24"/>
          <w:szCs w:val="24"/>
          <w:lang w:val="en-US"/>
        </w:rPr>
        <w:t>·2Cl</w:t>
      </w:r>
      <w:r>
        <w:rPr>
          <w:sz w:val="24"/>
          <w:szCs w:val="24"/>
          <w:vertAlign w:val="superscript"/>
          <w:lang w:val="en-US"/>
        </w:rPr>
        <w:t xml:space="preserve">– </w:t>
      </w:r>
      <w:r>
        <w:rPr>
          <w:sz w:val="24"/>
          <w:szCs w:val="24"/>
          <w:lang w:val="en-US"/>
        </w:rPr>
        <w:t xml:space="preserve">complexes </w:t>
      </w:r>
      <w:r>
        <w:rPr>
          <w:rFonts w:eastAsia="MyriadPro-Regular;Times New Roman"/>
          <w:color w:val="000000"/>
          <w:sz w:val="24"/>
          <w:szCs w:val="24"/>
          <w:lang w:val="en-US"/>
        </w:rPr>
        <w:t xml:space="preserve">in aqueous solution could be used in further research </w:t>
      </w:r>
      <w:r>
        <w:rPr>
          <w:rFonts w:eastAsia="MyriadPro-Regular;Times New Roman"/>
          <w:color w:val="000000"/>
          <w:sz w:val="24"/>
          <w:szCs w:val="24"/>
          <w:lang w:val="en"/>
        </w:rPr>
        <w:t>of anticancer drugs.</w:t>
      </w:r>
      <w:r>
        <w:rPr>
          <w:sz w:val="24"/>
          <w:szCs w:val="24"/>
          <w:lang w:val="en-US"/>
        </w:rPr>
        <w:t xml:space="preserve"> </w:t>
      </w:r>
    </w:p>
    <w:p>
      <w:pPr>
        <w:pStyle w:val="Normal"/>
        <w:ind w:left="-567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-567" w:right="141" w:firstLine="425"/>
        <w:jc w:val="both"/>
        <w:rPr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Simulation of </w:t>
      </w:r>
      <w:r>
        <w:rPr>
          <w:rFonts w:cs="Times New Roman"/>
          <w:b/>
          <w:bCs/>
          <w:sz w:val="24"/>
          <w:szCs w:val="24"/>
        </w:rPr>
        <w:t>[</w:t>
      </w:r>
      <w:r>
        <w:rPr>
          <w:rFonts w:cs="Times New Roman"/>
          <w:b/>
          <w:bCs/>
          <w:sz w:val="24"/>
          <w:szCs w:val="24"/>
          <w:lang w:val="en-US"/>
        </w:rPr>
        <w:t>EDA</w:t>
      </w:r>
      <w:r>
        <w:rPr>
          <w:rFonts w:cs="Times New Roman"/>
          <w:b/>
          <w:bCs/>
          <w:sz w:val="24"/>
          <w:szCs w:val="24"/>
          <w:vertAlign w:val="subscript"/>
        </w:rPr>
        <w:t>2</w:t>
      </w:r>
      <w:r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  <w:lang w:val="en-US"/>
        </w:rPr>
        <w:t>Cu</w:t>
      </w:r>
      <w:r>
        <w:rPr>
          <w:rFonts w:cs="Times New Roman"/>
          <w:b/>
          <w:bCs/>
          <w:sz w:val="24"/>
          <w:szCs w:val="24"/>
          <w:vertAlign w:val="superscript"/>
        </w:rPr>
        <w:t>2+</w:t>
      </w:r>
      <w:r>
        <w:rPr>
          <w:rFonts w:cs="Times New Roman"/>
          <w:b/>
          <w:bCs/>
          <w:sz w:val="24"/>
          <w:szCs w:val="24"/>
        </w:rPr>
        <w:t>]·2</w:t>
      </w:r>
      <w:r>
        <w:rPr>
          <w:rFonts w:cs="Times New Roman"/>
          <w:b/>
          <w:bCs/>
          <w:sz w:val="24"/>
          <w:szCs w:val="24"/>
          <w:lang w:val="en-US"/>
        </w:rPr>
        <w:t>Cl</w:t>
      </w:r>
      <w:r>
        <w:rPr>
          <w:rFonts w:cs="Times New Roman"/>
          <w:b/>
          <w:bCs/>
          <w:sz w:val="24"/>
          <w:szCs w:val="24"/>
          <w:vertAlign w:val="superscript"/>
        </w:rPr>
        <w:t>–</w:t>
      </w:r>
      <w:r>
        <w:rPr>
          <w:rFonts w:cs="Times New Roman"/>
          <w:b/>
          <w:bCs/>
          <w:position w:val="0"/>
          <w:sz w:val="24"/>
          <w:sz w:val="24"/>
          <w:szCs w:val="24"/>
          <w:vertAlign w:val="baseline"/>
          <w:lang w:val="en-US"/>
        </w:rPr>
        <w:t xml:space="preserve"> planar complex</w:t>
      </w:r>
      <w:r>
        <w:rPr>
          <w:rFonts w:cs="Times New Roman"/>
          <w:b/>
          <w:bCs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ind w:left="-567" w:right="141" w:firstLine="425"/>
        <w:jc w:val="both"/>
        <w:rPr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 xml:space="preserve">The Jmol program was used to create a model of the ethylenediamine (EDA) molecule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color w:val="202122"/>
          <w:sz w:val="24"/>
          <w:szCs w:val="24"/>
          <w:highlight w:val="white"/>
        </w:rPr>
        <w:t>H</w:t>
      </w:r>
      <w:r>
        <w:rPr>
          <w:rFonts w:cs="Times New Roman"/>
          <w:color w:val="202122"/>
          <w:sz w:val="24"/>
          <w:szCs w:val="24"/>
          <w:highlight w:val="white"/>
          <w:vertAlign w:val="subscript"/>
        </w:rPr>
        <w:t>2</w:t>
      </w:r>
      <w:r>
        <w:rPr>
          <w:rFonts w:cs="Times New Roman"/>
          <w:color w:val="202122"/>
          <w:sz w:val="24"/>
          <w:szCs w:val="24"/>
          <w:highlight w:val="white"/>
        </w:rPr>
        <w:t>NCH</w:t>
      </w:r>
      <w:r>
        <w:rPr>
          <w:rFonts w:cs="Times New Roman"/>
          <w:color w:val="202122"/>
          <w:sz w:val="24"/>
          <w:szCs w:val="24"/>
          <w:highlight w:val="white"/>
          <w:vertAlign w:val="subscript"/>
        </w:rPr>
        <w:t>2</w:t>
      </w:r>
      <w:r>
        <w:rPr>
          <w:rFonts w:cs="Times New Roman"/>
          <w:color w:val="202122"/>
          <w:sz w:val="24"/>
          <w:szCs w:val="24"/>
          <w:highlight w:val="white"/>
        </w:rPr>
        <w:t>CH</w:t>
      </w:r>
      <w:r>
        <w:rPr>
          <w:rFonts w:cs="Times New Roman"/>
          <w:color w:val="202122"/>
          <w:sz w:val="24"/>
          <w:szCs w:val="24"/>
          <w:highlight w:val="white"/>
          <w:vertAlign w:val="subscript"/>
        </w:rPr>
        <w:t>2</w:t>
      </w:r>
      <w:r>
        <w:rPr>
          <w:rFonts w:cs="Times New Roman"/>
          <w:color w:val="202122"/>
          <w:sz w:val="24"/>
          <w:szCs w:val="24"/>
          <w:highlight w:val="white"/>
        </w:rPr>
        <w:t>NH</w:t>
      </w:r>
      <w:r>
        <w:rPr>
          <w:rFonts w:cs="Times New Roman"/>
          <w:color w:val="202122"/>
          <w:sz w:val="24"/>
          <w:szCs w:val="24"/>
          <w:highlight w:val="white"/>
          <w:vertAlign w:val="subscript"/>
        </w:rPr>
        <w:t>2</w:t>
      </w:r>
      <w:r>
        <w:rPr>
          <w:rFonts w:cs="Times New Roman"/>
          <w:sz w:val="24"/>
          <w:szCs w:val="24"/>
        </w:rPr>
        <w:t>)  [</w:t>
      </w:r>
      <w:r>
        <w:rPr>
          <w:rFonts w:cs="Times New Roman"/>
          <w:sz w:val="24"/>
          <w:szCs w:val="24"/>
          <w:lang w:val="en-US"/>
        </w:rPr>
        <w:t>3</w:t>
      </w:r>
      <w:r>
        <w:rPr>
          <w:rFonts w:cs="Times New Roman"/>
          <w:sz w:val="24"/>
          <w:szCs w:val="24"/>
        </w:rPr>
        <w:t xml:space="preserve">]. </w:t>
      </w:r>
    </w:p>
    <w:p>
      <w:pPr>
        <w:pStyle w:val="Normal"/>
        <w:ind w:left="-567" w:right="141" w:firstLine="42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Force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Fields for Molecular Dynamics have been chosen for aqua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SPC</w:t>
      </w:r>
      <w:r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en-US"/>
        </w:rPr>
        <w:t>OPLS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AA</w:t>
      </w:r>
      <w:r>
        <w:rPr>
          <w:rFonts w:cs="Times New Roman"/>
          <w:sz w:val="24"/>
          <w:szCs w:val="24"/>
        </w:rPr>
        <w:t>) [</w:t>
      </w:r>
      <w:r>
        <w:rPr>
          <w:rFonts w:cs="Times New Roman"/>
          <w:sz w:val="24"/>
          <w:szCs w:val="24"/>
          <w:lang w:val="en-US"/>
        </w:rPr>
        <w:t>4</w:t>
      </w:r>
      <w:r>
        <w:rPr>
          <w:rFonts w:cs="Times New Roman"/>
          <w:sz w:val="24"/>
          <w:szCs w:val="24"/>
        </w:rPr>
        <w:t xml:space="preserve">], </w:t>
      </w:r>
      <w:r>
        <w:rPr>
          <w:rFonts w:cs="Times New Roman"/>
          <w:sz w:val="24"/>
          <w:szCs w:val="24"/>
          <w:lang w:val="en-US"/>
        </w:rPr>
        <w:t>for EDA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molecules and Cl</w:t>
      </w:r>
      <w:r>
        <w:rPr>
          <w:rFonts w:cs="Times New Roman"/>
          <w:sz w:val="24"/>
          <w:szCs w:val="24"/>
          <w:vertAlign w:val="superscript"/>
        </w:rPr>
        <w:t>–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 xml:space="preserve"> ions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  <w:lang w:val="en-US"/>
        </w:rPr>
        <w:t>OPLS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AA</w:t>
      </w:r>
      <w:r>
        <w:rPr>
          <w:rFonts w:cs="Times New Roman"/>
          <w:sz w:val="24"/>
          <w:szCs w:val="24"/>
        </w:rPr>
        <w:t xml:space="preserve">. CHARMM 27 </w:t>
      </w:r>
      <w:r>
        <w:rPr>
          <w:rFonts w:cs="Times New Roman"/>
          <w:sz w:val="24"/>
          <w:szCs w:val="24"/>
          <w:lang w:val="en-US"/>
        </w:rPr>
        <w:t>has been chosen for Cu</w:t>
      </w:r>
      <w:r>
        <w:rPr>
          <w:rFonts w:cs="Times New Roman"/>
          <w:sz w:val="24"/>
          <w:szCs w:val="24"/>
          <w:vertAlign w:val="superscript"/>
        </w:rPr>
        <w:t>2+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ion.</w:t>
      </w:r>
    </w:p>
    <w:p>
      <w:pPr>
        <w:pStyle w:val="Normal"/>
        <w:ind w:left="-567" w:right="141" w:firstLine="425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If molecules of EDA were placed in the same plane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en-US"/>
        </w:rPr>
        <w:t xml:space="preserve"> then they would start rotate</w:t>
      </w:r>
      <w:r>
        <w:rPr>
          <w:rFonts w:cs="Times New Roman"/>
          <w:sz w:val="24"/>
          <w:szCs w:val="24"/>
          <w:lang w:val="ru-RU"/>
        </w:rPr>
        <w:t xml:space="preserve">.  </w:t>
      </w:r>
      <w:r>
        <w:rPr>
          <w:rFonts w:cs="Times New Roman"/>
          <w:sz w:val="24"/>
          <w:szCs w:val="24"/>
          <w:lang w:val="en-US"/>
        </w:rPr>
        <w:t>It shown in figure</w:t>
      </w:r>
      <w:r>
        <w:rPr>
          <w:rFonts w:cs="Times New Roman"/>
          <w:sz w:val="24"/>
          <w:szCs w:val="24"/>
        </w:rPr>
        <w:t xml:space="preserve"> 8. </w:t>
      </w:r>
      <w:r>
        <w:rPr>
          <w:rFonts w:cs="Times New Roman"/>
          <w:sz w:val="24"/>
          <w:szCs w:val="24"/>
          <w:lang w:val="en-US"/>
        </w:rPr>
        <w:t xml:space="preserve">While modeling all EDA molecules one by one separated from the Cu2 + ion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fig. 2</w:t>
      </w:r>
      <w:r>
        <w:rPr>
          <w:rFonts w:cs="Times New Roman"/>
          <w:sz w:val="24"/>
          <w:szCs w:val="24"/>
        </w:rPr>
        <w:t xml:space="preserve">). </w:t>
      </w:r>
    </w:p>
    <w:p>
      <w:pPr>
        <w:pStyle w:val="Normal"/>
        <w:ind w:left="-567" w:right="141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72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33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511425" cy="2230755"/>
                  <wp:effectExtent l="0" t="0" r="0" b="0"/>
                  <wp:docPr id="1" name="Рисунок 13" descr="D:\1Lетопись\2к\Курсовая\Cu-2en-planar\Eda-002259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" descr="D:\1Lетопись\2к\Курсовая\Cu-2en-planar\Eda-002259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25894" t="0" r="27232" b="8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23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668905" cy="2223135"/>
                  <wp:effectExtent l="0" t="0" r="0" b="0"/>
                  <wp:docPr id="2" name="Изображение1" descr="D:\1Lетопись\2к\Курсовая\Cu-2en-planar\Eda-001659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D:\1Lетопись\2к\Курсовая\Cu-2en-planar\Eda-001659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3819" t="6225" r="2515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222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7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Fig.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Rotation of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EDA molecule around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Cu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en-US"/>
              </w:rPr>
              <w:t>ion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2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5333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92375" cy="2077720"/>
                  <wp:effectExtent l="0" t="0" r="0" b="0"/>
                  <wp:docPr id="3" name="Рисунок 15" descr="D:\1Lетопись\2к\Курсовая\Cu-2en-planar\отры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5" descr="D:\1Lетопись\2к\Курсовая\Cu-2en-planar\отры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6927" t="6615" r="27017" b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75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both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694940" cy="2064385"/>
                  <wp:effectExtent l="0" t="0" r="0" b="0"/>
                  <wp:docPr id="4" name="Рисунок 17" descr="D:\1Lетопись\2к\Курсовая\Cu-2en-planar\отры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7" descr="D:\1Lетопись\2к\Курсовая\Cu-2en-planar\отры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374" t="20229" r="34770" b="22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06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7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Fig. 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Separation of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EDA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molecules from Cu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en-US"/>
              </w:rPr>
              <w:t>ion</w:t>
            </w:r>
          </w:p>
        </w:tc>
      </w:tr>
    </w:tbl>
    <w:p>
      <w:pPr>
        <w:pStyle w:val="Normal"/>
        <w:spacing w:lineRule="auto" w:line="240"/>
        <w:ind w:left="-567" w:right="141" w:firstLine="42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There were 3 or 4 aqua molecules in a solvation shell of Cu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>ion in different moments. The number of molecules depends on the timing of simulation.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Therefore, it can vary within one molecule. </w:t>
      </w:r>
    </w:p>
    <w:p>
      <w:pPr>
        <w:pStyle w:val="Normal"/>
        <w:widowControl/>
        <w:overflowPunct w:val="false"/>
        <w:bidi w:val="0"/>
        <w:ind w:left="0" w:right="170" w:firstLine="567"/>
        <w:jc w:val="both"/>
        <w:rPr/>
      </w:pPr>
      <w:r>
        <w:rPr>
          <w:rFonts w:cs="Times New Roman"/>
          <w:sz w:val="24"/>
          <w:szCs w:val="24"/>
          <w:lang w:val="en-US"/>
        </w:rPr>
        <w:t>It can be seen in figures 1 and 2 that Cl</w:t>
      </w:r>
      <w:r>
        <w:rPr>
          <w:rFonts w:cs="Times New Roman"/>
          <w:sz w:val="24"/>
          <w:szCs w:val="24"/>
          <w:vertAlign w:val="superscript"/>
          <w:lang w:val="en-US"/>
        </w:rPr>
        <w:t>–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 xml:space="preserve"> ions did not included in solvation shell of Cu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 xml:space="preserve">ion.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They  formed 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solvent-separated ion-pair</w:t>
      </w:r>
      <w:r>
        <w:rPr>
          <w:rFonts w:cs="Times New Roman"/>
          <w:sz w:val="24"/>
          <w:szCs w:val="24"/>
        </w:rPr>
        <w:t xml:space="preserve">. </w:t>
      </w:r>
    </w:p>
    <w:p>
      <w:pPr>
        <w:pStyle w:val="Normal"/>
        <w:widowControl/>
        <w:overflowPunct w:val="false"/>
        <w:bidi w:val="0"/>
        <w:ind w:left="0" w:right="170" w:firstLine="567"/>
        <w:jc w:val="both"/>
        <w:rPr/>
      </w:pPr>
      <w:r>
        <w:rPr>
          <w:rFonts w:cs="Times New Roman"/>
          <w:sz w:val="24"/>
          <w:szCs w:val="24"/>
          <w:lang w:val="en-US"/>
        </w:rPr>
        <w:t>For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long-term simulation of complex, EDA molecules left it. And aqua molecules have taken their place. So, there were 7 aqua molecules surround Cu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 xml:space="preserve">ion. </w:t>
      </w:r>
    </w:p>
    <w:p>
      <w:pPr>
        <w:pStyle w:val="Normal"/>
        <w:ind w:left="-567" w:right="141" w:firstLine="425"/>
        <w:jc w:val="both"/>
        <w:rPr>
          <w:rFonts w:ascii="Times New Roman" w:hAnsi="Times New Roman" w:cs="Times New Roman"/>
          <w:position w:val="0"/>
          <w:sz w:val="24"/>
          <w:sz w:val="24"/>
          <w:szCs w:val="24"/>
          <w:vertAlign w:val="baseline"/>
          <w:lang w:val="en-US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cs="Times New Roman"/>
          <w:b/>
          <w:bCs/>
          <w:sz w:val="24"/>
          <w:szCs w:val="24"/>
          <w:lang w:val="en-US"/>
        </w:rPr>
        <w:t>Results</w:t>
      </w:r>
    </w:p>
    <w:p>
      <w:pPr>
        <w:pStyle w:val="Normal"/>
        <w:widowControl/>
        <w:overflowPunct w:val="false"/>
        <w:bidi w:val="0"/>
        <w:ind w:left="0" w:right="113" w:firstLine="567"/>
        <w:jc w:val="both"/>
        <w:rPr/>
      </w:pPr>
      <w:r>
        <w:rPr>
          <w:rFonts w:cs="Times New Roman"/>
          <w:sz w:val="24"/>
          <w:szCs w:val="24"/>
          <w:lang w:val="en-US"/>
        </w:rPr>
        <w:t>The obtained value of number of molecules in Cu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 xml:space="preserve">ion </w:t>
      </w:r>
      <w:r>
        <w:rPr>
          <w:rFonts w:cs="Times New Roman"/>
          <w:sz w:val="24"/>
          <w:szCs w:val="24"/>
          <w:lang w:val="en-US"/>
        </w:rPr>
        <w:t xml:space="preserve">solvation shell was not expected.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The expected value was 6 aqua molecules </w:t>
      </w:r>
      <w:r>
        <w:rPr>
          <w:rFonts w:cs="Times New Roman"/>
          <w:sz w:val="24"/>
          <w:szCs w:val="24"/>
        </w:rPr>
        <w:t>[</w:t>
      </w:r>
      <w:r>
        <w:rPr>
          <w:rFonts w:cs="Times New Roman"/>
          <w:sz w:val="24"/>
          <w:szCs w:val="24"/>
          <w:lang w:val="en-US"/>
        </w:rPr>
        <w:t>5</w:t>
      </w:r>
      <w:r>
        <w:rPr>
          <w:rFonts w:cs="Times New Roman"/>
          <w:sz w:val="24"/>
          <w:szCs w:val="24"/>
        </w:rPr>
        <w:t>].</w:t>
      </w:r>
      <w:r>
        <w:rPr>
          <w:rFonts w:cs="Times New Roman"/>
          <w:sz w:val="24"/>
          <w:szCs w:val="24"/>
          <w:lang w:val="en-US"/>
        </w:rPr>
        <w:t xml:space="preserve"> However, in simulation there were 7 or 8 aqua molecules, considering their mobility. </w:t>
      </w:r>
    </w:p>
    <w:p>
      <w:pPr>
        <w:pStyle w:val="Normal"/>
        <w:widowControl/>
        <w:tabs>
          <w:tab w:val="clear" w:pos="709"/>
          <w:tab w:val="left" w:pos="-289" w:leader="none"/>
        </w:tabs>
        <w:overflowPunct w:val="false"/>
        <w:bidi w:val="0"/>
        <w:ind w:left="0" w:right="113" w:firstLine="567"/>
        <w:jc w:val="both"/>
        <w:rPr/>
      </w:pPr>
      <w:r>
        <w:rPr>
          <w:rFonts w:cs="Times New Roman"/>
          <w:sz w:val="24"/>
          <w:szCs w:val="24"/>
          <w:lang w:val="en-US"/>
        </w:rPr>
        <w:t>For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long-term simulation of [EDA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-Cu</w:t>
      </w:r>
      <w:r>
        <w:rPr>
          <w:rFonts w:cs="Times New Roman"/>
          <w:sz w:val="24"/>
          <w:szCs w:val="24"/>
          <w:vertAlign w:val="superscript"/>
          <w:lang w:val="en-US"/>
        </w:rPr>
        <w:t>2+</w:t>
      </w:r>
      <w:r>
        <w:rPr>
          <w:rFonts w:cs="Times New Roman"/>
          <w:sz w:val="24"/>
          <w:szCs w:val="24"/>
          <w:lang w:val="en-US"/>
        </w:rPr>
        <w:t>] complex, EDA molecules left it. There was a dissociation of the complex. However, according to EPR research</w:t>
      </w:r>
      <w:r>
        <w:rPr>
          <w:rFonts w:cs="Times New Roman"/>
          <w:sz w:val="24"/>
          <w:szCs w:val="24"/>
        </w:rPr>
        <w:t xml:space="preserve"> [</w:t>
      </w:r>
      <w:r>
        <w:rPr>
          <w:rFonts w:cs="Times New Roman"/>
          <w:sz w:val="24"/>
          <w:szCs w:val="24"/>
          <w:lang w:val="en-US"/>
        </w:rPr>
        <w:t>6</w:t>
      </w:r>
      <w:r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  <w:lang w:val="en-US"/>
        </w:rPr>
        <w:t xml:space="preserve"> Cu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 xml:space="preserve">ion </w:t>
      </w:r>
      <w:r>
        <w:rPr>
          <w:rFonts w:cs="Times New Roman"/>
          <w:sz w:val="24"/>
          <w:szCs w:val="24"/>
          <w:lang w:val="en-US"/>
        </w:rPr>
        <w:t>solvation shell contains nitrogen atoms.</w:t>
      </w:r>
    </w:p>
    <w:p>
      <w:pPr>
        <w:pStyle w:val="Normal"/>
        <w:widowControl/>
        <w:tabs>
          <w:tab w:val="clear" w:pos="709"/>
          <w:tab w:val="left" w:pos="183" w:leader="none"/>
        </w:tabs>
        <w:overflowPunct w:val="false"/>
        <w:bidi w:val="0"/>
        <w:ind w:left="0" w:right="170" w:firstLine="567"/>
        <w:jc w:val="both"/>
        <w:rPr/>
      </w:pPr>
      <w:r>
        <w:rPr>
          <w:rFonts w:cs="Times New Roman"/>
          <w:sz w:val="24"/>
          <w:szCs w:val="24"/>
          <w:lang w:val="en-US"/>
        </w:rPr>
        <w:t>This can be explained by the choice of Molecular Dynamics parameters of Cu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2+ </w:t>
      </w:r>
      <w:r>
        <w:rPr>
          <w:rFonts w:cs="Times New Roman"/>
          <w:position w:val="0"/>
          <w:sz w:val="24"/>
          <w:sz w:val="24"/>
          <w:szCs w:val="24"/>
          <w:vertAlign w:val="baseline"/>
          <w:lang w:val="en-US"/>
        </w:rPr>
        <w:t>ion</w:t>
      </w:r>
      <w:r>
        <w:rPr>
          <w:rFonts w:cs="Times New Roman"/>
          <w:sz w:val="24"/>
          <w:szCs w:val="24"/>
          <w:lang w:val="en-US"/>
        </w:rPr>
        <w:t>. The selected parameters are probably not suitable for this complex.</w:t>
      </w:r>
    </w:p>
    <w:p>
      <w:pPr>
        <w:pStyle w:val="Normal"/>
        <w:ind w:left="-567" w:righ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-567" w:right="142" w:firstLine="425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References</w:t>
      </w:r>
      <w:r>
        <w:rPr>
          <w:rFonts w:cs="Times New Roman"/>
          <w:sz w:val="24"/>
          <w:szCs w:val="24"/>
        </w:rPr>
        <w:t>: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left="360" w:right="142" w:hanging="36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N. Raman, A. Selvan, S. Sudharsan. Metallation of ethylenediamine based Schiff base with biologically active Cu(II), Ni(II) and Zn(II) ions: Synthesis, spectroscopic characterization, electrochemical behaviour, DNA binding, photonuclease activity and in vitro antimicrobial efficacy // Spectrochimica Acta Part A: Molecular and Biomolecular Spectroscopy. V. 79. No 5. September 2011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P. 873-883.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left="360" w:right="142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J.G. Liu, B.H. Ye, H. Li, Q.X. Zhen, L.N. Ji, Y.H. Fu. Polypyridyl ruthenium (II) complexes containing intramolecular hydrogen-bond ligand: syntheses, characterization, and DNA-binding properties // J. Inorg. Biochem. 1999. V. 76 No. 3. P. 265–271.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left="360" w:right="142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Jmol: an open-source browser-based HTML5 viewer and stand-alone Java viewer for chemical structures in 3D. URL: http://jmol.sourceforge.net/ (accessed 07.05.2020).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left="360" w:right="142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William L. Jorgensen Research Group — OPLS-AA. URL: http://zarbi.chem.yale.edu/oplsaam.html (accessed 07.05.2020).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left="360" w:right="142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Vyacheslav S. Bryantsev, Mamadou S. Diallo, Adri C. T. van Duin, and William A. Goddard III. Hydration of Copper (II): New Insights from Density Functional Theory and the COSMO Solvation Model  // J. Phys. Chem. 2008. V. 112. P. 9104–9112.</w:t>
      </w:r>
    </w:p>
    <w:p>
      <w:pPr>
        <w:pStyle w:val="Style21"/>
        <w:numPr>
          <w:ilvl w:val="0"/>
          <w:numId w:val="0"/>
        </w:numPr>
        <w:spacing w:lineRule="auto" w:line="240" w:before="0" w:after="0"/>
        <w:ind w:left="360" w:right="142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1"/>
        </w:numPr>
        <w:spacing w:lineRule="auto" w:line="240" w:before="0" w:after="0"/>
        <w:ind w:left="360" w:right="142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E. Selimović1, A. V. Komolkin, A. V. Egorov, T. Soldatović. The ligand substitution reactions of [CuCl2(terpy)] and [CuCl2(en)] complexes with bioligands by EPR spectroscopy // Conf. </w:t>
      </w:r>
      <w:r>
        <w:rPr>
          <w:rFonts w:cs="Times New Roman" w:ascii="Times New Roman" w:hAnsi="Times New Roman"/>
          <w:sz w:val="24"/>
          <w:szCs w:val="24"/>
        </w:rPr>
        <w:t>Спектроскопия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координационных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соединений</w:t>
      </w:r>
      <w:r>
        <w:rPr>
          <w:rFonts w:cs="Times New Roman" w:ascii="Times New Roman" w:hAnsi="Times New Roman"/>
          <w:sz w:val="24"/>
          <w:szCs w:val="24"/>
          <w:lang w:val="en-US"/>
        </w:rPr>
        <w:t>. 2017.</w:t>
      </w:r>
    </w:p>
    <w:sectPr>
      <w:type w:val="nextPage"/>
      <w:pgSz w:w="11906" w:h="16838"/>
      <w:pgMar w:left="1191" w:right="11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  <w:rFonts w:ascii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18">
    <w:name w:val="ListLabel 18"/>
    <w:qFormat/>
    <w:rPr>
      <w:rFonts w:ascii="Times New Roman" w:hAnsi="Times New Roman" w:cs="Times New Roman"/>
      <w:iCs/>
      <w:color w:val="auto"/>
      <w:sz w:val="26"/>
      <w:szCs w:val="26"/>
      <w:u w:val="none"/>
    </w:rPr>
  </w:style>
  <w:style w:type="character" w:styleId="Style15">
    <w:name w:val="Посещённая гиперссылка"/>
    <w:rPr>
      <w:rFonts w:cs="Times New Roman"/>
      <w:color w:val="800080"/>
      <w:u w:val="single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  <w:lang w:val="en-US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0"/>
      <w:lang w:val="en-US"/>
    </w:rPr>
  </w:style>
  <w:style w:type="character" w:styleId="ListLabel20">
    <w:name w:val="ListLabel 20"/>
    <w:qFormat/>
    <w:rPr>
      <w:sz w:val="24"/>
      <w:szCs w:val="24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bzac">
    <w:name w:val="abzac"/>
    <w:next w:val="Lit"/>
    <w:qFormat/>
    <w:pPr>
      <w:widowControl/>
      <w:suppressAutoHyphens w:val="true"/>
      <w:overflowPunct w:val="false"/>
      <w:bidi w:val="0"/>
      <w:ind w:left="0" w:right="0" w:firstLine="284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Nauchruk">
    <w:name w:val="Nauch ruk"/>
    <w:next w:val="Abzac"/>
    <w:qFormat/>
    <w:pPr>
      <w:keepNext w:val="true"/>
      <w:widowControl/>
      <w:suppressAutoHyphens w:val="true"/>
      <w:overflowPunct w:val="false"/>
      <w:bidi w:val="0"/>
      <w:spacing w:before="200" w:after="100"/>
      <w:ind w:left="567" w:right="567" w:hanging="0"/>
      <w:jc w:val="both"/>
    </w:pPr>
    <w:rPr>
      <w:rFonts w:ascii="Times New Roman" w:hAnsi="Times New Roman" w:eastAsia="Times New Roman" w:cs="Times New Roman"/>
      <w:b/>
      <w:bCs/>
      <w:i/>
      <w:iCs/>
      <w:color w:val="auto"/>
      <w:kern w:val="2"/>
      <w:sz w:val="20"/>
      <w:szCs w:val="20"/>
      <w:lang w:val="ru-RU" w:eastAsia="zh-CN" w:bidi="ar-SA"/>
    </w:rPr>
  </w:style>
  <w:style w:type="paragraph" w:styleId="Lit">
    <w:name w:val="lit"/>
    <w:basedOn w:val="Nauchruk"/>
    <w:next w:val="Textlit"/>
    <w:qFormat/>
    <w:pPr>
      <w:spacing w:before="0" w:after="0"/>
      <w:ind w:left="0" w:right="0" w:hanging="0"/>
      <w:jc w:val="center"/>
    </w:pPr>
    <w:rPr>
      <w:i w:val="false"/>
      <w:iCs w:val="false"/>
    </w:rPr>
  </w:style>
  <w:style w:type="paragraph" w:styleId="Textlit">
    <w:name w:val="text lit"/>
    <w:basedOn w:val="Abzac"/>
    <w:qFormat/>
    <w:pPr>
      <w:ind w:left="0" w:right="0" w:hanging="0"/>
    </w:pPr>
    <w:rPr/>
  </w:style>
  <w:style w:type="paragraph" w:styleId="Zagolovtez">
    <w:name w:val="zagolov tez"/>
    <w:basedOn w:val="Normal"/>
    <w:next w:val="Avtor"/>
    <w:qFormat/>
    <w:pPr>
      <w:suppressAutoHyphens w:val="true"/>
      <w:spacing w:lineRule="exact" w:line="200" w:before="100" w:after="100"/>
      <w:ind w:left="567" w:right="567" w:hanging="0"/>
      <w:jc w:val="center"/>
    </w:pPr>
    <w:rPr>
      <w:b/>
      <w:bCs/>
      <w:sz w:val="22"/>
      <w:szCs w:val="22"/>
    </w:rPr>
  </w:style>
  <w:style w:type="paragraph" w:styleId="Avtor">
    <w:name w:val="avtor"/>
    <w:basedOn w:val="Zagolovtez"/>
    <w:next w:val="Email"/>
    <w:qFormat/>
    <w:pPr>
      <w:spacing w:before="200" w:after="0"/>
    </w:pPr>
    <w:rPr>
      <w:b w:val="false"/>
      <w:bCs w:val="false"/>
      <w:sz w:val="20"/>
      <w:szCs w:val="20"/>
    </w:rPr>
  </w:style>
  <w:style w:type="paragraph" w:styleId="Email">
    <w:name w:val="e-mail"/>
    <w:basedOn w:val="Avtor"/>
    <w:next w:val="Nauchruk"/>
    <w:qFormat/>
    <w:pPr>
      <w:spacing w:before="0" w:after="0"/>
    </w:pPr>
    <w:rPr>
      <w:i/>
      <w:iCs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787" w:leader="none"/>
        <w:tab w:val="right" w:pos="9575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efir2000@gmail.com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Neat_Office/6.2.8.2$Windows_x86 LibreOffice_project/</Application>
  <Pages>2</Pages>
  <Words>590</Words>
  <Characters>3323</Characters>
  <CharactersWithSpaces>3897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2020-10-04T14:14:30Z</dcterms:created>
  <dc:creator/>
  <dc:description/>
  <dc:language>ru-RU</dc:language>
  <cp:lastModifiedBy/>
  <dcterms:modified xsi:type="dcterms:W3CDTF">2021-06-02T14:37:49Z</dcterms:modified>
  <cp:revision>22</cp:revision>
  <dc:subject/>
  <dc:title/>
</cp:coreProperties>
</file>