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BC89C" w14:textId="07C1EE1D" w:rsidR="00557515" w:rsidRPr="00712FAD" w:rsidRDefault="00557515" w:rsidP="00557515">
      <w:pPr>
        <w:spacing w:after="0" w:line="240" w:lineRule="auto"/>
        <w:jc w:val="right"/>
        <w:rPr>
          <w:rFonts w:ascii="Times New Roman" w:eastAsia="MS Mincho" w:hAnsi="Times New Roman" w:cs="Times New Roman"/>
          <w:b/>
          <w:bCs/>
          <w:i/>
          <w:sz w:val="24"/>
          <w:szCs w:val="24"/>
          <w:lang w:eastAsia="ru-RU"/>
        </w:rPr>
      </w:pPr>
      <w:r w:rsidRPr="00712FAD">
        <w:rPr>
          <w:rFonts w:ascii="Times New Roman" w:eastAsia="MS Mincho" w:hAnsi="Times New Roman" w:cs="Times New Roman"/>
          <w:b/>
          <w:bCs/>
          <w:i/>
          <w:sz w:val="24"/>
          <w:szCs w:val="24"/>
          <w:lang w:eastAsia="ru-RU"/>
        </w:rPr>
        <w:t>Ирина Ростиславовна Тулякова,</w:t>
      </w:r>
    </w:p>
    <w:p w14:paraId="35D8817D" w14:textId="4F7ED3F4" w:rsidR="00557515" w:rsidRPr="00712FAD" w:rsidRDefault="00557515" w:rsidP="00557515">
      <w:pPr>
        <w:spacing w:after="0" w:line="240" w:lineRule="auto"/>
        <w:jc w:val="right"/>
        <w:rPr>
          <w:rFonts w:ascii="Times New Roman" w:eastAsia="MS Mincho" w:hAnsi="Times New Roman" w:cs="Times New Roman"/>
          <w:b/>
          <w:bCs/>
          <w:i/>
          <w:sz w:val="24"/>
          <w:szCs w:val="24"/>
          <w:lang w:eastAsia="ru-RU"/>
        </w:rPr>
      </w:pPr>
      <w:r w:rsidRPr="00712FAD">
        <w:rPr>
          <w:rFonts w:ascii="Times New Roman" w:eastAsia="MS Mincho" w:hAnsi="Times New Roman" w:cs="Times New Roman"/>
          <w:b/>
          <w:bCs/>
          <w:i/>
          <w:sz w:val="24"/>
          <w:szCs w:val="24"/>
          <w:lang w:eastAsia="ru-RU"/>
        </w:rPr>
        <w:t xml:space="preserve">Виктор Вениаминович </w:t>
      </w:r>
      <w:proofErr w:type="spellStart"/>
      <w:r w:rsidRPr="00712FAD">
        <w:rPr>
          <w:rFonts w:ascii="Times New Roman" w:eastAsia="MS Mincho" w:hAnsi="Times New Roman" w:cs="Times New Roman"/>
          <w:b/>
          <w:bCs/>
          <w:i/>
          <w:sz w:val="24"/>
          <w:szCs w:val="24"/>
          <w:lang w:eastAsia="ru-RU"/>
        </w:rPr>
        <w:t>Деньгов</w:t>
      </w:r>
      <w:proofErr w:type="spellEnd"/>
    </w:p>
    <w:p w14:paraId="713DCD92" w14:textId="33BE0C54" w:rsidR="00557515" w:rsidRPr="00712FAD" w:rsidRDefault="00557515" w:rsidP="00557515">
      <w:pPr>
        <w:spacing w:after="0" w:line="240" w:lineRule="auto"/>
        <w:jc w:val="right"/>
        <w:rPr>
          <w:rFonts w:ascii="Times New Roman" w:eastAsia="MS Mincho" w:hAnsi="Times New Roman" w:cs="Times New Roman"/>
          <w:i/>
          <w:sz w:val="24"/>
          <w:szCs w:val="24"/>
          <w:lang w:eastAsia="ru-RU"/>
        </w:rPr>
      </w:pPr>
      <w:r w:rsidRPr="00712FAD">
        <w:rPr>
          <w:rFonts w:ascii="Times New Roman" w:eastAsia="MS Mincho" w:hAnsi="Times New Roman" w:cs="Times New Roman"/>
          <w:i/>
          <w:sz w:val="24"/>
          <w:szCs w:val="24"/>
          <w:lang w:eastAsia="ru-RU"/>
        </w:rPr>
        <w:t>Санкт-Петербургский государственный университет,</w:t>
      </w:r>
    </w:p>
    <w:p w14:paraId="6B045538" w14:textId="67395650" w:rsidR="00557515" w:rsidRPr="00712FAD" w:rsidRDefault="00557515" w:rsidP="00557515">
      <w:pPr>
        <w:spacing w:after="0" w:line="240" w:lineRule="auto"/>
        <w:ind w:right="-8"/>
        <w:jc w:val="right"/>
        <w:rPr>
          <w:rFonts w:ascii="Times New Roman" w:eastAsia="MS Mincho" w:hAnsi="Times New Roman" w:cs="Times New Roman"/>
          <w:i/>
          <w:sz w:val="24"/>
          <w:szCs w:val="24"/>
          <w:lang w:eastAsia="ru-RU"/>
        </w:rPr>
      </w:pPr>
      <w:r w:rsidRPr="00712FAD">
        <w:rPr>
          <w:rFonts w:ascii="Times New Roman" w:eastAsia="MS Mincho" w:hAnsi="Times New Roman" w:cs="Times New Roman"/>
          <w:i/>
          <w:sz w:val="24"/>
          <w:szCs w:val="24"/>
          <w:lang w:eastAsia="ru-RU"/>
        </w:rPr>
        <w:t>Российская Федерация, 199034, Санкт-Петербург, Университетская наб., 7–9</w:t>
      </w:r>
    </w:p>
    <w:p w14:paraId="1DB138CB" w14:textId="77777777" w:rsidR="00441283" w:rsidRPr="00712FAD" w:rsidRDefault="00441283" w:rsidP="00557515">
      <w:pPr>
        <w:spacing w:after="0" w:line="240" w:lineRule="auto"/>
        <w:ind w:right="-8"/>
        <w:jc w:val="right"/>
        <w:rPr>
          <w:rFonts w:ascii="Times New Roman" w:eastAsia="MS Mincho" w:hAnsi="Times New Roman" w:cs="Times New Roman"/>
          <w:i/>
          <w:sz w:val="24"/>
          <w:szCs w:val="24"/>
          <w:lang w:eastAsia="ru-RU"/>
        </w:rPr>
      </w:pPr>
    </w:p>
    <w:p w14:paraId="4C967CEE" w14:textId="3E47487E" w:rsidR="00557515" w:rsidRPr="00712FAD" w:rsidRDefault="00441283" w:rsidP="002B42F7">
      <w:pPr>
        <w:spacing w:after="0" w:line="360" w:lineRule="auto"/>
        <w:jc w:val="center"/>
        <w:rPr>
          <w:rFonts w:ascii="Times New Roman" w:hAnsi="Times New Roman" w:cs="Times New Roman"/>
          <w:b/>
          <w:bCs/>
          <w:spacing w:val="-4"/>
          <w:sz w:val="24"/>
          <w:szCs w:val="24"/>
        </w:rPr>
      </w:pPr>
      <w:r w:rsidRPr="00712FAD">
        <w:rPr>
          <w:rFonts w:ascii="Times New Roman" w:hAnsi="Times New Roman" w:cs="Times New Roman"/>
          <w:b/>
          <w:bCs/>
          <w:spacing w:val="-4"/>
          <w:sz w:val="24"/>
          <w:szCs w:val="24"/>
        </w:rPr>
        <w:t>Позиции р</w:t>
      </w:r>
      <w:r w:rsidR="00557515" w:rsidRPr="00712FAD">
        <w:rPr>
          <w:rFonts w:ascii="Times New Roman" w:hAnsi="Times New Roman" w:cs="Times New Roman"/>
          <w:b/>
          <w:bCs/>
          <w:spacing w:val="-4"/>
          <w:sz w:val="24"/>
          <w:szCs w:val="24"/>
        </w:rPr>
        <w:t>оссийско</w:t>
      </w:r>
      <w:r w:rsidRPr="00712FAD">
        <w:rPr>
          <w:rFonts w:ascii="Times New Roman" w:hAnsi="Times New Roman" w:cs="Times New Roman"/>
          <w:b/>
          <w:bCs/>
          <w:spacing w:val="-4"/>
          <w:sz w:val="24"/>
          <w:szCs w:val="24"/>
        </w:rPr>
        <w:t>го</w:t>
      </w:r>
      <w:r w:rsidR="00557515" w:rsidRPr="00712FAD">
        <w:rPr>
          <w:rFonts w:ascii="Times New Roman" w:hAnsi="Times New Roman" w:cs="Times New Roman"/>
          <w:b/>
          <w:bCs/>
          <w:spacing w:val="-4"/>
          <w:sz w:val="24"/>
          <w:szCs w:val="24"/>
        </w:rPr>
        <w:t xml:space="preserve"> </w:t>
      </w:r>
      <w:r w:rsidR="003E16E6" w:rsidRPr="00712FAD">
        <w:rPr>
          <w:rFonts w:ascii="Times New Roman" w:hAnsi="Times New Roman" w:cs="Times New Roman"/>
          <w:b/>
          <w:bCs/>
          <w:spacing w:val="-4"/>
          <w:sz w:val="24"/>
          <w:szCs w:val="24"/>
        </w:rPr>
        <w:t xml:space="preserve">военного </w:t>
      </w:r>
      <w:r w:rsidR="00557515" w:rsidRPr="00712FAD">
        <w:rPr>
          <w:rFonts w:ascii="Times New Roman" w:hAnsi="Times New Roman" w:cs="Times New Roman"/>
          <w:b/>
          <w:bCs/>
          <w:spacing w:val="-4"/>
          <w:sz w:val="24"/>
          <w:szCs w:val="24"/>
        </w:rPr>
        <w:t>судостроени</w:t>
      </w:r>
      <w:r w:rsidRPr="00712FAD">
        <w:rPr>
          <w:rFonts w:ascii="Times New Roman" w:hAnsi="Times New Roman" w:cs="Times New Roman"/>
          <w:b/>
          <w:bCs/>
          <w:spacing w:val="-4"/>
          <w:sz w:val="24"/>
          <w:szCs w:val="24"/>
        </w:rPr>
        <w:t>я</w:t>
      </w:r>
      <w:r w:rsidR="00557515" w:rsidRPr="00712FAD">
        <w:rPr>
          <w:rFonts w:ascii="Times New Roman" w:hAnsi="Times New Roman" w:cs="Times New Roman"/>
          <w:b/>
          <w:bCs/>
          <w:spacing w:val="-4"/>
          <w:sz w:val="24"/>
          <w:szCs w:val="24"/>
        </w:rPr>
        <w:t xml:space="preserve"> на мировых рынках</w:t>
      </w:r>
    </w:p>
    <w:p w14:paraId="7C568560" w14:textId="310B83B9" w:rsidR="003E16E6" w:rsidRPr="00712FAD" w:rsidRDefault="00441283" w:rsidP="003E16E6">
      <w:pPr>
        <w:spacing w:after="0" w:line="360" w:lineRule="auto"/>
        <w:jc w:val="both"/>
        <w:rPr>
          <w:rFonts w:ascii="Times New Roman" w:hAnsi="Times New Roman" w:cs="Times New Roman"/>
          <w:sz w:val="24"/>
          <w:szCs w:val="24"/>
        </w:rPr>
      </w:pPr>
      <w:r w:rsidRPr="00712FAD">
        <w:rPr>
          <w:rFonts w:ascii="Times New Roman" w:hAnsi="Times New Roman" w:cs="Times New Roman"/>
          <w:b/>
          <w:bCs/>
          <w:spacing w:val="-4"/>
          <w:sz w:val="24"/>
          <w:szCs w:val="24"/>
        </w:rPr>
        <w:t>Аннотация</w:t>
      </w:r>
      <w:r w:rsidR="00712FAD">
        <w:rPr>
          <w:rFonts w:ascii="Times New Roman" w:hAnsi="Times New Roman" w:cs="Times New Roman"/>
          <w:b/>
          <w:bCs/>
          <w:spacing w:val="-4"/>
          <w:sz w:val="24"/>
          <w:szCs w:val="24"/>
        </w:rPr>
        <w:t xml:space="preserve"> </w:t>
      </w:r>
      <w:r w:rsidR="003E16E6" w:rsidRPr="00712FAD">
        <w:rPr>
          <w:rFonts w:ascii="Times New Roman" w:hAnsi="Times New Roman" w:cs="Times New Roman"/>
          <w:sz w:val="24"/>
          <w:szCs w:val="24"/>
        </w:rPr>
        <w:t>Основная цель исследования - проанализировать текущее состояние рынка военно-морской техники, позиции его основных участников и, особенно, России. Для определения дальнейших перспектив присутствия России на этом рынке необходимо было выявить основные проблемы российского судостроения и учесть влияние внешних факторов на состояние отрасли. Полученные в результате исследования выводы основаны на обработке и систематизации данных, полученных из открытых источников информации. Анализируя статистику, авторы смогли вывести тенденции текущего момента и определить перспективы. Анализ ключевых показателей рынка, а также проблем российского судостроения позволил авторам построить возможные сценарии его дальнейшего развития - от оптимистичного при благоприятных внешних факторах до пессимистического, при котором потеря не только военной безопасности, но и положение крупнейшего экспортера на мировом рынке военно-морской техники и военных кораблей неизбежно.</w:t>
      </w:r>
    </w:p>
    <w:p w14:paraId="5FCBE0D2" w14:textId="4645BA40" w:rsidR="00441283" w:rsidRPr="00712FAD" w:rsidRDefault="003E16E6" w:rsidP="00441283">
      <w:pPr>
        <w:spacing w:after="0" w:line="360" w:lineRule="auto"/>
        <w:jc w:val="both"/>
        <w:rPr>
          <w:rFonts w:ascii="Times New Roman" w:eastAsia="MS Mincho" w:hAnsi="Times New Roman" w:cs="Times New Roman"/>
          <w:bCs/>
          <w:sz w:val="24"/>
          <w:szCs w:val="24"/>
          <w:lang w:eastAsia="ru-RU"/>
        </w:rPr>
      </w:pPr>
      <w:r w:rsidRPr="00712FAD">
        <w:rPr>
          <w:rFonts w:ascii="Times New Roman" w:eastAsia="MS Mincho" w:hAnsi="Times New Roman" w:cs="Times New Roman"/>
          <w:b/>
          <w:sz w:val="24"/>
          <w:szCs w:val="24"/>
          <w:lang w:eastAsia="ru-RU"/>
        </w:rPr>
        <w:t xml:space="preserve">Ключевые слова: </w:t>
      </w:r>
      <w:r w:rsidRPr="00712FAD">
        <w:rPr>
          <w:rFonts w:ascii="Times New Roman" w:eastAsia="MS Mincho" w:hAnsi="Times New Roman" w:cs="Times New Roman"/>
          <w:bCs/>
          <w:sz w:val="24"/>
          <w:szCs w:val="24"/>
          <w:lang w:eastAsia="ru-RU"/>
        </w:rPr>
        <w:t>военное судостроение; рынки ВМТ; российский экспорт</w:t>
      </w:r>
    </w:p>
    <w:p w14:paraId="673A35D0" w14:textId="3E16303F" w:rsidR="003E16E6" w:rsidRPr="00712FAD" w:rsidRDefault="003E16E6" w:rsidP="003E16E6">
      <w:pPr>
        <w:spacing w:after="0" w:line="240" w:lineRule="auto"/>
        <w:jc w:val="right"/>
        <w:rPr>
          <w:rFonts w:ascii="Times New Roman" w:eastAsia="MS Mincho" w:hAnsi="Times New Roman" w:cs="Times New Roman"/>
          <w:b/>
          <w:i/>
          <w:sz w:val="24"/>
          <w:szCs w:val="24"/>
          <w:lang w:val="en-US" w:eastAsia="ru-RU"/>
        </w:rPr>
      </w:pPr>
      <w:r w:rsidRPr="00712FAD">
        <w:rPr>
          <w:rFonts w:ascii="Times New Roman" w:eastAsia="MS Mincho" w:hAnsi="Times New Roman" w:cs="Times New Roman"/>
          <w:b/>
          <w:i/>
          <w:sz w:val="24"/>
          <w:szCs w:val="24"/>
          <w:lang w:val="en-US" w:eastAsia="ru-RU"/>
        </w:rPr>
        <w:t xml:space="preserve">Irina R. </w:t>
      </w:r>
      <w:proofErr w:type="spellStart"/>
      <w:r w:rsidRPr="00712FAD">
        <w:rPr>
          <w:rFonts w:ascii="Times New Roman" w:eastAsia="MS Mincho" w:hAnsi="Times New Roman" w:cs="Times New Roman"/>
          <w:b/>
          <w:i/>
          <w:sz w:val="24"/>
          <w:szCs w:val="24"/>
          <w:lang w:val="en-US" w:eastAsia="ru-RU"/>
        </w:rPr>
        <w:t>Tulyakova</w:t>
      </w:r>
      <w:proofErr w:type="spellEnd"/>
      <w:r w:rsidRPr="00712FAD">
        <w:rPr>
          <w:rFonts w:ascii="Times New Roman" w:eastAsia="MS Mincho" w:hAnsi="Times New Roman" w:cs="Times New Roman"/>
          <w:b/>
          <w:i/>
          <w:sz w:val="24"/>
          <w:szCs w:val="24"/>
          <w:lang w:val="en-US" w:eastAsia="ru-RU"/>
        </w:rPr>
        <w:t>, Victor V. Dengov</w:t>
      </w:r>
    </w:p>
    <w:p w14:paraId="3F2F6054" w14:textId="77777777" w:rsidR="003E16E6" w:rsidRPr="00712FAD" w:rsidRDefault="003E16E6" w:rsidP="003E16E6">
      <w:pPr>
        <w:spacing w:after="0" w:line="240" w:lineRule="auto"/>
        <w:jc w:val="right"/>
        <w:rPr>
          <w:rFonts w:ascii="Times New Roman" w:eastAsia="MS Mincho" w:hAnsi="Times New Roman" w:cs="Times New Roman"/>
          <w:i/>
          <w:sz w:val="24"/>
          <w:szCs w:val="24"/>
          <w:lang w:val="en-US" w:eastAsia="ru-RU"/>
        </w:rPr>
      </w:pPr>
      <w:r w:rsidRPr="00712FAD">
        <w:rPr>
          <w:rFonts w:ascii="Times New Roman" w:eastAsia="MS Mincho" w:hAnsi="Times New Roman" w:cs="Times New Roman"/>
          <w:i/>
          <w:sz w:val="24"/>
          <w:szCs w:val="24"/>
          <w:lang w:val="en-US" w:eastAsia="ru-RU"/>
        </w:rPr>
        <w:t xml:space="preserve">St Petersburg University, 7–9, </w:t>
      </w:r>
      <w:proofErr w:type="spellStart"/>
      <w:r w:rsidRPr="00712FAD">
        <w:rPr>
          <w:rFonts w:ascii="Times New Roman" w:eastAsia="MS Mincho" w:hAnsi="Times New Roman" w:cs="Times New Roman"/>
          <w:i/>
          <w:sz w:val="24"/>
          <w:szCs w:val="24"/>
          <w:lang w:val="en-US" w:eastAsia="ru-RU"/>
        </w:rPr>
        <w:t>Universitetskaya</w:t>
      </w:r>
      <w:proofErr w:type="spellEnd"/>
      <w:r w:rsidRPr="00712FAD">
        <w:rPr>
          <w:rFonts w:ascii="Times New Roman" w:eastAsia="MS Mincho" w:hAnsi="Times New Roman" w:cs="Times New Roman"/>
          <w:i/>
          <w:sz w:val="24"/>
          <w:szCs w:val="24"/>
          <w:lang w:val="en-US" w:eastAsia="ru-RU"/>
        </w:rPr>
        <w:t xml:space="preserve"> nab., St Petersburg, 199034,</w:t>
      </w:r>
    </w:p>
    <w:p w14:paraId="7C06FD3E" w14:textId="3C20F407" w:rsidR="003E16E6" w:rsidRPr="00712FAD" w:rsidRDefault="003E16E6" w:rsidP="003E16E6">
      <w:pPr>
        <w:spacing w:after="0" w:line="360" w:lineRule="auto"/>
        <w:jc w:val="right"/>
        <w:rPr>
          <w:rFonts w:ascii="Times New Roman" w:eastAsia="MS Mincho" w:hAnsi="Times New Roman" w:cs="Times New Roman"/>
          <w:i/>
          <w:sz w:val="24"/>
          <w:szCs w:val="24"/>
          <w:lang w:val="en-US" w:eastAsia="ru-RU"/>
        </w:rPr>
      </w:pPr>
      <w:r w:rsidRPr="00712FAD">
        <w:rPr>
          <w:rFonts w:ascii="Times New Roman" w:eastAsia="MS Mincho" w:hAnsi="Times New Roman" w:cs="Times New Roman"/>
          <w:i/>
          <w:sz w:val="24"/>
          <w:szCs w:val="24"/>
          <w:lang w:val="en-US" w:eastAsia="ru-RU"/>
        </w:rPr>
        <w:t>Russian Federation</w:t>
      </w:r>
    </w:p>
    <w:p w14:paraId="573E7C98" w14:textId="4CF23EF0" w:rsidR="002B42F7" w:rsidRPr="00712FAD" w:rsidRDefault="002B42F7" w:rsidP="002B42F7">
      <w:pPr>
        <w:spacing w:after="0" w:line="360" w:lineRule="auto"/>
        <w:jc w:val="center"/>
        <w:rPr>
          <w:rFonts w:ascii="Times New Roman" w:hAnsi="Times New Roman" w:cs="Times New Roman"/>
          <w:b/>
          <w:iCs/>
          <w:spacing w:val="-4"/>
          <w:sz w:val="24"/>
          <w:szCs w:val="24"/>
          <w:lang w:val="en-US"/>
        </w:rPr>
      </w:pPr>
      <w:r w:rsidRPr="00712FAD">
        <w:rPr>
          <w:rFonts w:ascii="Times New Roman" w:hAnsi="Times New Roman" w:cs="Times New Roman"/>
          <w:b/>
          <w:iCs/>
          <w:spacing w:val="-4"/>
          <w:sz w:val="24"/>
          <w:szCs w:val="24"/>
          <w:lang w:val="en-US"/>
        </w:rPr>
        <w:t>Positions of Russian military shipbuilding on world markets</w:t>
      </w:r>
    </w:p>
    <w:p w14:paraId="256A0F85" w14:textId="3B6D9668" w:rsidR="002B42F7" w:rsidRPr="00712FAD" w:rsidRDefault="002B42F7" w:rsidP="002B42F7">
      <w:pPr>
        <w:spacing w:after="0" w:line="360" w:lineRule="auto"/>
        <w:jc w:val="both"/>
        <w:rPr>
          <w:rFonts w:ascii="Times New Roman" w:hAnsi="Times New Roman" w:cs="Times New Roman"/>
          <w:bCs/>
          <w:iCs/>
          <w:spacing w:val="-4"/>
          <w:sz w:val="24"/>
          <w:szCs w:val="24"/>
          <w:lang w:val="en-US"/>
        </w:rPr>
      </w:pPr>
      <w:r w:rsidRPr="00712FAD">
        <w:rPr>
          <w:rFonts w:ascii="Times New Roman" w:hAnsi="Times New Roman" w:cs="Times New Roman"/>
          <w:b/>
          <w:iCs/>
          <w:spacing w:val="-4"/>
          <w:sz w:val="24"/>
          <w:szCs w:val="24"/>
          <w:lang w:val="en-US"/>
        </w:rPr>
        <w:t>Abstract</w:t>
      </w:r>
      <w:bookmarkStart w:id="0" w:name="_Hlk48046822"/>
      <w:r w:rsidR="00712FAD" w:rsidRPr="00712FAD">
        <w:rPr>
          <w:rFonts w:ascii="Times New Roman" w:hAnsi="Times New Roman" w:cs="Times New Roman"/>
          <w:b/>
          <w:iCs/>
          <w:spacing w:val="-4"/>
          <w:sz w:val="24"/>
          <w:szCs w:val="24"/>
          <w:lang w:val="en-US"/>
        </w:rPr>
        <w:t xml:space="preserve"> </w:t>
      </w:r>
      <w:r w:rsidRPr="00712FAD">
        <w:rPr>
          <w:rFonts w:ascii="Times New Roman" w:hAnsi="Times New Roman" w:cs="Times New Roman"/>
          <w:bCs/>
          <w:iCs/>
          <w:spacing w:val="-4"/>
          <w:sz w:val="24"/>
          <w:szCs w:val="24"/>
          <w:lang w:val="en-GB"/>
        </w:rPr>
        <w:t xml:space="preserve">The main goal of the research is to </w:t>
      </w:r>
      <w:proofErr w:type="spellStart"/>
      <w:r w:rsidRPr="00712FAD">
        <w:rPr>
          <w:rFonts w:ascii="Times New Roman" w:hAnsi="Times New Roman" w:cs="Times New Roman"/>
          <w:bCs/>
          <w:iCs/>
          <w:spacing w:val="-4"/>
          <w:sz w:val="24"/>
          <w:szCs w:val="24"/>
          <w:lang w:val="en-GB"/>
        </w:rPr>
        <w:t>analyze</w:t>
      </w:r>
      <w:proofErr w:type="spellEnd"/>
      <w:r w:rsidRPr="00712FAD">
        <w:rPr>
          <w:rFonts w:ascii="Times New Roman" w:hAnsi="Times New Roman" w:cs="Times New Roman"/>
          <w:bCs/>
          <w:iCs/>
          <w:spacing w:val="-4"/>
          <w:sz w:val="24"/>
          <w:szCs w:val="24"/>
          <w:lang w:val="en-GB"/>
        </w:rPr>
        <w:t xml:space="preserve"> the current state of the market of naval equipment, the positions of its main participants and, especially, Russia. To determine the future prospects of Russia's presence in this market, it was necessary to identify the main problems of Russian shipbuilding and consider the impact of external factors on the state of the industry.</w:t>
      </w:r>
      <w:bookmarkEnd w:id="0"/>
      <w:r w:rsidRPr="00712FAD">
        <w:rPr>
          <w:rFonts w:ascii="Times New Roman" w:hAnsi="Times New Roman" w:cs="Times New Roman"/>
          <w:bCs/>
          <w:iCs/>
          <w:spacing w:val="-4"/>
          <w:sz w:val="24"/>
          <w:szCs w:val="24"/>
          <w:lang w:val="en-US"/>
        </w:rPr>
        <w:t xml:space="preserve"> Generalizations of the research are based on processing and systematization of data obtained from available information sources. Analyzing the statistics, the authors were able to deduce the trends of the current moment and determine the prospects. The analysis of key market indicators, as well as the problems of Russian shipbuilding, allowed the authors to build possible scenarios for its future development, from optimistic under favorable external factors to pessimistic, in </w:t>
      </w:r>
      <w:r w:rsidRPr="00712FAD">
        <w:rPr>
          <w:rFonts w:ascii="Times New Roman" w:hAnsi="Times New Roman" w:cs="Times New Roman"/>
          <w:bCs/>
          <w:iCs/>
          <w:spacing w:val="-4"/>
          <w:sz w:val="24"/>
          <w:szCs w:val="24"/>
          <w:lang w:val="en-US"/>
        </w:rPr>
        <w:lastRenderedPageBreak/>
        <w:t xml:space="preserve">which the loss of not only military security, but also the position of the largest exporter in the </w:t>
      </w:r>
      <w:r w:rsidRPr="00712FAD">
        <w:rPr>
          <w:rFonts w:ascii="Times New Roman" w:hAnsi="Times New Roman" w:cs="Times New Roman"/>
          <w:bCs/>
          <w:iCs/>
          <w:spacing w:val="-4"/>
          <w:sz w:val="24"/>
          <w:szCs w:val="24"/>
          <w:lang w:val="en-GB"/>
        </w:rPr>
        <w:t>world market of naval equipment and military ships</w:t>
      </w:r>
      <w:r w:rsidRPr="00712FAD">
        <w:rPr>
          <w:rFonts w:ascii="Times New Roman" w:hAnsi="Times New Roman" w:cs="Times New Roman"/>
          <w:bCs/>
          <w:iCs/>
          <w:spacing w:val="-4"/>
          <w:sz w:val="24"/>
          <w:szCs w:val="24"/>
          <w:lang w:val="en-US"/>
        </w:rPr>
        <w:t xml:space="preserve"> is inevitable.</w:t>
      </w:r>
    </w:p>
    <w:p w14:paraId="25F482CA" w14:textId="07902551" w:rsidR="002B42F7" w:rsidRPr="00712FAD" w:rsidRDefault="002B42F7" w:rsidP="002B42F7">
      <w:pPr>
        <w:spacing w:after="0" w:line="360" w:lineRule="auto"/>
        <w:jc w:val="both"/>
        <w:rPr>
          <w:rFonts w:ascii="Times New Roman" w:eastAsia="MS Mincho" w:hAnsi="Times New Roman" w:cs="Times New Roman"/>
          <w:bCs/>
          <w:sz w:val="24"/>
          <w:szCs w:val="24"/>
          <w:lang w:val="en-GB" w:eastAsia="ru-RU"/>
        </w:rPr>
      </w:pPr>
      <w:r w:rsidRPr="00712FAD">
        <w:rPr>
          <w:rFonts w:ascii="Times New Roman" w:eastAsia="MS Mincho" w:hAnsi="Times New Roman" w:cs="Times New Roman"/>
          <w:b/>
          <w:sz w:val="24"/>
          <w:szCs w:val="24"/>
          <w:lang w:val="en-US" w:eastAsia="ru-RU"/>
        </w:rPr>
        <w:t xml:space="preserve">Keywords: </w:t>
      </w:r>
      <w:r w:rsidRPr="00712FAD">
        <w:rPr>
          <w:rFonts w:ascii="Times New Roman" w:eastAsia="MS Mincho" w:hAnsi="Times New Roman" w:cs="Times New Roman"/>
          <w:bCs/>
          <w:sz w:val="24"/>
          <w:szCs w:val="24"/>
          <w:lang w:val="en-GB" w:eastAsia="ru-RU"/>
        </w:rPr>
        <w:t>military shipbuilding; the market of naval equipment; Russian export</w:t>
      </w:r>
    </w:p>
    <w:p w14:paraId="3FF446A1" w14:textId="2FD9E439" w:rsidR="00B83556" w:rsidRPr="00712FAD" w:rsidRDefault="00B83556" w:rsidP="002B42F7">
      <w:pPr>
        <w:spacing w:after="0" w:line="360" w:lineRule="auto"/>
        <w:jc w:val="both"/>
        <w:rPr>
          <w:rFonts w:ascii="Times New Roman" w:eastAsia="MS Mincho" w:hAnsi="Times New Roman" w:cs="Times New Roman"/>
          <w:b/>
          <w:sz w:val="24"/>
          <w:szCs w:val="24"/>
          <w:lang w:eastAsia="ru-RU"/>
        </w:rPr>
      </w:pPr>
      <w:r w:rsidRPr="00712FAD">
        <w:rPr>
          <w:rFonts w:ascii="Times New Roman" w:eastAsia="MS Mincho" w:hAnsi="Times New Roman" w:cs="Times New Roman"/>
          <w:b/>
          <w:sz w:val="24"/>
          <w:szCs w:val="24"/>
          <w:lang w:eastAsia="ru-RU"/>
        </w:rPr>
        <w:t>Введение</w:t>
      </w:r>
    </w:p>
    <w:p w14:paraId="21AC590B" w14:textId="3F039878" w:rsidR="00563B25" w:rsidRPr="00712FAD" w:rsidRDefault="00563B25" w:rsidP="00563B25">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 xml:space="preserve">Относительно небольшое число стран, в основном крупных, развитых и имеющих длительную историю военного производства, обеспечивают нужды не только собственного ОПК, но и пользуются возможностью продавать на глобальных рынках вооружений значительную долю своей военной продукции. При этом </w:t>
      </w:r>
      <w:r w:rsidRPr="00712FAD">
        <w:rPr>
          <w:rFonts w:ascii="Times New Roman" w:hAnsi="Times New Roman" w:cs="Times New Roman"/>
          <w:bCs/>
          <w:spacing w:val="-4"/>
          <w:sz w:val="24"/>
          <w:szCs w:val="24"/>
          <w:lang w:val="cs-CZ"/>
        </w:rPr>
        <w:t xml:space="preserve">продажами </w:t>
      </w:r>
      <w:r w:rsidRPr="00712FAD">
        <w:rPr>
          <w:rFonts w:ascii="Times New Roman" w:hAnsi="Times New Roman" w:cs="Times New Roman"/>
          <w:bCs/>
          <w:spacing w:val="-4"/>
          <w:sz w:val="24"/>
          <w:szCs w:val="24"/>
        </w:rPr>
        <w:t xml:space="preserve">оружия </w:t>
      </w:r>
      <w:r w:rsidRPr="00712FAD">
        <w:rPr>
          <w:rFonts w:ascii="Times New Roman" w:hAnsi="Times New Roman" w:cs="Times New Roman"/>
          <w:bCs/>
          <w:spacing w:val="-4"/>
          <w:sz w:val="24"/>
          <w:szCs w:val="24"/>
          <w:lang w:val="cs-CZ"/>
        </w:rPr>
        <w:t xml:space="preserve">на мировых рынках </w:t>
      </w:r>
      <w:r w:rsidRPr="00712FAD">
        <w:rPr>
          <w:rFonts w:ascii="Times New Roman" w:hAnsi="Times New Roman" w:cs="Times New Roman"/>
          <w:bCs/>
          <w:spacing w:val="-4"/>
          <w:sz w:val="24"/>
          <w:szCs w:val="24"/>
        </w:rPr>
        <w:t xml:space="preserve">они </w:t>
      </w:r>
      <w:r w:rsidRPr="00712FAD">
        <w:rPr>
          <w:rFonts w:ascii="Times New Roman" w:hAnsi="Times New Roman" w:cs="Times New Roman"/>
          <w:bCs/>
          <w:spacing w:val="-4"/>
          <w:sz w:val="24"/>
          <w:szCs w:val="24"/>
          <w:lang w:val="cs-CZ"/>
        </w:rPr>
        <w:t>снижают издержки собственного производства, загружая избыточные мощности</w:t>
      </w:r>
      <w:r w:rsidRPr="00712FAD">
        <w:rPr>
          <w:rFonts w:ascii="Times New Roman" w:hAnsi="Times New Roman" w:cs="Times New Roman"/>
          <w:bCs/>
          <w:spacing w:val="-4"/>
          <w:sz w:val="24"/>
          <w:szCs w:val="24"/>
        </w:rPr>
        <w:t>, и</w:t>
      </w:r>
      <w:r w:rsidRPr="00712FAD">
        <w:rPr>
          <w:rFonts w:ascii="Times New Roman" w:hAnsi="Times New Roman" w:cs="Times New Roman"/>
          <w:bCs/>
          <w:spacing w:val="-4"/>
          <w:sz w:val="24"/>
          <w:szCs w:val="24"/>
          <w:lang w:val="cs-CZ"/>
        </w:rPr>
        <w:t xml:space="preserve"> компенсиру</w:t>
      </w:r>
      <w:r w:rsidRPr="00712FAD">
        <w:rPr>
          <w:rFonts w:ascii="Times New Roman" w:hAnsi="Times New Roman" w:cs="Times New Roman"/>
          <w:bCs/>
          <w:spacing w:val="-4"/>
          <w:sz w:val="24"/>
          <w:szCs w:val="24"/>
        </w:rPr>
        <w:t>ют таким способом</w:t>
      </w:r>
      <w:r w:rsidRPr="00712FAD">
        <w:rPr>
          <w:rFonts w:ascii="Times New Roman" w:hAnsi="Times New Roman" w:cs="Times New Roman"/>
          <w:bCs/>
          <w:spacing w:val="-4"/>
          <w:sz w:val="24"/>
          <w:szCs w:val="24"/>
          <w:lang w:val="cs-CZ"/>
        </w:rPr>
        <w:t xml:space="preserve"> </w:t>
      </w:r>
      <w:r w:rsidRPr="00712FAD">
        <w:rPr>
          <w:rFonts w:ascii="Times New Roman" w:hAnsi="Times New Roman" w:cs="Times New Roman"/>
          <w:bCs/>
          <w:spacing w:val="-4"/>
          <w:sz w:val="24"/>
          <w:szCs w:val="24"/>
        </w:rPr>
        <w:t>часть</w:t>
      </w:r>
      <w:r w:rsidRPr="00712FAD">
        <w:rPr>
          <w:rFonts w:ascii="Times New Roman" w:hAnsi="Times New Roman" w:cs="Times New Roman"/>
          <w:bCs/>
          <w:spacing w:val="-4"/>
          <w:sz w:val="24"/>
          <w:szCs w:val="24"/>
          <w:lang w:val="cs-CZ"/>
        </w:rPr>
        <w:t xml:space="preserve"> свои</w:t>
      </w:r>
      <w:r w:rsidRPr="00712FAD">
        <w:rPr>
          <w:rFonts w:ascii="Times New Roman" w:hAnsi="Times New Roman" w:cs="Times New Roman"/>
          <w:bCs/>
          <w:spacing w:val="-4"/>
          <w:sz w:val="24"/>
          <w:szCs w:val="24"/>
        </w:rPr>
        <w:t>х</w:t>
      </w:r>
      <w:r w:rsidRPr="00712FAD">
        <w:rPr>
          <w:rFonts w:ascii="Times New Roman" w:hAnsi="Times New Roman" w:cs="Times New Roman"/>
          <w:bCs/>
          <w:spacing w:val="-4"/>
          <w:sz w:val="24"/>
          <w:szCs w:val="24"/>
          <w:lang w:val="cs-CZ"/>
        </w:rPr>
        <w:t xml:space="preserve"> военны</w:t>
      </w:r>
      <w:r w:rsidRPr="00712FAD">
        <w:rPr>
          <w:rFonts w:ascii="Times New Roman" w:hAnsi="Times New Roman" w:cs="Times New Roman"/>
          <w:bCs/>
          <w:spacing w:val="-4"/>
          <w:sz w:val="24"/>
          <w:szCs w:val="24"/>
        </w:rPr>
        <w:t>х</w:t>
      </w:r>
      <w:r w:rsidRPr="00712FAD">
        <w:rPr>
          <w:rFonts w:ascii="Times New Roman" w:hAnsi="Times New Roman" w:cs="Times New Roman"/>
          <w:bCs/>
          <w:spacing w:val="-4"/>
          <w:sz w:val="24"/>
          <w:szCs w:val="24"/>
          <w:lang w:val="cs-CZ"/>
        </w:rPr>
        <w:t xml:space="preserve"> расход</w:t>
      </w:r>
      <w:proofErr w:type="spellStart"/>
      <w:r w:rsidRPr="00712FAD">
        <w:rPr>
          <w:rFonts w:ascii="Times New Roman" w:hAnsi="Times New Roman" w:cs="Times New Roman"/>
          <w:bCs/>
          <w:spacing w:val="-4"/>
          <w:sz w:val="24"/>
          <w:szCs w:val="24"/>
        </w:rPr>
        <w:t>ов</w:t>
      </w:r>
      <w:proofErr w:type="spellEnd"/>
      <w:r w:rsidRPr="00712FAD">
        <w:rPr>
          <w:rFonts w:ascii="Times New Roman" w:hAnsi="Times New Roman" w:cs="Times New Roman"/>
          <w:bCs/>
          <w:spacing w:val="-4"/>
          <w:sz w:val="24"/>
          <w:szCs w:val="24"/>
          <w:lang w:val="cs-CZ"/>
        </w:rPr>
        <w:t xml:space="preserve">. </w:t>
      </w:r>
      <w:r w:rsidRPr="00712FAD">
        <w:rPr>
          <w:rFonts w:ascii="Times New Roman" w:hAnsi="Times New Roman" w:cs="Times New Roman"/>
          <w:bCs/>
          <w:spacing w:val="-4"/>
          <w:sz w:val="24"/>
          <w:szCs w:val="24"/>
        </w:rPr>
        <w:t>Немаловажным фактором (помимо экономической выгоды) является то, что экспорт вооружений позволяет реализовывать политические цели, поддерживают партнеров по военным блокам</w:t>
      </w:r>
      <w:r w:rsidR="00B83556" w:rsidRPr="00712FAD">
        <w:rPr>
          <w:rFonts w:ascii="Times New Roman" w:hAnsi="Times New Roman" w:cs="Times New Roman"/>
          <w:bCs/>
          <w:spacing w:val="-4"/>
          <w:sz w:val="24"/>
          <w:szCs w:val="24"/>
        </w:rPr>
        <w:t>.</w:t>
      </w:r>
      <w:r w:rsidRPr="00712FAD">
        <w:rPr>
          <w:rFonts w:ascii="Times New Roman" w:hAnsi="Times New Roman" w:cs="Times New Roman"/>
          <w:bCs/>
          <w:spacing w:val="-4"/>
          <w:sz w:val="24"/>
          <w:szCs w:val="24"/>
        </w:rPr>
        <w:t xml:space="preserve"> </w:t>
      </w:r>
    </w:p>
    <w:p w14:paraId="6BE0D1B9" w14:textId="5C8CB9BE" w:rsidR="00563B25" w:rsidRPr="00712FAD" w:rsidRDefault="00563B25" w:rsidP="00563B25">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Авторы статьи уже достаточно давно, интересуются проблемой военного производства в Р</w:t>
      </w:r>
      <w:r w:rsidR="00B83556" w:rsidRPr="00712FAD">
        <w:rPr>
          <w:rFonts w:ascii="Times New Roman" w:hAnsi="Times New Roman" w:cs="Times New Roman"/>
          <w:bCs/>
          <w:spacing w:val="-4"/>
          <w:sz w:val="24"/>
          <w:szCs w:val="24"/>
        </w:rPr>
        <w:t>Ф</w:t>
      </w:r>
      <w:r w:rsidRPr="00712FAD">
        <w:rPr>
          <w:rFonts w:ascii="Times New Roman" w:hAnsi="Times New Roman" w:cs="Times New Roman"/>
          <w:bCs/>
          <w:spacing w:val="-4"/>
          <w:sz w:val="24"/>
          <w:szCs w:val="24"/>
        </w:rPr>
        <w:t xml:space="preserve"> и ее экспортом ВВТ, в том числе военно-морской техники [</w:t>
      </w:r>
      <w:proofErr w:type="spellStart"/>
      <w:r w:rsidRPr="00712FAD">
        <w:rPr>
          <w:rFonts w:ascii="Times New Roman" w:hAnsi="Times New Roman" w:cs="Times New Roman"/>
          <w:bCs/>
          <w:spacing w:val="-4"/>
          <w:sz w:val="24"/>
          <w:szCs w:val="24"/>
          <w:lang w:val="en-US"/>
        </w:rPr>
        <w:t>Tulyakova</w:t>
      </w:r>
      <w:proofErr w:type="spellEnd"/>
      <w:r w:rsidRPr="00712FAD">
        <w:rPr>
          <w:rFonts w:ascii="Times New Roman" w:hAnsi="Times New Roman" w:cs="Times New Roman"/>
          <w:bCs/>
          <w:spacing w:val="-4"/>
          <w:sz w:val="24"/>
          <w:szCs w:val="24"/>
        </w:rPr>
        <w:t>, 2008], [</w:t>
      </w:r>
      <w:proofErr w:type="spellStart"/>
      <w:r w:rsidRPr="00712FAD">
        <w:rPr>
          <w:rFonts w:ascii="Times New Roman" w:hAnsi="Times New Roman" w:cs="Times New Roman"/>
          <w:bCs/>
          <w:spacing w:val="-4"/>
          <w:sz w:val="24"/>
          <w:szCs w:val="24"/>
          <w:lang w:val="en-US"/>
        </w:rPr>
        <w:t>Tulyakova</w:t>
      </w:r>
      <w:proofErr w:type="spellEnd"/>
      <w:r w:rsidRPr="00712FAD">
        <w:rPr>
          <w:rFonts w:ascii="Times New Roman" w:hAnsi="Times New Roman" w:cs="Times New Roman"/>
          <w:bCs/>
          <w:spacing w:val="-4"/>
          <w:sz w:val="24"/>
          <w:szCs w:val="24"/>
        </w:rPr>
        <w:t>, 2016], [</w:t>
      </w:r>
      <w:proofErr w:type="spellStart"/>
      <w:r w:rsidRPr="00712FAD">
        <w:rPr>
          <w:rFonts w:ascii="Times New Roman" w:hAnsi="Times New Roman" w:cs="Times New Roman"/>
          <w:bCs/>
          <w:spacing w:val="-4"/>
          <w:sz w:val="24"/>
          <w:szCs w:val="24"/>
          <w:lang w:val="en-US"/>
        </w:rPr>
        <w:t>Tulyakova</w:t>
      </w:r>
      <w:proofErr w:type="spellEnd"/>
      <w:r w:rsidRPr="00712FAD">
        <w:rPr>
          <w:rFonts w:ascii="Times New Roman" w:hAnsi="Times New Roman" w:cs="Times New Roman"/>
          <w:bCs/>
          <w:spacing w:val="-4"/>
          <w:sz w:val="24"/>
          <w:szCs w:val="24"/>
        </w:rPr>
        <w:t xml:space="preserve"> </w:t>
      </w:r>
      <w:r w:rsidRPr="00712FAD">
        <w:rPr>
          <w:rFonts w:ascii="Times New Roman" w:hAnsi="Times New Roman" w:cs="Times New Roman"/>
          <w:bCs/>
          <w:spacing w:val="-4"/>
          <w:sz w:val="24"/>
          <w:szCs w:val="24"/>
          <w:lang w:val="en-US"/>
        </w:rPr>
        <w:t>et</w:t>
      </w:r>
      <w:r w:rsidRPr="00712FAD">
        <w:rPr>
          <w:rFonts w:ascii="Times New Roman" w:hAnsi="Times New Roman" w:cs="Times New Roman"/>
          <w:bCs/>
          <w:spacing w:val="-4"/>
          <w:sz w:val="24"/>
          <w:szCs w:val="24"/>
        </w:rPr>
        <w:t xml:space="preserve"> </w:t>
      </w:r>
      <w:r w:rsidRPr="00712FAD">
        <w:rPr>
          <w:rFonts w:ascii="Times New Roman" w:hAnsi="Times New Roman" w:cs="Times New Roman"/>
          <w:bCs/>
          <w:spacing w:val="-4"/>
          <w:sz w:val="24"/>
          <w:szCs w:val="24"/>
          <w:lang w:val="en-US"/>
        </w:rPr>
        <w:t>al</w:t>
      </w:r>
      <w:r w:rsidRPr="00712FAD">
        <w:rPr>
          <w:rFonts w:ascii="Times New Roman" w:hAnsi="Times New Roman" w:cs="Times New Roman"/>
          <w:bCs/>
          <w:spacing w:val="-4"/>
          <w:sz w:val="24"/>
          <w:szCs w:val="24"/>
        </w:rPr>
        <w:t>., 2017], [</w:t>
      </w:r>
      <w:proofErr w:type="spellStart"/>
      <w:r w:rsidRPr="00712FAD">
        <w:rPr>
          <w:rFonts w:ascii="Times New Roman" w:hAnsi="Times New Roman" w:cs="Times New Roman"/>
          <w:bCs/>
          <w:spacing w:val="-4"/>
          <w:sz w:val="24"/>
          <w:szCs w:val="24"/>
          <w:lang w:val="en-US"/>
        </w:rPr>
        <w:t>Tulyakova</w:t>
      </w:r>
      <w:proofErr w:type="spellEnd"/>
      <w:r w:rsidRPr="00712FAD">
        <w:rPr>
          <w:rFonts w:ascii="Times New Roman" w:hAnsi="Times New Roman" w:cs="Times New Roman"/>
          <w:bCs/>
          <w:spacing w:val="-4"/>
          <w:sz w:val="24"/>
          <w:szCs w:val="24"/>
        </w:rPr>
        <w:t xml:space="preserve"> </w:t>
      </w:r>
      <w:r w:rsidRPr="00712FAD">
        <w:rPr>
          <w:rFonts w:ascii="Times New Roman" w:hAnsi="Times New Roman" w:cs="Times New Roman"/>
          <w:bCs/>
          <w:spacing w:val="-4"/>
          <w:sz w:val="24"/>
          <w:szCs w:val="24"/>
          <w:lang w:val="en-US"/>
        </w:rPr>
        <w:t>et</w:t>
      </w:r>
      <w:r w:rsidRPr="00712FAD">
        <w:rPr>
          <w:rFonts w:ascii="Times New Roman" w:hAnsi="Times New Roman" w:cs="Times New Roman"/>
          <w:bCs/>
          <w:spacing w:val="-4"/>
          <w:sz w:val="24"/>
          <w:szCs w:val="24"/>
        </w:rPr>
        <w:t xml:space="preserve"> </w:t>
      </w:r>
      <w:r w:rsidRPr="00712FAD">
        <w:rPr>
          <w:rFonts w:ascii="Times New Roman" w:hAnsi="Times New Roman" w:cs="Times New Roman"/>
          <w:bCs/>
          <w:spacing w:val="-4"/>
          <w:sz w:val="24"/>
          <w:szCs w:val="24"/>
          <w:lang w:val="en-US"/>
        </w:rPr>
        <w:t>al</w:t>
      </w:r>
      <w:r w:rsidRPr="00712FAD">
        <w:rPr>
          <w:rFonts w:ascii="Times New Roman" w:hAnsi="Times New Roman" w:cs="Times New Roman"/>
          <w:bCs/>
          <w:spacing w:val="-4"/>
          <w:sz w:val="24"/>
          <w:szCs w:val="24"/>
        </w:rPr>
        <w:t>., 2019].</w:t>
      </w:r>
    </w:p>
    <w:p w14:paraId="509AE06E" w14:textId="4CF7ED85" w:rsidR="00563B25" w:rsidRPr="00712FAD" w:rsidRDefault="002D300D" w:rsidP="00563B25">
      <w:pPr>
        <w:spacing w:after="0" w:line="360" w:lineRule="auto"/>
        <w:ind w:firstLine="567"/>
        <w:jc w:val="both"/>
        <w:rPr>
          <w:rFonts w:ascii="Times New Roman" w:hAnsi="Times New Roman" w:cs="Times New Roman"/>
          <w:bCs/>
          <w:spacing w:val="-4"/>
          <w:sz w:val="24"/>
          <w:szCs w:val="24"/>
        </w:rPr>
      </w:pPr>
      <w:r>
        <w:rPr>
          <w:rFonts w:ascii="Times New Roman" w:hAnsi="Times New Roman" w:cs="Times New Roman"/>
          <w:bCs/>
          <w:spacing w:val="-4"/>
          <w:sz w:val="24"/>
          <w:szCs w:val="24"/>
        </w:rPr>
        <w:t>В</w:t>
      </w:r>
      <w:r w:rsidR="003B4B2A" w:rsidRPr="00712FAD">
        <w:rPr>
          <w:rFonts w:ascii="Times New Roman" w:hAnsi="Times New Roman" w:cs="Times New Roman"/>
          <w:bCs/>
          <w:spacing w:val="-4"/>
          <w:sz w:val="24"/>
          <w:szCs w:val="24"/>
        </w:rPr>
        <w:t>о времена СССР</w:t>
      </w:r>
      <w:r w:rsidR="00563B25" w:rsidRPr="00712FAD">
        <w:rPr>
          <w:rFonts w:ascii="Times New Roman" w:hAnsi="Times New Roman" w:cs="Times New Roman"/>
          <w:bCs/>
          <w:spacing w:val="-4"/>
          <w:sz w:val="24"/>
          <w:szCs w:val="24"/>
        </w:rPr>
        <w:t xml:space="preserve"> </w:t>
      </w:r>
      <w:r w:rsidR="003B4B2A" w:rsidRPr="00712FAD">
        <w:rPr>
          <w:rFonts w:ascii="Times New Roman" w:hAnsi="Times New Roman" w:cs="Times New Roman"/>
          <w:bCs/>
          <w:spacing w:val="-4"/>
          <w:sz w:val="24"/>
          <w:szCs w:val="24"/>
        </w:rPr>
        <w:t xml:space="preserve">страна </w:t>
      </w:r>
      <w:r w:rsidR="00563B25" w:rsidRPr="00712FAD">
        <w:rPr>
          <w:rFonts w:ascii="Times New Roman" w:hAnsi="Times New Roman" w:cs="Times New Roman"/>
          <w:bCs/>
          <w:spacing w:val="-4"/>
          <w:sz w:val="24"/>
          <w:szCs w:val="24"/>
        </w:rPr>
        <w:t xml:space="preserve">была сильна и </w:t>
      </w:r>
      <w:proofErr w:type="gramStart"/>
      <w:r w:rsidR="00563B25" w:rsidRPr="00712FAD">
        <w:rPr>
          <w:rFonts w:ascii="Times New Roman" w:hAnsi="Times New Roman" w:cs="Times New Roman"/>
          <w:bCs/>
          <w:spacing w:val="-4"/>
          <w:sz w:val="24"/>
          <w:szCs w:val="24"/>
        </w:rPr>
        <w:t>в гражданском</w:t>
      </w:r>
      <w:proofErr w:type="gramEnd"/>
      <w:r w:rsidR="00563B25" w:rsidRPr="00712FAD">
        <w:rPr>
          <w:rFonts w:ascii="Times New Roman" w:hAnsi="Times New Roman" w:cs="Times New Roman"/>
          <w:bCs/>
          <w:spacing w:val="-4"/>
          <w:sz w:val="24"/>
          <w:szCs w:val="24"/>
        </w:rPr>
        <w:t xml:space="preserve"> и в военном судостроении. Сейчас позиции в гражданском судостроении практически утеряны. Но в области военного кораблестроения Россия продолжает удерживать лидирующие позиции.</w:t>
      </w:r>
      <w:r w:rsidR="005937CE" w:rsidRPr="00712FAD">
        <w:rPr>
          <w:rFonts w:ascii="Times New Roman" w:hAnsi="Times New Roman" w:cs="Times New Roman"/>
          <w:bCs/>
          <w:spacing w:val="-4"/>
          <w:sz w:val="24"/>
          <w:szCs w:val="24"/>
        </w:rPr>
        <w:t xml:space="preserve"> </w:t>
      </w:r>
      <w:r w:rsidR="00563B25" w:rsidRPr="00712FAD">
        <w:rPr>
          <w:rFonts w:ascii="Times New Roman" w:hAnsi="Times New Roman" w:cs="Times New Roman"/>
          <w:bCs/>
          <w:spacing w:val="-4"/>
          <w:sz w:val="24"/>
          <w:szCs w:val="24"/>
        </w:rPr>
        <w:t>Если обратиться к статистике СИПРИ (данные по военной промышленности), в 100 крупнейших военных компаний мира за 2017 год входит, в том числе и российская объединенная судостроительная корпорация (ОСК), 89% выручки которой составляют военные продажи.</w:t>
      </w:r>
      <w:r w:rsidR="005937CE" w:rsidRPr="00712FAD">
        <w:rPr>
          <w:rStyle w:val="a5"/>
          <w:rFonts w:ascii="Times New Roman" w:hAnsi="Times New Roman" w:cs="Times New Roman"/>
          <w:bCs/>
          <w:spacing w:val="-4"/>
          <w:sz w:val="24"/>
          <w:szCs w:val="24"/>
        </w:rPr>
        <w:footnoteReference w:id="1"/>
      </w:r>
      <w:r w:rsidR="00172D4E" w:rsidRPr="00712FAD">
        <w:rPr>
          <w:rFonts w:ascii="Times New Roman" w:hAnsi="Times New Roman" w:cs="Times New Roman"/>
          <w:bCs/>
          <w:spacing w:val="-4"/>
          <w:sz w:val="24"/>
          <w:szCs w:val="24"/>
        </w:rPr>
        <w:t xml:space="preserve"> </w:t>
      </w:r>
      <w:r w:rsidR="00563B25" w:rsidRPr="00712FAD">
        <w:rPr>
          <w:rFonts w:ascii="Times New Roman" w:hAnsi="Times New Roman" w:cs="Times New Roman"/>
          <w:bCs/>
          <w:spacing w:val="-4"/>
          <w:sz w:val="24"/>
          <w:szCs w:val="24"/>
        </w:rPr>
        <w:t xml:space="preserve">Если сравнить морскую вооруженность самых сильных морских держав КНР, РФ и США, по данным сайта </w:t>
      </w:r>
      <w:proofErr w:type="spellStart"/>
      <w:r w:rsidR="00563B25" w:rsidRPr="00712FAD">
        <w:rPr>
          <w:rFonts w:ascii="Times New Roman" w:hAnsi="Times New Roman" w:cs="Times New Roman"/>
          <w:bCs/>
          <w:spacing w:val="-4"/>
          <w:sz w:val="24"/>
          <w:szCs w:val="24"/>
          <w:lang w:val="en-US"/>
        </w:rPr>
        <w:t>globalfirepower</w:t>
      </w:r>
      <w:proofErr w:type="spellEnd"/>
      <w:r w:rsidR="00563B25" w:rsidRPr="00712FAD">
        <w:rPr>
          <w:rFonts w:ascii="Times New Roman" w:hAnsi="Times New Roman" w:cs="Times New Roman"/>
          <w:bCs/>
          <w:spacing w:val="-4"/>
          <w:sz w:val="24"/>
          <w:szCs w:val="24"/>
        </w:rPr>
        <w:t>.</w:t>
      </w:r>
      <w:r w:rsidR="00563B25" w:rsidRPr="00712FAD">
        <w:rPr>
          <w:rFonts w:ascii="Times New Roman" w:hAnsi="Times New Roman" w:cs="Times New Roman"/>
          <w:bCs/>
          <w:spacing w:val="-4"/>
          <w:sz w:val="24"/>
          <w:szCs w:val="24"/>
          <w:lang w:val="en-US"/>
        </w:rPr>
        <w:t>com</w:t>
      </w:r>
      <w:r w:rsidR="00563B25" w:rsidRPr="00712FAD">
        <w:rPr>
          <w:rFonts w:ascii="Times New Roman" w:hAnsi="Times New Roman" w:cs="Times New Roman"/>
          <w:bCs/>
          <w:spacing w:val="-4"/>
          <w:sz w:val="24"/>
          <w:szCs w:val="24"/>
        </w:rPr>
        <w:t xml:space="preserve"> можно увидеть количественное превосходство в обладании морской техникой у КНР (777 единиц),  на втором месте Россия, общее количество единиц – 603,  у США – 490.</w:t>
      </w:r>
      <w:r w:rsidR="005937CE" w:rsidRPr="00712FAD">
        <w:rPr>
          <w:rStyle w:val="a5"/>
          <w:rFonts w:ascii="Times New Roman" w:hAnsi="Times New Roman" w:cs="Times New Roman"/>
          <w:bCs/>
          <w:spacing w:val="-4"/>
          <w:sz w:val="24"/>
          <w:szCs w:val="24"/>
        </w:rPr>
        <w:footnoteReference w:id="2"/>
      </w:r>
      <w:r w:rsidR="00563B25" w:rsidRPr="00712FAD">
        <w:rPr>
          <w:rFonts w:ascii="Times New Roman" w:hAnsi="Times New Roman" w:cs="Times New Roman"/>
          <w:bCs/>
          <w:spacing w:val="-4"/>
          <w:sz w:val="24"/>
          <w:szCs w:val="24"/>
        </w:rPr>
        <w:t xml:space="preserve"> </w:t>
      </w:r>
    </w:p>
    <w:p w14:paraId="2598190A" w14:textId="608C6852" w:rsidR="00B83556" w:rsidRPr="00712FAD" w:rsidRDefault="00B83556" w:rsidP="00B83556">
      <w:pPr>
        <w:spacing w:after="0" w:line="360" w:lineRule="auto"/>
        <w:jc w:val="both"/>
        <w:rPr>
          <w:rFonts w:ascii="Times New Roman" w:hAnsi="Times New Roman" w:cs="Times New Roman"/>
          <w:b/>
          <w:spacing w:val="-4"/>
          <w:sz w:val="24"/>
          <w:szCs w:val="24"/>
        </w:rPr>
      </w:pPr>
      <w:r w:rsidRPr="00712FAD">
        <w:rPr>
          <w:rFonts w:ascii="Times New Roman" w:hAnsi="Times New Roman" w:cs="Times New Roman"/>
          <w:b/>
          <w:spacing w:val="-4"/>
          <w:sz w:val="24"/>
          <w:szCs w:val="24"/>
        </w:rPr>
        <w:t>Источники информации и методология</w:t>
      </w:r>
    </w:p>
    <w:p w14:paraId="0A7AF16A" w14:textId="5E5FEDD1" w:rsidR="005937CE" w:rsidRPr="00712FAD" w:rsidRDefault="005937CE" w:rsidP="00172D4E">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 xml:space="preserve">Сложность исследования рынка вооружений заключается в том, что мировые аналитические центры по торговле оружием имеют различающиеся собственные </w:t>
      </w:r>
      <w:r w:rsidRPr="00712FAD">
        <w:rPr>
          <w:rFonts w:ascii="Times New Roman" w:hAnsi="Times New Roman" w:cs="Times New Roman"/>
          <w:bCs/>
          <w:spacing w:val="-4"/>
          <w:sz w:val="24"/>
          <w:szCs w:val="24"/>
        </w:rPr>
        <w:lastRenderedPageBreak/>
        <w:t xml:space="preserve">методики анализа. При этом применение различных механизмов подсчета и определения цен по разным видам вооружений приводят к существенному расхождению в цифрах. Наибольшим авторитетом в мире пользуется Стокгольмский международный институт исследования проблем мира. </w:t>
      </w:r>
    </w:p>
    <w:p w14:paraId="0306CE1E" w14:textId="14AA6040" w:rsidR="005937CE" w:rsidRPr="00712FAD" w:rsidRDefault="005937CE" w:rsidP="00172D4E">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z w:val="24"/>
          <w:szCs w:val="24"/>
        </w:rPr>
        <w:t>Другим авторитетным агентством является Международный институт стратегических исследований</w:t>
      </w:r>
      <w:r w:rsidR="003B4B2A" w:rsidRPr="00712FAD">
        <w:rPr>
          <w:rFonts w:ascii="Times New Roman" w:hAnsi="Times New Roman" w:cs="Times New Roman"/>
          <w:bCs/>
          <w:sz w:val="24"/>
          <w:szCs w:val="24"/>
        </w:rPr>
        <w:t>.</w:t>
      </w:r>
      <w:r w:rsidRPr="00712FAD">
        <w:rPr>
          <w:rFonts w:ascii="Times New Roman" w:hAnsi="Times New Roman" w:cs="Times New Roman"/>
          <w:bCs/>
          <w:sz w:val="24"/>
          <w:szCs w:val="24"/>
        </w:rPr>
        <w:t xml:space="preserve"> </w:t>
      </w:r>
      <w:r w:rsidR="003B4B2A" w:rsidRPr="00712FAD">
        <w:rPr>
          <w:rFonts w:ascii="Times New Roman" w:hAnsi="Times New Roman" w:cs="Times New Roman"/>
          <w:bCs/>
          <w:sz w:val="24"/>
          <w:szCs w:val="24"/>
        </w:rPr>
        <w:t>Но в</w:t>
      </w:r>
      <w:r w:rsidRPr="00712FAD">
        <w:rPr>
          <w:rFonts w:ascii="Times New Roman" w:hAnsi="Times New Roman" w:cs="Times New Roman"/>
          <w:bCs/>
          <w:sz w:val="24"/>
          <w:szCs w:val="24"/>
        </w:rPr>
        <w:t xml:space="preserve"> отличие от статистики СИПРИ</w:t>
      </w:r>
      <w:r w:rsidR="003B4B2A" w:rsidRPr="00712FAD">
        <w:rPr>
          <w:rFonts w:ascii="Times New Roman" w:hAnsi="Times New Roman" w:cs="Times New Roman"/>
          <w:bCs/>
          <w:sz w:val="24"/>
          <w:szCs w:val="24"/>
        </w:rPr>
        <w:t>,</w:t>
      </w:r>
      <w:r w:rsidRPr="00712FAD">
        <w:rPr>
          <w:rFonts w:ascii="Times New Roman" w:hAnsi="Times New Roman" w:cs="Times New Roman"/>
          <w:bCs/>
          <w:sz w:val="24"/>
          <w:szCs w:val="24"/>
        </w:rPr>
        <w:t xml:space="preserve"> абсолютно открытой, лишь некоторая часть информации из бюллетеней IISS появляется в открытом доступе. </w:t>
      </w:r>
      <w:r w:rsidRPr="00712FAD">
        <w:rPr>
          <w:rFonts w:ascii="Times New Roman" w:hAnsi="Times New Roman" w:cs="Times New Roman"/>
          <w:bCs/>
          <w:spacing w:val="-4"/>
          <w:sz w:val="24"/>
          <w:szCs w:val="24"/>
        </w:rPr>
        <w:t xml:space="preserve">В России существует несколько аналитических агентств, в том числе центр анализа мировой торговли оружием (ЦАМТО). </w:t>
      </w:r>
      <w:r w:rsidR="00B83556" w:rsidRPr="00712FAD">
        <w:rPr>
          <w:rFonts w:ascii="Times New Roman" w:hAnsi="Times New Roman" w:cs="Times New Roman"/>
          <w:bCs/>
          <w:spacing w:val="-4"/>
          <w:sz w:val="24"/>
          <w:szCs w:val="24"/>
        </w:rPr>
        <w:t>Его м</w:t>
      </w:r>
      <w:r w:rsidRPr="00712FAD">
        <w:rPr>
          <w:rFonts w:ascii="Times New Roman" w:hAnsi="Times New Roman" w:cs="Times New Roman"/>
          <w:bCs/>
          <w:spacing w:val="-4"/>
          <w:sz w:val="24"/>
          <w:szCs w:val="24"/>
        </w:rPr>
        <w:t xml:space="preserve">етодика предлагает самостоятельно рассчитанную статистику, основанную на ценовых параметрах контрактов в текущих долларах США на момент заключения сделки. </w:t>
      </w:r>
    </w:p>
    <w:p w14:paraId="1342FE70" w14:textId="058AF2AD" w:rsidR="005937CE" w:rsidRPr="00712FAD" w:rsidRDefault="005937CE" w:rsidP="00172D4E">
      <w:pPr>
        <w:spacing w:after="0" w:line="360" w:lineRule="auto"/>
        <w:ind w:firstLine="567"/>
        <w:jc w:val="both"/>
        <w:rPr>
          <w:rFonts w:ascii="Times New Roman" w:hAnsi="Times New Roman" w:cs="Times New Roman"/>
          <w:bCs/>
          <w:sz w:val="24"/>
          <w:szCs w:val="24"/>
        </w:rPr>
      </w:pPr>
      <w:r w:rsidRPr="00712FAD">
        <w:rPr>
          <w:rFonts w:ascii="Times New Roman" w:hAnsi="Times New Roman" w:cs="Times New Roman"/>
          <w:bCs/>
          <w:sz w:val="24"/>
          <w:szCs w:val="24"/>
        </w:rPr>
        <w:t>В качестве инструментов анализа в данно</w:t>
      </w:r>
      <w:r w:rsidR="00172D4E" w:rsidRPr="00712FAD">
        <w:rPr>
          <w:rFonts w:ascii="Times New Roman" w:hAnsi="Times New Roman" w:cs="Times New Roman"/>
          <w:bCs/>
          <w:sz w:val="24"/>
          <w:szCs w:val="24"/>
        </w:rPr>
        <w:t>м</w:t>
      </w:r>
      <w:r w:rsidRPr="00712FAD">
        <w:rPr>
          <w:rFonts w:ascii="Times New Roman" w:hAnsi="Times New Roman" w:cs="Times New Roman"/>
          <w:bCs/>
          <w:sz w:val="24"/>
          <w:szCs w:val="24"/>
        </w:rPr>
        <w:t xml:space="preserve"> </w:t>
      </w:r>
      <w:r w:rsidR="00172D4E" w:rsidRPr="00712FAD">
        <w:rPr>
          <w:rFonts w:ascii="Times New Roman" w:hAnsi="Times New Roman" w:cs="Times New Roman"/>
          <w:bCs/>
          <w:sz w:val="24"/>
          <w:szCs w:val="24"/>
        </w:rPr>
        <w:t>исследовании</w:t>
      </w:r>
      <w:r w:rsidRPr="00712FAD">
        <w:rPr>
          <w:rFonts w:ascii="Times New Roman" w:hAnsi="Times New Roman" w:cs="Times New Roman"/>
          <w:bCs/>
          <w:sz w:val="24"/>
          <w:szCs w:val="24"/>
        </w:rPr>
        <w:t xml:space="preserve"> использ</w:t>
      </w:r>
      <w:r w:rsidR="00172D4E" w:rsidRPr="00712FAD">
        <w:rPr>
          <w:rFonts w:ascii="Times New Roman" w:hAnsi="Times New Roman" w:cs="Times New Roman"/>
          <w:bCs/>
          <w:sz w:val="24"/>
          <w:szCs w:val="24"/>
        </w:rPr>
        <w:t>овались</w:t>
      </w:r>
      <w:r w:rsidRPr="00712FAD">
        <w:rPr>
          <w:rFonts w:ascii="Times New Roman" w:hAnsi="Times New Roman" w:cs="Times New Roman"/>
          <w:bCs/>
          <w:sz w:val="24"/>
          <w:szCs w:val="24"/>
        </w:rPr>
        <w:t xml:space="preserve"> статистические методы и методы системного анализа.</w:t>
      </w:r>
    </w:p>
    <w:p w14:paraId="3E8C8501" w14:textId="01003C45" w:rsidR="00B83556" w:rsidRPr="00712FAD" w:rsidRDefault="00B83556" w:rsidP="00B83556">
      <w:pPr>
        <w:spacing w:after="0" w:line="360" w:lineRule="auto"/>
        <w:jc w:val="both"/>
        <w:rPr>
          <w:rFonts w:ascii="Times New Roman" w:hAnsi="Times New Roman" w:cs="Times New Roman"/>
          <w:b/>
          <w:sz w:val="24"/>
          <w:szCs w:val="24"/>
        </w:rPr>
      </w:pPr>
      <w:r w:rsidRPr="00712FAD">
        <w:rPr>
          <w:rFonts w:ascii="Times New Roman" w:hAnsi="Times New Roman" w:cs="Times New Roman"/>
          <w:b/>
          <w:sz w:val="24"/>
          <w:szCs w:val="24"/>
        </w:rPr>
        <w:t>Результаты</w:t>
      </w:r>
    </w:p>
    <w:p w14:paraId="7269AEF6" w14:textId="2BE18A63" w:rsidR="00172D4E" w:rsidRPr="00712FAD" w:rsidRDefault="00172D4E" w:rsidP="00172D4E">
      <w:pPr>
        <w:spacing w:after="0" w:line="360" w:lineRule="auto"/>
        <w:ind w:firstLine="567"/>
        <w:jc w:val="both"/>
        <w:rPr>
          <w:rFonts w:ascii="Times New Roman" w:hAnsi="Times New Roman" w:cs="Times New Roman"/>
          <w:bCs/>
          <w:spacing w:val="-8"/>
          <w:sz w:val="24"/>
          <w:szCs w:val="24"/>
        </w:rPr>
      </w:pPr>
      <w:r w:rsidRPr="00712FAD">
        <w:rPr>
          <w:rFonts w:ascii="Times New Roman" w:hAnsi="Times New Roman" w:cs="Times New Roman"/>
          <w:bCs/>
          <w:sz w:val="24"/>
          <w:szCs w:val="24"/>
        </w:rPr>
        <w:t>ВМТ является одним из самых распространенных и продаваемых в мире продуктов военного назначения. Особенно актуален этот вид военной техники для стран с протяженными морскими границами. Оценить состояние всего рынка ВВТ и конкретно рынка ВМТ можно, используя статистику СИПРИ и ЦАМТО.</w:t>
      </w:r>
      <w:r w:rsidRPr="00712FAD">
        <w:rPr>
          <w:rFonts w:ascii="Times New Roman" w:hAnsi="Times New Roman" w:cs="Times New Roman"/>
          <w:bCs/>
          <w:spacing w:val="-4"/>
          <w:sz w:val="24"/>
          <w:szCs w:val="24"/>
        </w:rPr>
        <w:t xml:space="preserve"> </w:t>
      </w:r>
      <w:r w:rsidRPr="00712FAD">
        <w:rPr>
          <w:rFonts w:ascii="Times New Roman" w:hAnsi="Times New Roman" w:cs="Times New Roman"/>
          <w:bCs/>
          <w:spacing w:val="-8"/>
          <w:sz w:val="24"/>
          <w:szCs w:val="24"/>
        </w:rPr>
        <w:t xml:space="preserve">В диаграмме, построенной по данным СИПРИ можно проследить изменения рынка ВВТ после окончания «холодной войны» и до настоящего времени (см. рис. 1). </w:t>
      </w:r>
    </w:p>
    <w:p w14:paraId="5232C02B" w14:textId="77777777" w:rsidR="00A35EF2" w:rsidRPr="00712FAD" w:rsidRDefault="00A35EF2" w:rsidP="00A35EF2">
      <w:pPr>
        <w:jc w:val="center"/>
        <w:rPr>
          <w:sz w:val="24"/>
          <w:szCs w:val="24"/>
        </w:rPr>
      </w:pPr>
      <w:r w:rsidRPr="00712FAD">
        <w:rPr>
          <w:noProof/>
          <w:sz w:val="24"/>
          <w:szCs w:val="24"/>
          <w:lang w:eastAsia="ru-RU"/>
        </w:rPr>
        <w:drawing>
          <wp:inline distT="0" distB="0" distL="0" distR="0" wp14:anchorId="00030BD7" wp14:editId="7F30B32D">
            <wp:extent cx="5116387" cy="1779683"/>
            <wp:effectExtent l="0" t="0" r="825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989E59" w14:textId="7B85C943" w:rsidR="00A35EF2" w:rsidRPr="00712FAD" w:rsidRDefault="00A35EF2" w:rsidP="00A35EF2">
      <w:pPr>
        <w:spacing w:after="0" w:line="360" w:lineRule="auto"/>
        <w:jc w:val="both"/>
        <w:rPr>
          <w:rFonts w:ascii="Times New Roman" w:hAnsi="Times New Roman" w:cs="Times New Roman"/>
          <w:b/>
          <w:bCs/>
          <w:spacing w:val="-4"/>
          <w:sz w:val="24"/>
          <w:szCs w:val="24"/>
        </w:rPr>
      </w:pPr>
      <w:r w:rsidRPr="00712FAD">
        <w:rPr>
          <w:rFonts w:ascii="Times New Roman" w:hAnsi="Times New Roman" w:cs="Times New Roman"/>
          <w:bCs/>
          <w:spacing w:val="-4"/>
          <w:sz w:val="24"/>
          <w:szCs w:val="24"/>
        </w:rPr>
        <w:t>Рис. 1 Мировой экспорт/импорт по данным СИПРИ за 1990-2019 гг. в млрд. долл. в ценах 2019</w:t>
      </w:r>
      <w:r w:rsidRPr="00712FAD">
        <w:rPr>
          <w:rFonts w:ascii="Times New Roman" w:hAnsi="Times New Roman" w:cs="Times New Roman"/>
          <w:b/>
          <w:bCs/>
          <w:spacing w:val="-4"/>
          <w:sz w:val="24"/>
          <w:szCs w:val="24"/>
        </w:rPr>
        <w:t xml:space="preserve"> </w:t>
      </w:r>
      <w:r w:rsidRPr="00712FAD">
        <w:rPr>
          <w:rFonts w:ascii="Times New Roman" w:hAnsi="Times New Roman" w:cs="Times New Roman"/>
          <w:bCs/>
          <w:spacing w:val="-4"/>
          <w:sz w:val="24"/>
          <w:szCs w:val="24"/>
        </w:rPr>
        <w:t xml:space="preserve">г. Источник: </w:t>
      </w:r>
      <w:bookmarkStart w:id="4" w:name="_Hlk48053404"/>
      <w:bookmarkStart w:id="5" w:name="_Hlk48074437"/>
      <w:r w:rsidRPr="00712FAD">
        <w:rPr>
          <w:rFonts w:ascii="Times New Roman" w:hAnsi="Times New Roman" w:cs="Times New Roman"/>
          <w:bCs/>
          <w:spacing w:val="-4"/>
          <w:sz w:val="24"/>
          <w:szCs w:val="24"/>
          <w:lang w:val="en-US"/>
        </w:rPr>
        <w:t>SIPRI</w:t>
      </w:r>
      <w:r w:rsidRPr="00712FAD">
        <w:rPr>
          <w:rFonts w:ascii="Times New Roman" w:hAnsi="Times New Roman" w:cs="Times New Roman"/>
          <w:bCs/>
          <w:spacing w:val="-4"/>
          <w:sz w:val="24"/>
          <w:szCs w:val="24"/>
        </w:rPr>
        <w:t xml:space="preserve"> </w:t>
      </w:r>
      <w:r w:rsidRPr="00712FAD">
        <w:rPr>
          <w:rFonts w:ascii="Times New Roman" w:hAnsi="Times New Roman" w:cs="Times New Roman"/>
          <w:bCs/>
          <w:spacing w:val="-4"/>
          <w:sz w:val="24"/>
          <w:szCs w:val="24"/>
          <w:lang w:val="en-US"/>
        </w:rPr>
        <w:t>Arms</w:t>
      </w:r>
      <w:r w:rsidRPr="00712FAD">
        <w:rPr>
          <w:rFonts w:ascii="Times New Roman" w:hAnsi="Times New Roman" w:cs="Times New Roman"/>
          <w:bCs/>
          <w:spacing w:val="-4"/>
          <w:sz w:val="24"/>
          <w:szCs w:val="24"/>
        </w:rPr>
        <w:t xml:space="preserve"> </w:t>
      </w:r>
      <w:r w:rsidRPr="00712FAD">
        <w:rPr>
          <w:rFonts w:ascii="Times New Roman" w:hAnsi="Times New Roman" w:cs="Times New Roman"/>
          <w:bCs/>
          <w:spacing w:val="-4"/>
          <w:sz w:val="24"/>
          <w:szCs w:val="24"/>
          <w:lang w:val="en-US"/>
        </w:rPr>
        <w:t>Transfers</w:t>
      </w:r>
      <w:r w:rsidRPr="00712FAD">
        <w:rPr>
          <w:rFonts w:ascii="Times New Roman" w:hAnsi="Times New Roman" w:cs="Times New Roman"/>
          <w:bCs/>
          <w:spacing w:val="-4"/>
          <w:sz w:val="24"/>
          <w:szCs w:val="24"/>
        </w:rPr>
        <w:t xml:space="preserve"> </w:t>
      </w:r>
      <w:r w:rsidRPr="00712FAD">
        <w:rPr>
          <w:rFonts w:ascii="Times New Roman" w:hAnsi="Times New Roman" w:cs="Times New Roman"/>
          <w:bCs/>
          <w:spacing w:val="-4"/>
          <w:sz w:val="24"/>
          <w:szCs w:val="24"/>
          <w:lang w:val="en-US"/>
        </w:rPr>
        <w:t>Databases</w:t>
      </w:r>
      <w:bookmarkEnd w:id="4"/>
      <w:bookmarkEnd w:id="5"/>
    </w:p>
    <w:p w14:paraId="7A34A7C6" w14:textId="21335759" w:rsidR="00B83556" w:rsidRPr="00712FAD" w:rsidRDefault="00B83556" w:rsidP="00B83556">
      <w:pPr>
        <w:spacing w:after="0" w:line="360" w:lineRule="auto"/>
        <w:ind w:firstLine="567"/>
        <w:jc w:val="both"/>
        <w:rPr>
          <w:rFonts w:ascii="Times New Roman" w:hAnsi="Times New Roman" w:cs="Times New Roman"/>
          <w:bCs/>
          <w:sz w:val="24"/>
          <w:szCs w:val="24"/>
        </w:rPr>
      </w:pPr>
      <w:r w:rsidRPr="00712FAD">
        <w:rPr>
          <w:rFonts w:ascii="Times New Roman" w:hAnsi="Times New Roman" w:cs="Times New Roman"/>
          <w:bCs/>
          <w:sz w:val="24"/>
          <w:szCs w:val="24"/>
        </w:rPr>
        <w:t xml:space="preserve">Из-за своеобразного подхода СИПРИ к оценке различных видов оружия в некоторых стоимостных единицах, называемых </w:t>
      </w:r>
      <w:r w:rsidRPr="00712FAD">
        <w:rPr>
          <w:rFonts w:ascii="Times New Roman" w:hAnsi="Times New Roman" w:cs="Times New Roman"/>
          <w:bCs/>
          <w:sz w:val="24"/>
          <w:szCs w:val="24"/>
          <w:lang w:val="en-US"/>
        </w:rPr>
        <w:t>TIVs</w:t>
      </w:r>
      <w:r w:rsidRPr="00712FAD">
        <w:rPr>
          <w:rFonts w:ascii="Times New Roman" w:hAnsi="Times New Roman" w:cs="Times New Roman"/>
          <w:bCs/>
          <w:sz w:val="24"/>
          <w:szCs w:val="24"/>
        </w:rPr>
        <w:t xml:space="preserve">, и не отражающих реальную стоимость единиц техники, нельзя полностью полагаться на </w:t>
      </w:r>
      <w:r w:rsidRPr="00712FAD">
        <w:rPr>
          <w:rFonts w:ascii="Times New Roman" w:hAnsi="Times New Roman" w:cs="Times New Roman"/>
          <w:bCs/>
          <w:sz w:val="24"/>
          <w:szCs w:val="24"/>
        </w:rPr>
        <w:lastRenderedPageBreak/>
        <w:t xml:space="preserve">стоимостные оценки СИПРИ объемов мирового рынка вооружений, однако тенденции прослеживаются хорошо. </w:t>
      </w:r>
    </w:p>
    <w:p w14:paraId="4109D878" w14:textId="66E83074" w:rsidR="00A35EF2" w:rsidRPr="00712FAD" w:rsidRDefault="00A35EF2" w:rsidP="00A35EF2">
      <w:pPr>
        <w:spacing w:after="0" w:line="360" w:lineRule="auto"/>
        <w:ind w:firstLine="567"/>
        <w:jc w:val="both"/>
        <w:rPr>
          <w:rFonts w:ascii="Times New Roman" w:hAnsi="Times New Roman" w:cs="Times New Roman"/>
          <w:bCs/>
          <w:sz w:val="24"/>
          <w:szCs w:val="24"/>
        </w:rPr>
      </w:pPr>
      <w:r w:rsidRPr="00712FAD">
        <w:rPr>
          <w:rFonts w:ascii="Times New Roman" w:hAnsi="Times New Roman" w:cs="Times New Roman"/>
          <w:bCs/>
          <w:sz w:val="24"/>
          <w:szCs w:val="24"/>
        </w:rPr>
        <w:t>Более реалистичны для оценки стоимостных потоков, по нашему мнению, данные ЦАМТО. Но при этом эти данные не учитывают инфляцию, так как даются в текущих ценах на момент заключения сделок (</w:t>
      </w:r>
      <w:r w:rsidR="00D24701" w:rsidRPr="00712FAD">
        <w:rPr>
          <w:rFonts w:ascii="Times New Roman" w:hAnsi="Times New Roman" w:cs="Times New Roman"/>
          <w:bCs/>
          <w:sz w:val="24"/>
          <w:szCs w:val="24"/>
        </w:rPr>
        <w:t>см. табл.</w:t>
      </w:r>
      <w:r w:rsidRPr="00712FAD">
        <w:rPr>
          <w:rFonts w:ascii="Times New Roman" w:hAnsi="Times New Roman" w:cs="Times New Roman"/>
          <w:bCs/>
          <w:sz w:val="24"/>
          <w:szCs w:val="24"/>
        </w:rPr>
        <w:t>1).</w:t>
      </w:r>
    </w:p>
    <w:p w14:paraId="31C23A8D" w14:textId="69EAD897" w:rsidR="00A35EF2" w:rsidRPr="00712FAD" w:rsidRDefault="00D24701" w:rsidP="00A35EF2">
      <w:pPr>
        <w:spacing w:after="0" w:line="360" w:lineRule="auto"/>
        <w:jc w:val="both"/>
        <w:rPr>
          <w:rFonts w:ascii="Times New Roman" w:hAnsi="Times New Roman" w:cs="Times New Roman"/>
          <w:bCs/>
          <w:spacing w:val="-4"/>
          <w:sz w:val="24"/>
          <w:szCs w:val="24"/>
        </w:rPr>
      </w:pPr>
      <w:r w:rsidRPr="00712FAD">
        <w:rPr>
          <w:rFonts w:ascii="Times New Roman" w:hAnsi="Times New Roman" w:cs="Times New Roman"/>
          <w:spacing w:val="-4"/>
          <w:sz w:val="24"/>
          <w:szCs w:val="24"/>
        </w:rPr>
        <w:t xml:space="preserve">Табл. </w:t>
      </w:r>
      <w:proofErr w:type="gramStart"/>
      <w:r w:rsidRPr="00712FAD">
        <w:rPr>
          <w:rFonts w:ascii="Times New Roman" w:hAnsi="Times New Roman" w:cs="Times New Roman"/>
          <w:spacing w:val="-4"/>
          <w:sz w:val="24"/>
          <w:szCs w:val="24"/>
        </w:rPr>
        <w:t>1</w:t>
      </w:r>
      <w:r w:rsidR="00A35EF2" w:rsidRPr="00712FAD">
        <w:rPr>
          <w:rFonts w:ascii="Times New Roman" w:hAnsi="Times New Roman" w:cs="Times New Roman"/>
          <w:bCs/>
          <w:spacing w:val="-4"/>
          <w:sz w:val="24"/>
          <w:szCs w:val="24"/>
        </w:rPr>
        <w:t xml:space="preserve">  Мировой</w:t>
      </w:r>
      <w:proofErr w:type="gramEnd"/>
      <w:r w:rsidR="00A35EF2" w:rsidRPr="00712FAD">
        <w:rPr>
          <w:rFonts w:ascii="Times New Roman" w:hAnsi="Times New Roman" w:cs="Times New Roman"/>
          <w:bCs/>
          <w:spacing w:val="-4"/>
          <w:sz w:val="24"/>
          <w:szCs w:val="24"/>
        </w:rPr>
        <w:t xml:space="preserve"> экспорт/импорт за последние 8 лет в млрд. долл.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943"/>
        <w:gridCol w:w="943"/>
        <w:gridCol w:w="943"/>
        <w:gridCol w:w="943"/>
        <w:gridCol w:w="943"/>
        <w:gridCol w:w="943"/>
        <w:gridCol w:w="835"/>
      </w:tblGrid>
      <w:tr w:rsidR="00A35EF2" w:rsidRPr="00712FAD" w14:paraId="7C42007F" w14:textId="77777777" w:rsidTr="00D24701">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034D0D97"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2011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3E0F0F94"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2012</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62D583AC"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2013</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34294556"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2014</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2E55C4A4"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2015</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2B659D99"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2016</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745BBE23"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2017</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14:paraId="7E9A3075"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2018</w:t>
            </w:r>
          </w:p>
        </w:tc>
      </w:tr>
      <w:tr w:rsidR="00A35EF2" w:rsidRPr="00712FAD" w14:paraId="100B6709" w14:textId="77777777" w:rsidTr="00D24701">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0B19FC0E"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59,1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7EE7588F"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58,2</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0C3D5DFD"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55,6</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294B6617"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67,6</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4C983627"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74,3</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0662600C"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81,2</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070B52BA"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86,6</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14:paraId="58715D0B" w14:textId="77777777" w:rsidR="00A35EF2" w:rsidRPr="00712FAD" w:rsidRDefault="00A35EF2" w:rsidP="00D24701">
            <w:pPr>
              <w:spacing w:after="0" w:line="360" w:lineRule="auto"/>
              <w:jc w:val="center"/>
              <w:rPr>
                <w:rFonts w:ascii="Times New Roman" w:hAnsi="Times New Roman" w:cs="Times New Roman"/>
                <w:bCs/>
                <w:spacing w:val="-4"/>
                <w:sz w:val="24"/>
                <w:szCs w:val="24"/>
              </w:rPr>
            </w:pPr>
            <w:r w:rsidRPr="00712FAD">
              <w:rPr>
                <w:rFonts w:ascii="Times New Roman" w:hAnsi="Times New Roman" w:cs="Times New Roman"/>
                <w:bCs/>
                <w:spacing w:val="-4"/>
                <w:sz w:val="24"/>
                <w:szCs w:val="24"/>
              </w:rPr>
              <w:t>84,8</w:t>
            </w:r>
          </w:p>
        </w:tc>
      </w:tr>
    </w:tbl>
    <w:p w14:paraId="207C774C" w14:textId="0FC06DB9" w:rsidR="00A35EF2" w:rsidRPr="00712FAD" w:rsidRDefault="00D24701" w:rsidP="003B4B2A">
      <w:pPr>
        <w:spacing w:after="60" w:line="240" w:lineRule="auto"/>
        <w:rPr>
          <w:rFonts w:ascii="Times New Roman" w:hAnsi="Times New Roman" w:cs="Times New Roman"/>
          <w:bCs/>
          <w:sz w:val="24"/>
          <w:szCs w:val="24"/>
          <w:lang w:val="cs-CZ"/>
        </w:rPr>
      </w:pPr>
      <w:bookmarkStart w:id="6" w:name="_Hlk48053488"/>
      <w:r w:rsidRPr="00712FAD">
        <w:rPr>
          <w:rFonts w:ascii="Times New Roman" w:hAnsi="Times New Roman" w:cs="Times New Roman"/>
          <w:bCs/>
          <w:sz w:val="24"/>
          <w:szCs w:val="24"/>
          <w:lang w:val="cs-CZ"/>
        </w:rPr>
        <w:t xml:space="preserve">Источник: Ежегодник ЦАМТО </w:t>
      </w:r>
      <w:r w:rsidR="00A35EF2" w:rsidRPr="00712FAD">
        <w:rPr>
          <w:rFonts w:ascii="Times New Roman" w:hAnsi="Times New Roman" w:cs="Times New Roman"/>
          <w:bCs/>
          <w:sz w:val="24"/>
          <w:szCs w:val="24"/>
          <w:lang w:val="cs-CZ"/>
        </w:rPr>
        <w:t xml:space="preserve">Yearbook of CAWAT 2019 </w:t>
      </w:r>
      <w:bookmarkEnd w:id="6"/>
      <w:r w:rsidR="00A35EF2" w:rsidRPr="00712FAD">
        <w:rPr>
          <w:rFonts w:ascii="Times New Roman" w:hAnsi="Times New Roman" w:cs="Times New Roman"/>
          <w:bCs/>
          <w:sz w:val="24"/>
          <w:szCs w:val="24"/>
          <w:lang w:val="cs-CZ"/>
        </w:rPr>
        <w:t>[</w:t>
      </w:r>
      <w:r w:rsidRPr="00712FAD">
        <w:rPr>
          <w:rFonts w:ascii="Times New Roman" w:hAnsi="Times New Roman" w:cs="Times New Roman"/>
          <w:bCs/>
          <w:sz w:val="24"/>
          <w:szCs w:val="24"/>
          <w:lang w:val="cs-CZ"/>
        </w:rPr>
        <w:t>https://armstrade.org/pages/main/magazines/yearly/report/methodics/index.shtml</w:t>
      </w:r>
      <w:r w:rsidR="00A35EF2" w:rsidRPr="00712FAD">
        <w:rPr>
          <w:rFonts w:ascii="Times New Roman" w:hAnsi="Times New Roman" w:cs="Times New Roman"/>
          <w:bCs/>
          <w:sz w:val="24"/>
          <w:szCs w:val="24"/>
          <w:lang w:val="cs-CZ"/>
        </w:rPr>
        <w:t>]</w:t>
      </w:r>
    </w:p>
    <w:p w14:paraId="610BA1FE" w14:textId="46E6313A" w:rsidR="00D24701" w:rsidRPr="00712FAD" w:rsidRDefault="00D24701" w:rsidP="00D24701">
      <w:pPr>
        <w:spacing w:after="0" w:line="360" w:lineRule="auto"/>
        <w:ind w:firstLine="567"/>
        <w:jc w:val="both"/>
        <w:rPr>
          <w:rFonts w:ascii="Times New Roman" w:hAnsi="Times New Roman" w:cs="Times New Roman"/>
          <w:bCs/>
          <w:sz w:val="24"/>
          <w:szCs w:val="24"/>
        </w:rPr>
      </w:pPr>
      <w:r w:rsidRPr="00712FAD">
        <w:rPr>
          <w:rFonts w:ascii="Times New Roman" w:hAnsi="Times New Roman" w:cs="Times New Roman"/>
          <w:bCs/>
          <w:sz w:val="24"/>
          <w:szCs w:val="24"/>
        </w:rPr>
        <w:t xml:space="preserve">Несмотря на сильное расхождение в цифрах, обусловленное разницей методик, по данным обоих агентств, видно, что мировой рынок ВВТ рос с 2013 по 2017 г. и немного сократился в 2018 г., оставаясь на очень высоких объемах, сравнимых с объемами конца «холодной войны». В целом за последние 20 лет, при некоторых колебаниях по годам, повышательный тренд очевиден. При анализе рынка ВМТ очень важно выбрать оптимальный период для оценки долей участников рынка, позиций лидеров продаж и лидеров по покупкам, сегментации рынка по основным продаваемым продуктам. </w:t>
      </w:r>
    </w:p>
    <w:p w14:paraId="165285D6" w14:textId="77777777" w:rsidR="00D24701" w:rsidRPr="00712FAD" w:rsidRDefault="00D24701" w:rsidP="00D24701">
      <w:pPr>
        <w:spacing w:after="0" w:line="360" w:lineRule="auto"/>
        <w:ind w:firstLine="567"/>
        <w:jc w:val="both"/>
        <w:rPr>
          <w:rFonts w:ascii="Times New Roman" w:hAnsi="Times New Roman" w:cs="Times New Roman"/>
          <w:bCs/>
          <w:spacing w:val="-2"/>
          <w:sz w:val="24"/>
          <w:szCs w:val="24"/>
        </w:rPr>
      </w:pPr>
      <w:r w:rsidRPr="00712FAD">
        <w:rPr>
          <w:rFonts w:ascii="Times New Roman" w:hAnsi="Times New Roman" w:cs="Times New Roman"/>
          <w:bCs/>
          <w:spacing w:val="-2"/>
          <w:sz w:val="24"/>
          <w:szCs w:val="24"/>
        </w:rPr>
        <w:t>Анализ сначала проведем с использованием статистики ЦАМТО за 8-летний период, а затем по статистике СИПРИ за 30-летний период. С одной стороны, взятый слишком коротким период может не выявить все возможности страны экспортера по поставкам, в связи с длительностью разработки и производства продукта. С другой стороны, слишком большой отрезок времени, так же может привести к заблуждениям, так как на протяжении длительного периода страна может кардинально изменить свои принципы в области продажи вооружений, например, превратиться из импортера в экспортера, как это произошло с Китаем и Индией, или значительно уменьшить экспорт, как это демонстрирует США.</w:t>
      </w:r>
    </w:p>
    <w:p w14:paraId="0506D908" w14:textId="12885B2C" w:rsidR="00BC7190" w:rsidRPr="00712FAD" w:rsidRDefault="00D24701" w:rsidP="00BC7190">
      <w:pPr>
        <w:spacing w:after="0" w:line="360" w:lineRule="auto"/>
        <w:ind w:firstLine="567"/>
        <w:jc w:val="both"/>
        <w:rPr>
          <w:rFonts w:ascii="Times New Roman" w:hAnsi="Times New Roman" w:cs="Times New Roman"/>
          <w:bCs/>
          <w:sz w:val="24"/>
          <w:szCs w:val="24"/>
        </w:rPr>
      </w:pPr>
      <w:r w:rsidRPr="00712FAD">
        <w:rPr>
          <w:rFonts w:ascii="Times New Roman" w:hAnsi="Times New Roman" w:cs="Times New Roman"/>
          <w:bCs/>
          <w:sz w:val="24"/>
          <w:szCs w:val="24"/>
        </w:rPr>
        <w:t xml:space="preserve">Но прежде всего, посмотрим, какую долю в мировых продажах вооружений составляет ВМТ. При анализе рынка на основе статистики различных информационных агентств необходимо знать, по какой именно продукции дается стоимостная оценка. ЦАМТО учитывает 8 видов вооружений, среди которых категория «военно-морская техника» подразумевает боевые надводные корабли, подводные лодки и катера. СИПРИ так же оценивает </w:t>
      </w:r>
      <w:r w:rsidRPr="00712FAD">
        <w:rPr>
          <w:rFonts w:ascii="Times New Roman" w:hAnsi="Times New Roman" w:cs="Times New Roman"/>
          <w:bCs/>
          <w:sz w:val="24"/>
          <w:szCs w:val="24"/>
        </w:rPr>
        <w:lastRenderedPageBreak/>
        <w:t>поставки военных кораблей различного типа, при этом, не выделяя отдельные категории. За период 2011-2018 гг. всеми участниками рынка ВМТ было экспортировано продукции на сумму 71601,7 млн. долл., причем БНК на 35824,0 млн. долл., (50,03 % от всех продаж), катеров и малых десантных кораблей на 20205,8 млн. долл. (28,22 %) и ПЛ на 15571,9 млн. долл., (21,75 %).</w:t>
      </w:r>
      <w:r w:rsidR="00B83556" w:rsidRPr="00712FAD">
        <w:rPr>
          <w:rFonts w:ascii="Times New Roman" w:hAnsi="Times New Roman" w:cs="Times New Roman"/>
          <w:bCs/>
          <w:sz w:val="24"/>
          <w:szCs w:val="24"/>
        </w:rPr>
        <w:t xml:space="preserve"> </w:t>
      </w:r>
      <w:r w:rsidR="00BC7190" w:rsidRPr="00712FAD">
        <w:rPr>
          <w:rFonts w:ascii="Times New Roman" w:hAnsi="Times New Roman" w:cs="Times New Roman"/>
          <w:bCs/>
          <w:sz w:val="24"/>
          <w:szCs w:val="24"/>
        </w:rPr>
        <w:t xml:space="preserve">Структура экспорта ВМТ отдельными ведущими мировыми экспортерами представлена в таблице 2. </w:t>
      </w:r>
    </w:p>
    <w:p w14:paraId="72C0C532" w14:textId="234B8055" w:rsidR="00BC7190" w:rsidRPr="00712FAD" w:rsidRDefault="00BC7190" w:rsidP="00BC7190">
      <w:pPr>
        <w:spacing w:after="0" w:line="240" w:lineRule="auto"/>
        <w:jc w:val="both"/>
        <w:rPr>
          <w:rFonts w:ascii="Times New Roman" w:hAnsi="Times New Roman" w:cs="Times New Roman"/>
          <w:bCs/>
          <w:sz w:val="24"/>
          <w:szCs w:val="24"/>
          <w:lang w:val="cs-CZ"/>
        </w:rPr>
      </w:pPr>
      <w:r w:rsidRPr="00712FAD">
        <w:rPr>
          <w:rFonts w:ascii="Times New Roman" w:hAnsi="Times New Roman" w:cs="Times New Roman"/>
          <w:bCs/>
          <w:sz w:val="24"/>
          <w:szCs w:val="24"/>
        </w:rPr>
        <w:t xml:space="preserve">Табл. 2 </w:t>
      </w:r>
      <w:r w:rsidRPr="00712FAD">
        <w:rPr>
          <w:rFonts w:ascii="Times New Roman" w:hAnsi="Times New Roman" w:cs="Times New Roman"/>
          <w:bCs/>
          <w:sz w:val="24"/>
          <w:szCs w:val="24"/>
          <w:lang w:val="cs-CZ"/>
        </w:rPr>
        <w:t>Стоимостная оценка поставок на экспорт всех категорий ВМТ за период 2011-2018 гг. основных экспортеров рынка (млн. долл. США)</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3"/>
        <w:gridCol w:w="2410"/>
        <w:gridCol w:w="1002"/>
        <w:gridCol w:w="1266"/>
      </w:tblGrid>
      <w:tr w:rsidR="00BC7190" w:rsidRPr="00712FAD" w14:paraId="52044A18" w14:textId="77777777" w:rsidTr="00501827">
        <w:tc>
          <w:tcPr>
            <w:tcW w:w="15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859FF54" w14:textId="77777777" w:rsidR="00BC7190" w:rsidRPr="00712FAD" w:rsidRDefault="00BC7190" w:rsidP="00BC7190">
            <w:pPr>
              <w:spacing w:after="0" w:line="240" w:lineRule="auto"/>
              <w:ind w:firstLine="63"/>
              <w:jc w:val="center"/>
              <w:rPr>
                <w:rFonts w:ascii="Times New Roman" w:hAnsi="Times New Roman" w:cs="Times New Roman"/>
                <w:sz w:val="24"/>
                <w:szCs w:val="24"/>
              </w:rPr>
            </w:pPr>
            <w:r w:rsidRPr="00712FAD">
              <w:rPr>
                <w:rFonts w:ascii="Times New Roman" w:hAnsi="Times New Roman" w:cs="Times New Roman"/>
                <w:sz w:val="24"/>
                <w:szCs w:val="24"/>
              </w:rPr>
              <w:t>Страна</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FA53692" w14:textId="26CB2958" w:rsidR="00BC7190" w:rsidRPr="00712FAD" w:rsidRDefault="00BC7190" w:rsidP="00BC7190">
            <w:pPr>
              <w:spacing w:after="0" w:line="240" w:lineRule="auto"/>
              <w:jc w:val="center"/>
              <w:rPr>
                <w:rFonts w:ascii="Times New Roman" w:hAnsi="Times New Roman" w:cs="Times New Roman"/>
                <w:sz w:val="24"/>
                <w:szCs w:val="24"/>
              </w:rPr>
            </w:pPr>
            <w:r w:rsidRPr="00712FAD">
              <w:rPr>
                <w:rFonts w:ascii="Times New Roman" w:hAnsi="Times New Roman" w:cs="Times New Roman"/>
                <w:sz w:val="24"/>
                <w:szCs w:val="24"/>
              </w:rPr>
              <w:t>Подводные лодки</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02B5EF2" w14:textId="35F76561" w:rsidR="00BC7190" w:rsidRPr="00712FAD" w:rsidRDefault="00BC7190" w:rsidP="00BC7190">
            <w:pPr>
              <w:spacing w:after="0" w:line="240" w:lineRule="auto"/>
              <w:jc w:val="center"/>
              <w:rPr>
                <w:rFonts w:ascii="Times New Roman" w:hAnsi="Times New Roman" w:cs="Times New Roman"/>
                <w:sz w:val="24"/>
                <w:szCs w:val="24"/>
              </w:rPr>
            </w:pPr>
            <w:r w:rsidRPr="00712FAD">
              <w:rPr>
                <w:rFonts w:ascii="Times New Roman" w:hAnsi="Times New Roman" w:cs="Times New Roman"/>
                <w:sz w:val="24"/>
                <w:szCs w:val="24"/>
              </w:rPr>
              <w:t>Большие надводные корабли</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AE656EE" w14:textId="07D8BAE5" w:rsidR="00BC7190" w:rsidRPr="00712FAD" w:rsidRDefault="00BC7190" w:rsidP="00BC7190">
            <w:pPr>
              <w:spacing w:after="0" w:line="240" w:lineRule="auto"/>
              <w:ind w:hanging="51"/>
              <w:jc w:val="center"/>
              <w:rPr>
                <w:rFonts w:ascii="Times New Roman" w:hAnsi="Times New Roman" w:cs="Times New Roman"/>
                <w:sz w:val="24"/>
                <w:szCs w:val="24"/>
              </w:rPr>
            </w:pPr>
            <w:r w:rsidRPr="00712FAD">
              <w:rPr>
                <w:rFonts w:ascii="Times New Roman" w:hAnsi="Times New Roman" w:cs="Times New Roman"/>
                <w:sz w:val="24"/>
                <w:szCs w:val="24"/>
              </w:rPr>
              <w:t>Катера</w:t>
            </w:r>
          </w:p>
        </w:tc>
        <w:tc>
          <w:tcPr>
            <w:tcW w:w="12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A1F3AD" w14:textId="77777777" w:rsidR="00BC7190" w:rsidRPr="00712FAD" w:rsidRDefault="00BC7190" w:rsidP="00BC7190">
            <w:pPr>
              <w:spacing w:after="0" w:line="240" w:lineRule="auto"/>
              <w:ind w:firstLine="22"/>
              <w:jc w:val="center"/>
              <w:rPr>
                <w:rFonts w:ascii="Times New Roman" w:hAnsi="Times New Roman" w:cs="Times New Roman"/>
                <w:sz w:val="24"/>
                <w:szCs w:val="24"/>
              </w:rPr>
            </w:pPr>
            <w:r w:rsidRPr="00712FAD">
              <w:rPr>
                <w:rFonts w:ascii="Times New Roman" w:hAnsi="Times New Roman" w:cs="Times New Roman"/>
                <w:sz w:val="24"/>
                <w:szCs w:val="24"/>
              </w:rPr>
              <w:t>Всего</w:t>
            </w:r>
          </w:p>
          <w:p w14:paraId="6D0E2091" w14:textId="77777777" w:rsidR="00BC7190" w:rsidRPr="00712FAD" w:rsidRDefault="00BC7190" w:rsidP="00BC7190">
            <w:pPr>
              <w:spacing w:after="0" w:line="240" w:lineRule="auto"/>
              <w:ind w:firstLine="22"/>
              <w:jc w:val="center"/>
              <w:rPr>
                <w:rFonts w:ascii="Times New Roman" w:hAnsi="Times New Roman" w:cs="Times New Roman"/>
                <w:sz w:val="24"/>
                <w:szCs w:val="24"/>
              </w:rPr>
            </w:pPr>
          </w:p>
        </w:tc>
      </w:tr>
      <w:tr w:rsidR="00BC7190" w:rsidRPr="00712FAD" w14:paraId="5139D89A" w14:textId="77777777" w:rsidTr="00501827">
        <w:tc>
          <w:tcPr>
            <w:tcW w:w="15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99B5875" w14:textId="77777777" w:rsidR="00BC7190" w:rsidRPr="00712FAD" w:rsidRDefault="00BC7190" w:rsidP="00501827">
            <w:pPr>
              <w:spacing w:after="0" w:line="240" w:lineRule="auto"/>
              <w:jc w:val="both"/>
              <w:rPr>
                <w:rFonts w:ascii="Times New Roman" w:hAnsi="Times New Roman" w:cs="Times New Roman"/>
                <w:bCs/>
                <w:sz w:val="24"/>
                <w:szCs w:val="24"/>
              </w:rPr>
            </w:pPr>
            <w:r w:rsidRPr="00712FAD">
              <w:rPr>
                <w:rFonts w:ascii="Times New Roman" w:hAnsi="Times New Roman" w:cs="Times New Roman"/>
                <w:bCs/>
                <w:sz w:val="24"/>
                <w:szCs w:val="24"/>
              </w:rPr>
              <w:t>РФ</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79D3CE6"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7187,0</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6360677"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4835,0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1A2E4EF"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2345,0</w:t>
            </w:r>
          </w:p>
        </w:tc>
        <w:tc>
          <w:tcPr>
            <w:tcW w:w="12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1359FA3" w14:textId="77777777" w:rsidR="00BC7190" w:rsidRPr="00712FAD" w:rsidRDefault="00BC7190" w:rsidP="00501827">
            <w:pPr>
              <w:spacing w:after="0" w:line="240" w:lineRule="auto"/>
              <w:ind w:firstLine="22"/>
              <w:jc w:val="center"/>
              <w:rPr>
                <w:rFonts w:ascii="Times New Roman" w:hAnsi="Times New Roman" w:cs="Times New Roman"/>
                <w:bCs/>
                <w:sz w:val="24"/>
                <w:szCs w:val="24"/>
              </w:rPr>
            </w:pPr>
            <w:r w:rsidRPr="00712FAD">
              <w:rPr>
                <w:rFonts w:ascii="Times New Roman" w:hAnsi="Times New Roman" w:cs="Times New Roman"/>
                <w:bCs/>
                <w:sz w:val="24"/>
                <w:szCs w:val="24"/>
              </w:rPr>
              <w:t>14367,0</w:t>
            </w:r>
          </w:p>
        </w:tc>
      </w:tr>
      <w:tr w:rsidR="00BC7190" w:rsidRPr="00712FAD" w14:paraId="526FFDAC" w14:textId="77777777" w:rsidTr="00501827">
        <w:tc>
          <w:tcPr>
            <w:tcW w:w="15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337621D" w14:textId="77777777" w:rsidR="00BC7190" w:rsidRPr="00712FAD" w:rsidRDefault="00BC7190" w:rsidP="00501827">
            <w:pPr>
              <w:spacing w:after="0" w:line="240" w:lineRule="auto"/>
              <w:jc w:val="both"/>
              <w:rPr>
                <w:rFonts w:ascii="Times New Roman" w:hAnsi="Times New Roman" w:cs="Times New Roman"/>
                <w:bCs/>
                <w:sz w:val="24"/>
                <w:szCs w:val="24"/>
              </w:rPr>
            </w:pPr>
            <w:r w:rsidRPr="00712FAD">
              <w:rPr>
                <w:rFonts w:ascii="Times New Roman" w:hAnsi="Times New Roman" w:cs="Times New Roman"/>
                <w:bCs/>
                <w:sz w:val="24"/>
                <w:szCs w:val="24"/>
              </w:rPr>
              <w:t>Германия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EBBC807"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6150,2</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4F5980C"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2480,0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CD6E697"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1603,1</w:t>
            </w:r>
          </w:p>
        </w:tc>
        <w:tc>
          <w:tcPr>
            <w:tcW w:w="12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B590DB6" w14:textId="77777777" w:rsidR="00BC7190" w:rsidRPr="00712FAD" w:rsidRDefault="00BC7190" w:rsidP="00501827">
            <w:pPr>
              <w:spacing w:after="0" w:line="240" w:lineRule="auto"/>
              <w:ind w:firstLine="22"/>
              <w:jc w:val="center"/>
              <w:rPr>
                <w:rFonts w:ascii="Times New Roman" w:hAnsi="Times New Roman" w:cs="Times New Roman"/>
                <w:bCs/>
                <w:sz w:val="24"/>
                <w:szCs w:val="24"/>
              </w:rPr>
            </w:pPr>
            <w:r w:rsidRPr="00712FAD">
              <w:rPr>
                <w:rFonts w:ascii="Times New Roman" w:hAnsi="Times New Roman" w:cs="Times New Roman"/>
                <w:bCs/>
                <w:sz w:val="24"/>
                <w:szCs w:val="24"/>
              </w:rPr>
              <w:t>10233,3</w:t>
            </w:r>
          </w:p>
        </w:tc>
      </w:tr>
      <w:tr w:rsidR="00BC7190" w:rsidRPr="00712FAD" w14:paraId="6A6D56C2" w14:textId="77777777" w:rsidTr="00501827">
        <w:tc>
          <w:tcPr>
            <w:tcW w:w="15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D638162" w14:textId="77777777" w:rsidR="00BC7190" w:rsidRPr="00712FAD" w:rsidRDefault="00BC7190" w:rsidP="00501827">
            <w:pPr>
              <w:spacing w:after="0" w:line="240" w:lineRule="auto"/>
              <w:jc w:val="both"/>
              <w:rPr>
                <w:rFonts w:ascii="Times New Roman" w:hAnsi="Times New Roman" w:cs="Times New Roman"/>
                <w:bCs/>
                <w:sz w:val="24"/>
                <w:szCs w:val="24"/>
              </w:rPr>
            </w:pPr>
            <w:r w:rsidRPr="00712FAD">
              <w:rPr>
                <w:rFonts w:ascii="Times New Roman" w:hAnsi="Times New Roman" w:cs="Times New Roman"/>
                <w:bCs/>
                <w:sz w:val="24"/>
                <w:szCs w:val="24"/>
              </w:rPr>
              <w:t>Франция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D675488"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922,7</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022CDA1"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6238,4</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2378CBB"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1572,2</w:t>
            </w:r>
          </w:p>
        </w:tc>
        <w:tc>
          <w:tcPr>
            <w:tcW w:w="12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81EA359" w14:textId="77777777" w:rsidR="00BC7190" w:rsidRPr="00712FAD" w:rsidRDefault="00BC7190" w:rsidP="00501827">
            <w:pPr>
              <w:spacing w:after="0" w:line="240" w:lineRule="auto"/>
              <w:ind w:firstLine="22"/>
              <w:jc w:val="center"/>
              <w:rPr>
                <w:rFonts w:ascii="Times New Roman" w:hAnsi="Times New Roman" w:cs="Times New Roman"/>
                <w:bCs/>
                <w:sz w:val="24"/>
                <w:szCs w:val="24"/>
              </w:rPr>
            </w:pPr>
            <w:r w:rsidRPr="00712FAD">
              <w:rPr>
                <w:rFonts w:ascii="Times New Roman" w:hAnsi="Times New Roman" w:cs="Times New Roman"/>
                <w:bCs/>
                <w:sz w:val="24"/>
                <w:szCs w:val="24"/>
              </w:rPr>
              <w:t>8733,3</w:t>
            </w:r>
          </w:p>
        </w:tc>
      </w:tr>
      <w:tr w:rsidR="00BC7190" w:rsidRPr="00712FAD" w14:paraId="5A0A1A32" w14:textId="77777777" w:rsidTr="00501827">
        <w:tc>
          <w:tcPr>
            <w:tcW w:w="15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FA650FA" w14:textId="77777777" w:rsidR="00BC7190" w:rsidRPr="00712FAD" w:rsidRDefault="00BC7190" w:rsidP="00501827">
            <w:pPr>
              <w:spacing w:after="0" w:line="240" w:lineRule="auto"/>
              <w:jc w:val="both"/>
              <w:rPr>
                <w:rFonts w:ascii="Times New Roman" w:hAnsi="Times New Roman" w:cs="Times New Roman"/>
                <w:bCs/>
                <w:sz w:val="24"/>
                <w:szCs w:val="24"/>
              </w:rPr>
            </w:pPr>
            <w:r w:rsidRPr="00712FAD">
              <w:rPr>
                <w:rFonts w:ascii="Times New Roman" w:hAnsi="Times New Roman" w:cs="Times New Roman"/>
                <w:bCs/>
                <w:sz w:val="24"/>
                <w:szCs w:val="24"/>
              </w:rPr>
              <w:t>Австралия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A7D745E"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9E60335"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2865,9</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815BF8C"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1749,2</w:t>
            </w:r>
          </w:p>
        </w:tc>
        <w:tc>
          <w:tcPr>
            <w:tcW w:w="12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5626002" w14:textId="77777777" w:rsidR="00BC7190" w:rsidRPr="00712FAD" w:rsidRDefault="00BC7190" w:rsidP="00501827">
            <w:pPr>
              <w:spacing w:after="0" w:line="240" w:lineRule="auto"/>
              <w:ind w:firstLine="22"/>
              <w:jc w:val="center"/>
              <w:rPr>
                <w:rFonts w:ascii="Times New Roman" w:hAnsi="Times New Roman" w:cs="Times New Roman"/>
                <w:bCs/>
                <w:sz w:val="24"/>
                <w:szCs w:val="24"/>
              </w:rPr>
            </w:pPr>
            <w:r w:rsidRPr="00712FAD">
              <w:rPr>
                <w:rFonts w:ascii="Times New Roman" w:hAnsi="Times New Roman" w:cs="Times New Roman"/>
                <w:bCs/>
                <w:sz w:val="24"/>
                <w:szCs w:val="24"/>
              </w:rPr>
              <w:t>4615,1</w:t>
            </w:r>
          </w:p>
        </w:tc>
      </w:tr>
      <w:tr w:rsidR="00BC7190" w:rsidRPr="00712FAD" w14:paraId="51212785" w14:textId="77777777" w:rsidTr="00501827">
        <w:tc>
          <w:tcPr>
            <w:tcW w:w="15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09BD88A" w14:textId="77777777" w:rsidR="00BC7190" w:rsidRPr="00712FAD" w:rsidRDefault="00BC7190" w:rsidP="00501827">
            <w:pPr>
              <w:spacing w:after="0" w:line="240" w:lineRule="auto"/>
              <w:jc w:val="both"/>
              <w:rPr>
                <w:rFonts w:ascii="Times New Roman" w:hAnsi="Times New Roman" w:cs="Times New Roman"/>
                <w:bCs/>
                <w:sz w:val="24"/>
                <w:szCs w:val="24"/>
              </w:rPr>
            </w:pPr>
            <w:r w:rsidRPr="00712FAD">
              <w:rPr>
                <w:rFonts w:ascii="Times New Roman" w:hAnsi="Times New Roman" w:cs="Times New Roman"/>
                <w:bCs/>
                <w:sz w:val="24"/>
                <w:szCs w:val="24"/>
              </w:rPr>
              <w:t>США</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5CF00F3"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35,3</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1642372"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2556,0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9B0BCF5"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840,0</w:t>
            </w:r>
          </w:p>
        </w:tc>
        <w:tc>
          <w:tcPr>
            <w:tcW w:w="12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C4DD63F" w14:textId="77777777" w:rsidR="00BC7190" w:rsidRPr="00712FAD" w:rsidRDefault="00BC7190" w:rsidP="00501827">
            <w:pPr>
              <w:spacing w:after="0" w:line="240" w:lineRule="auto"/>
              <w:ind w:firstLine="22"/>
              <w:jc w:val="center"/>
              <w:rPr>
                <w:rFonts w:ascii="Times New Roman" w:hAnsi="Times New Roman" w:cs="Times New Roman"/>
                <w:bCs/>
                <w:sz w:val="24"/>
                <w:szCs w:val="24"/>
              </w:rPr>
            </w:pPr>
            <w:r w:rsidRPr="00712FAD">
              <w:rPr>
                <w:rFonts w:ascii="Times New Roman" w:hAnsi="Times New Roman" w:cs="Times New Roman"/>
                <w:bCs/>
                <w:sz w:val="24"/>
                <w:szCs w:val="24"/>
              </w:rPr>
              <w:t>3431,3</w:t>
            </w:r>
          </w:p>
        </w:tc>
      </w:tr>
      <w:tr w:rsidR="00BC7190" w:rsidRPr="00712FAD" w14:paraId="617BA81C" w14:textId="77777777" w:rsidTr="00501827">
        <w:tc>
          <w:tcPr>
            <w:tcW w:w="15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FF6043C" w14:textId="77777777" w:rsidR="00BC7190" w:rsidRPr="00712FAD" w:rsidRDefault="00BC7190" w:rsidP="00501827">
            <w:pPr>
              <w:spacing w:after="0" w:line="240" w:lineRule="auto"/>
              <w:jc w:val="both"/>
              <w:rPr>
                <w:rFonts w:ascii="Times New Roman" w:hAnsi="Times New Roman" w:cs="Times New Roman"/>
                <w:bCs/>
                <w:sz w:val="24"/>
                <w:szCs w:val="24"/>
              </w:rPr>
            </w:pPr>
            <w:r w:rsidRPr="00712FAD">
              <w:rPr>
                <w:rFonts w:ascii="Times New Roman" w:hAnsi="Times New Roman" w:cs="Times New Roman"/>
                <w:bCs/>
                <w:sz w:val="24"/>
                <w:szCs w:val="24"/>
              </w:rPr>
              <w:t>Китай</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C0D79B8"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200,0</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C034E80"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1646,9</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5E7695B"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1380,6</w:t>
            </w:r>
          </w:p>
        </w:tc>
        <w:tc>
          <w:tcPr>
            <w:tcW w:w="12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09C18E45" w14:textId="77777777" w:rsidR="00BC7190" w:rsidRPr="00712FAD" w:rsidRDefault="00BC7190" w:rsidP="00501827">
            <w:pPr>
              <w:spacing w:after="0" w:line="240" w:lineRule="auto"/>
              <w:ind w:firstLine="22"/>
              <w:jc w:val="center"/>
              <w:rPr>
                <w:rFonts w:ascii="Times New Roman" w:hAnsi="Times New Roman" w:cs="Times New Roman"/>
                <w:bCs/>
                <w:sz w:val="24"/>
                <w:szCs w:val="24"/>
              </w:rPr>
            </w:pPr>
            <w:r w:rsidRPr="00712FAD">
              <w:rPr>
                <w:rFonts w:ascii="Times New Roman" w:hAnsi="Times New Roman" w:cs="Times New Roman"/>
                <w:bCs/>
                <w:sz w:val="24"/>
                <w:szCs w:val="24"/>
              </w:rPr>
              <w:t>3227,5</w:t>
            </w:r>
          </w:p>
        </w:tc>
      </w:tr>
      <w:tr w:rsidR="00BC7190" w:rsidRPr="00712FAD" w14:paraId="5EBD757E" w14:textId="77777777" w:rsidTr="00501827">
        <w:tc>
          <w:tcPr>
            <w:tcW w:w="15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FED191B" w14:textId="77777777" w:rsidR="00BC7190" w:rsidRPr="00712FAD" w:rsidRDefault="00BC7190" w:rsidP="00501827">
            <w:pPr>
              <w:spacing w:after="0" w:line="240" w:lineRule="auto"/>
              <w:jc w:val="both"/>
              <w:rPr>
                <w:rFonts w:ascii="Times New Roman" w:hAnsi="Times New Roman" w:cs="Times New Roman"/>
                <w:bCs/>
                <w:sz w:val="24"/>
                <w:szCs w:val="24"/>
              </w:rPr>
            </w:pPr>
            <w:r w:rsidRPr="00712FAD">
              <w:rPr>
                <w:rFonts w:ascii="Times New Roman" w:hAnsi="Times New Roman" w:cs="Times New Roman"/>
                <w:bCs/>
                <w:sz w:val="24"/>
                <w:szCs w:val="24"/>
              </w:rPr>
              <w:t>Южная Корея</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5E8FFF8"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808,3</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6B09ACB"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1161,8</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02F4572"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185,2</w:t>
            </w:r>
          </w:p>
        </w:tc>
        <w:tc>
          <w:tcPr>
            <w:tcW w:w="12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0880F3D" w14:textId="77777777" w:rsidR="00BC7190" w:rsidRPr="00712FAD" w:rsidRDefault="00BC7190" w:rsidP="00501827">
            <w:pPr>
              <w:spacing w:after="0" w:line="240" w:lineRule="auto"/>
              <w:ind w:firstLine="22"/>
              <w:jc w:val="center"/>
              <w:rPr>
                <w:rFonts w:ascii="Times New Roman" w:hAnsi="Times New Roman" w:cs="Times New Roman"/>
                <w:bCs/>
                <w:sz w:val="24"/>
                <w:szCs w:val="24"/>
              </w:rPr>
            </w:pPr>
            <w:r w:rsidRPr="00712FAD">
              <w:rPr>
                <w:rFonts w:ascii="Times New Roman" w:hAnsi="Times New Roman" w:cs="Times New Roman"/>
                <w:bCs/>
                <w:sz w:val="24"/>
                <w:szCs w:val="24"/>
              </w:rPr>
              <w:t>2155,3</w:t>
            </w:r>
          </w:p>
        </w:tc>
      </w:tr>
      <w:tr w:rsidR="00BC7190" w:rsidRPr="00712FAD" w14:paraId="66001A83" w14:textId="77777777" w:rsidTr="00501827">
        <w:tc>
          <w:tcPr>
            <w:tcW w:w="15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55156EA" w14:textId="77777777" w:rsidR="00BC7190" w:rsidRPr="00712FAD" w:rsidRDefault="00BC7190" w:rsidP="00501827">
            <w:pPr>
              <w:spacing w:after="0" w:line="240" w:lineRule="auto"/>
              <w:jc w:val="both"/>
              <w:rPr>
                <w:rFonts w:ascii="Times New Roman" w:hAnsi="Times New Roman" w:cs="Times New Roman"/>
                <w:bCs/>
                <w:sz w:val="24"/>
                <w:szCs w:val="24"/>
              </w:rPr>
            </w:pPr>
            <w:r w:rsidRPr="00712FAD">
              <w:rPr>
                <w:rFonts w:ascii="Times New Roman" w:hAnsi="Times New Roman" w:cs="Times New Roman"/>
                <w:bCs/>
                <w:sz w:val="24"/>
                <w:szCs w:val="24"/>
              </w:rPr>
              <w:t>Швеция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3C801750"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143,4</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90B3CC5"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5F2709D6" w14:textId="77777777" w:rsidR="00BC7190" w:rsidRPr="00712FAD" w:rsidRDefault="00BC7190" w:rsidP="00501827">
            <w:pPr>
              <w:spacing w:after="0" w:line="240" w:lineRule="auto"/>
              <w:jc w:val="center"/>
              <w:rPr>
                <w:rFonts w:ascii="Times New Roman" w:hAnsi="Times New Roman" w:cs="Times New Roman"/>
                <w:bCs/>
                <w:sz w:val="24"/>
                <w:szCs w:val="24"/>
              </w:rPr>
            </w:pPr>
            <w:r w:rsidRPr="00712FAD">
              <w:rPr>
                <w:rFonts w:ascii="Times New Roman" w:hAnsi="Times New Roman" w:cs="Times New Roman"/>
                <w:bCs/>
                <w:sz w:val="24"/>
                <w:szCs w:val="24"/>
              </w:rPr>
              <w:t>352,1</w:t>
            </w:r>
          </w:p>
        </w:tc>
        <w:tc>
          <w:tcPr>
            <w:tcW w:w="126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7B14063" w14:textId="77777777" w:rsidR="00BC7190" w:rsidRPr="00712FAD" w:rsidRDefault="00BC7190" w:rsidP="00501827">
            <w:pPr>
              <w:spacing w:after="0" w:line="240" w:lineRule="auto"/>
              <w:ind w:firstLine="22"/>
              <w:jc w:val="center"/>
              <w:rPr>
                <w:rFonts w:ascii="Times New Roman" w:hAnsi="Times New Roman" w:cs="Times New Roman"/>
                <w:bCs/>
                <w:sz w:val="24"/>
                <w:szCs w:val="24"/>
              </w:rPr>
            </w:pPr>
            <w:r w:rsidRPr="00712FAD">
              <w:rPr>
                <w:rFonts w:ascii="Times New Roman" w:hAnsi="Times New Roman" w:cs="Times New Roman"/>
                <w:bCs/>
                <w:sz w:val="24"/>
                <w:szCs w:val="24"/>
              </w:rPr>
              <w:t>495,5</w:t>
            </w:r>
          </w:p>
        </w:tc>
      </w:tr>
    </w:tbl>
    <w:p w14:paraId="2D05F9DE" w14:textId="1EF6315A" w:rsidR="00BC7190" w:rsidRPr="00712FAD" w:rsidRDefault="00501827" w:rsidP="00501827">
      <w:pPr>
        <w:spacing w:after="0" w:line="360" w:lineRule="auto"/>
        <w:jc w:val="both"/>
        <w:rPr>
          <w:rFonts w:ascii="Times New Roman" w:hAnsi="Times New Roman" w:cs="Times New Roman"/>
          <w:bCs/>
          <w:sz w:val="24"/>
          <w:szCs w:val="24"/>
        </w:rPr>
      </w:pPr>
      <w:r w:rsidRPr="00712FAD">
        <w:rPr>
          <w:rFonts w:ascii="Times New Roman" w:hAnsi="Times New Roman" w:cs="Times New Roman"/>
          <w:bCs/>
          <w:sz w:val="24"/>
          <w:szCs w:val="24"/>
        </w:rPr>
        <w:t>Источник: рассчитано авторами на основании Ежегодника ЦАМТО</w:t>
      </w:r>
      <w:r w:rsidR="00BC7190" w:rsidRPr="00712FAD">
        <w:rPr>
          <w:rFonts w:ascii="Times New Roman" w:hAnsi="Times New Roman" w:cs="Times New Roman"/>
          <w:bCs/>
          <w:sz w:val="24"/>
          <w:szCs w:val="24"/>
        </w:rPr>
        <w:t xml:space="preserve">  </w:t>
      </w:r>
    </w:p>
    <w:p w14:paraId="4DAADFFF" w14:textId="13D1BADF" w:rsidR="00501827" w:rsidRPr="00712FAD" w:rsidRDefault="00501827" w:rsidP="00501827">
      <w:pPr>
        <w:spacing w:after="0" w:line="360" w:lineRule="auto"/>
        <w:ind w:firstLine="567"/>
        <w:jc w:val="both"/>
        <w:rPr>
          <w:rFonts w:ascii="Times New Roman" w:hAnsi="Times New Roman" w:cs="Times New Roman"/>
          <w:bCs/>
          <w:sz w:val="24"/>
          <w:szCs w:val="24"/>
        </w:rPr>
      </w:pPr>
      <w:r w:rsidRPr="00712FAD">
        <w:rPr>
          <w:rFonts w:ascii="Times New Roman" w:hAnsi="Times New Roman" w:cs="Times New Roman"/>
          <w:bCs/>
          <w:sz w:val="24"/>
          <w:szCs w:val="24"/>
        </w:rPr>
        <w:t xml:space="preserve">По представленным в таблице данным по стоимостным оценкам экспорта </w:t>
      </w:r>
      <w:r w:rsidR="00BF2632">
        <w:rPr>
          <w:rFonts w:ascii="Times New Roman" w:hAnsi="Times New Roman" w:cs="Times New Roman"/>
          <w:bCs/>
          <w:sz w:val="24"/>
          <w:szCs w:val="24"/>
        </w:rPr>
        <w:t>ВМТ</w:t>
      </w:r>
      <w:r w:rsidRPr="00712FAD">
        <w:rPr>
          <w:rFonts w:ascii="Times New Roman" w:hAnsi="Times New Roman" w:cs="Times New Roman"/>
          <w:bCs/>
          <w:sz w:val="24"/>
          <w:szCs w:val="24"/>
        </w:rPr>
        <w:t xml:space="preserve"> видно, кто является основными поставщиками различных категорий военно-морского вооружения. Это Россия, Франция и Германия. Только эти страны производят и продают все категории военного кораблестроения. С большим отрывом идут остальные экспортеры рынка. </w:t>
      </w:r>
    </w:p>
    <w:p w14:paraId="2F600790" w14:textId="0C10C877" w:rsidR="00501827" w:rsidRPr="00712FAD" w:rsidRDefault="00501827" w:rsidP="00501827">
      <w:pPr>
        <w:spacing w:after="0" w:line="360" w:lineRule="auto"/>
        <w:ind w:firstLine="567"/>
        <w:jc w:val="both"/>
        <w:rPr>
          <w:rFonts w:ascii="Times New Roman" w:hAnsi="Times New Roman" w:cs="Times New Roman"/>
          <w:bCs/>
          <w:sz w:val="24"/>
          <w:szCs w:val="24"/>
        </w:rPr>
      </w:pPr>
      <w:r w:rsidRPr="00712FAD">
        <w:rPr>
          <w:rFonts w:ascii="Times New Roman" w:hAnsi="Times New Roman" w:cs="Times New Roman"/>
          <w:bCs/>
          <w:sz w:val="24"/>
          <w:szCs w:val="24"/>
        </w:rPr>
        <w:t>Всех экспортеров рынка можно разделить на группы в соответствии с их местом на рынке и компетенциями в области производства ВМТ (см. табл. 3).</w:t>
      </w:r>
    </w:p>
    <w:p w14:paraId="159A1B05" w14:textId="77777777" w:rsidR="003B4B2A" w:rsidRPr="00712FAD" w:rsidRDefault="003B4B2A" w:rsidP="003B4B2A">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 xml:space="preserve">В иерархии экспортеров США и Россия находятся на верхней ступени. Длительная история «холодной войны», огромные средства, которые вкладывались в сферу разработки и производства вооружений в целом, статус морских держав и многие другие факторы способствовали тому, что на данном этапе возможности этих двух стран в сфере разработки и производства ВМТ самые высокие. При этом нужно отметить, что США не стремятся продавать продукцию последних разработок, поставляют ее в собственные вооруженные силы, на экспорт выносят лишь малую часть производимого вооружения. По данным ЦАМТО за 8-летний период 2011-2018 гг. военные расходы США составили 5401 млрд. долл., из </w:t>
      </w:r>
      <w:r w:rsidRPr="00712FAD">
        <w:rPr>
          <w:rFonts w:ascii="Times New Roman" w:hAnsi="Times New Roman" w:cs="Times New Roman"/>
          <w:bCs/>
          <w:spacing w:val="-4"/>
          <w:sz w:val="24"/>
          <w:szCs w:val="24"/>
        </w:rPr>
        <w:lastRenderedPageBreak/>
        <w:t>которых фактический объем экспорта всей продукции военного назначения 225,2 млрд. долл., что составляет 4,2 %, а продукции кораблестроения 0,06%.</w:t>
      </w:r>
    </w:p>
    <w:p w14:paraId="162A8627" w14:textId="168A3E19" w:rsidR="00501827" w:rsidRPr="00712FAD" w:rsidRDefault="00501827" w:rsidP="00501827">
      <w:pPr>
        <w:autoSpaceDE w:val="0"/>
        <w:autoSpaceDN w:val="0"/>
        <w:spacing w:after="0" w:line="240" w:lineRule="auto"/>
        <w:jc w:val="center"/>
        <w:rPr>
          <w:rFonts w:ascii="Times New Roman" w:eastAsia="Times New Roman" w:hAnsi="Times New Roman" w:cs="Times New Roman"/>
          <w:sz w:val="24"/>
          <w:szCs w:val="24"/>
          <w:lang w:eastAsia="cs-CZ"/>
        </w:rPr>
      </w:pPr>
      <w:proofErr w:type="spellStart"/>
      <w:r w:rsidRPr="00712FAD">
        <w:rPr>
          <w:rFonts w:ascii="Times New Roman" w:eastAsia="Times New Roman" w:hAnsi="Times New Roman" w:cs="Times New Roman"/>
          <w:sz w:val="24"/>
          <w:szCs w:val="24"/>
          <w:lang w:eastAsia="cs-CZ"/>
        </w:rPr>
        <w:t>Табл</w:t>
      </w:r>
      <w:proofErr w:type="spellEnd"/>
      <w:r w:rsidRPr="00712FAD">
        <w:rPr>
          <w:rFonts w:ascii="Times New Roman" w:eastAsia="Times New Roman" w:hAnsi="Times New Roman" w:cs="Times New Roman"/>
          <w:sz w:val="24"/>
          <w:szCs w:val="24"/>
          <w:lang w:val="cs-CZ" w:eastAsia="cs-CZ"/>
        </w:rPr>
        <w:t>.</w:t>
      </w:r>
      <w:r w:rsidRPr="00712FAD">
        <w:rPr>
          <w:rFonts w:ascii="Times New Roman" w:eastAsia="Times New Roman" w:hAnsi="Times New Roman" w:cs="Times New Roman"/>
          <w:sz w:val="24"/>
          <w:szCs w:val="24"/>
          <w:lang w:eastAsia="cs-CZ"/>
        </w:rPr>
        <w:t xml:space="preserve"> 3</w:t>
      </w:r>
      <w:r w:rsidRPr="00712FAD">
        <w:rPr>
          <w:rFonts w:ascii="Times New Roman" w:eastAsia="Times New Roman" w:hAnsi="Times New Roman" w:cs="Times New Roman"/>
          <w:sz w:val="24"/>
          <w:szCs w:val="24"/>
          <w:lang w:val="cs-CZ" w:eastAsia="cs-CZ"/>
        </w:rPr>
        <w:t xml:space="preserve">  Доля ВМТ основных экспортеров рынка за период 2011-2018 гг. от военных расходов и общего объема экспорта</w:t>
      </w:r>
      <w:r w:rsidRPr="00712FAD">
        <w:rPr>
          <w:rFonts w:ascii="Times New Roman" w:eastAsia="Times New Roman" w:hAnsi="Times New Roman" w:cs="Times New Roman"/>
          <w:sz w:val="24"/>
          <w:szCs w:val="24"/>
          <w:lang w:eastAsia="cs-CZ"/>
        </w:rPr>
        <w:t xml:space="preserve"> (в млрд. долл. и %)</w:t>
      </w:r>
    </w:p>
    <w:tbl>
      <w:tblPr>
        <w:tblStyle w:val="10"/>
        <w:tblW w:w="8109" w:type="dxa"/>
        <w:tblInd w:w="108" w:type="dxa"/>
        <w:tblLook w:val="04A0" w:firstRow="1" w:lastRow="0" w:firstColumn="1" w:lastColumn="0" w:noHBand="0" w:noVBand="1"/>
      </w:tblPr>
      <w:tblGrid>
        <w:gridCol w:w="1305"/>
        <w:gridCol w:w="992"/>
        <w:gridCol w:w="1418"/>
        <w:gridCol w:w="1417"/>
        <w:gridCol w:w="1559"/>
        <w:gridCol w:w="1418"/>
      </w:tblGrid>
      <w:tr w:rsidR="00501827" w:rsidRPr="00712FAD" w14:paraId="608ACCFF" w14:textId="77777777" w:rsidTr="00CD24BC">
        <w:tc>
          <w:tcPr>
            <w:tcW w:w="13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86951B1"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страна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B6FF719" w14:textId="507CF855"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Военные расходы</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1676768"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Объем экспорта</w:t>
            </w:r>
          </w:p>
          <w:p w14:paraId="46F6B4DB" w14:textId="654FB802"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ВВТ</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185189E" w14:textId="3E530A7B"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 xml:space="preserve">Экспорт всех видов ВМТ, </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A0E1DD1" w14:textId="12C5DDCA"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Экспорт ВМТ от общего экспорта ВВТ</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A9AD283" w14:textId="4BDA3E56"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 xml:space="preserve">Экспорт ВМТ от военных расходов </w:t>
            </w:r>
          </w:p>
        </w:tc>
      </w:tr>
      <w:tr w:rsidR="00501827" w:rsidRPr="00712FAD" w14:paraId="0A6E8AAB" w14:textId="77777777" w:rsidTr="00CD24BC">
        <w:tc>
          <w:tcPr>
            <w:tcW w:w="13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7E73192" w14:textId="77777777" w:rsidR="00501827" w:rsidRPr="00712FAD" w:rsidRDefault="00501827" w:rsidP="00501827">
            <w:pPr>
              <w:spacing w:line="240" w:lineRule="auto"/>
              <w:jc w:val="both"/>
              <w:rPr>
                <w:rFonts w:ascii="Times New Roman" w:eastAsia="Calibri" w:hAnsi="Times New Roman"/>
                <w:sz w:val="24"/>
                <w:szCs w:val="24"/>
              </w:rPr>
            </w:pPr>
            <w:r w:rsidRPr="00712FAD">
              <w:rPr>
                <w:rFonts w:ascii="Times New Roman" w:eastAsia="Calibri" w:hAnsi="Times New Roman"/>
                <w:sz w:val="24"/>
                <w:szCs w:val="24"/>
              </w:rPr>
              <w:t>США</w:t>
            </w:r>
          </w:p>
        </w:tc>
        <w:tc>
          <w:tcPr>
            <w:tcW w:w="992" w:type="dxa"/>
            <w:tcBorders>
              <w:top w:val="single" w:sz="4" w:space="0" w:color="auto"/>
              <w:left w:val="single" w:sz="4" w:space="0" w:color="auto"/>
              <w:bottom w:val="single" w:sz="4" w:space="0" w:color="auto"/>
              <w:right w:val="single" w:sz="4" w:space="0" w:color="auto"/>
            </w:tcBorders>
            <w:hideMark/>
          </w:tcPr>
          <w:p w14:paraId="0B658D34"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5401</w:t>
            </w:r>
          </w:p>
        </w:tc>
        <w:tc>
          <w:tcPr>
            <w:tcW w:w="1418" w:type="dxa"/>
            <w:tcBorders>
              <w:top w:val="single" w:sz="4" w:space="0" w:color="auto"/>
              <w:left w:val="single" w:sz="4" w:space="0" w:color="auto"/>
              <w:bottom w:val="single" w:sz="4" w:space="0" w:color="auto"/>
              <w:right w:val="single" w:sz="4" w:space="0" w:color="auto"/>
            </w:tcBorders>
            <w:hideMark/>
          </w:tcPr>
          <w:p w14:paraId="51E6AB3A"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225,2</w:t>
            </w:r>
          </w:p>
        </w:tc>
        <w:tc>
          <w:tcPr>
            <w:tcW w:w="1417" w:type="dxa"/>
            <w:tcBorders>
              <w:top w:val="single" w:sz="4" w:space="0" w:color="auto"/>
              <w:left w:val="single" w:sz="4" w:space="0" w:color="auto"/>
              <w:bottom w:val="single" w:sz="4" w:space="0" w:color="auto"/>
              <w:right w:val="single" w:sz="4" w:space="0" w:color="auto"/>
            </w:tcBorders>
            <w:hideMark/>
          </w:tcPr>
          <w:p w14:paraId="1943B7C6"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3,431</w:t>
            </w:r>
          </w:p>
        </w:tc>
        <w:tc>
          <w:tcPr>
            <w:tcW w:w="1559" w:type="dxa"/>
            <w:tcBorders>
              <w:top w:val="single" w:sz="4" w:space="0" w:color="auto"/>
              <w:left w:val="single" w:sz="4" w:space="0" w:color="auto"/>
              <w:bottom w:val="single" w:sz="4" w:space="0" w:color="auto"/>
              <w:right w:val="single" w:sz="4" w:space="0" w:color="auto"/>
            </w:tcBorders>
            <w:hideMark/>
          </w:tcPr>
          <w:p w14:paraId="55EDE964"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14:paraId="231F7F97"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0,06</w:t>
            </w:r>
          </w:p>
        </w:tc>
      </w:tr>
      <w:tr w:rsidR="00501827" w:rsidRPr="00712FAD" w14:paraId="3AD744C1" w14:textId="77777777" w:rsidTr="00CD24BC">
        <w:tc>
          <w:tcPr>
            <w:tcW w:w="1305" w:type="dxa"/>
            <w:tcBorders>
              <w:top w:val="single" w:sz="4" w:space="0" w:color="auto"/>
              <w:left w:val="single" w:sz="4" w:space="0" w:color="auto"/>
              <w:bottom w:val="single" w:sz="4" w:space="0" w:color="auto"/>
              <w:right w:val="single" w:sz="4" w:space="0" w:color="auto"/>
            </w:tcBorders>
            <w:tcMar>
              <w:left w:w="28" w:type="dxa"/>
              <w:right w:w="28" w:type="dxa"/>
            </w:tcMar>
          </w:tcPr>
          <w:p w14:paraId="4DCA682F" w14:textId="77777777" w:rsidR="00501827" w:rsidRPr="00712FAD" w:rsidRDefault="00501827" w:rsidP="00501827">
            <w:pPr>
              <w:spacing w:line="240" w:lineRule="auto"/>
              <w:jc w:val="both"/>
              <w:rPr>
                <w:rFonts w:eastAsia="Calibri"/>
                <w:sz w:val="24"/>
                <w:szCs w:val="24"/>
              </w:rPr>
            </w:pPr>
            <w:r w:rsidRPr="00712FAD">
              <w:rPr>
                <w:rFonts w:ascii="Times New Roman" w:eastAsia="Calibri" w:hAnsi="Times New Roman"/>
                <w:sz w:val="24"/>
                <w:szCs w:val="24"/>
              </w:rPr>
              <w:t>РФ</w:t>
            </w:r>
          </w:p>
        </w:tc>
        <w:tc>
          <w:tcPr>
            <w:tcW w:w="992" w:type="dxa"/>
            <w:tcBorders>
              <w:top w:val="single" w:sz="4" w:space="0" w:color="auto"/>
              <w:left w:val="single" w:sz="4" w:space="0" w:color="auto"/>
              <w:bottom w:val="single" w:sz="4" w:space="0" w:color="auto"/>
              <w:right w:val="single" w:sz="4" w:space="0" w:color="auto"/>
            </w:tcBorders>
          </w:tcPr>
          <w:p w14:paraId="690BB767" w14:textId="77777777" w:rsidR="00501827" w:rsidRPr="00712FAD" w:rsidRDefault="00501827" w:rsidP="00501827">
            <w:pPr>
              <w:spacing w:line="240" w:lineRule="auto"/>
              <w:jc w:val="center"/>
              <w:rPr>
                <w:rFonts w:eastAsia="Calibri"/>
                <w:sz w:val="24"/>
                <w:szCs w:val="24"/>
              </w:rPr>
            </w:pPr>
            <w:r w:rsidRPr="00712FAD">
              <w:rPr>
                <w:rFonts w:ascii="Times New Roman" w:eastAsia="Calibri" w:hAnsi="Times New Roman"/>
                <w:sz w:val="24"/>
                <w:szCs w:val="24"/>
              </w:rPr>
              <w:t>404,4</w:t>
            </w:r>
          </w:p>
        </w:tc>
        <w:tc>
          <w:tcPr>
            <w:tcW w:w="1418" w:type="dxa"/>
            <w:tcBorders>
              <w:top w:val="single" w:sz="4" w:space="0" w:color="auto"/>
              <w:left w:val="single" w:sz="4" w:space="0" w:color="auto"/>
              <w:bottom w:val="single" w:sz="4" w:space="0" w:color="auto"/>
              <w:right w:val="single" w:sz="4" w:space="0" w:color="auto"/>
            </w:tcBorders>
          </w:tcPr>
          <w:p w14:paraId="0187CC94" w14:textId="77777777" w:rsidR="00501827" w:rsidRPr="00712FAD" w:rsidRDefault="00501827" w:rsidP="00501827">
            <w:pPr>
              <w:spacing w:line="240" w:lineRule="auto"/>
              <w:jc w:val="center"/>
              <w:rPr>
                <w:rFonts w:eastAsia="Calibri"/>
                <w:sz w:val="24"/>
                <w:szCs w:val="24"/>
              </w:rPr>
            </w:pPr>
            <w:r w:rsidRPr="00712FAD">
              <w:rPr>
                <w:rFonts w:ascii="Times New Roman" w:eastAsia="Calibri" w:hAnsi="Times New Roman"/>
                <w:sz w:val="24"/>
                <w:szCs w:val="24"/>
              </w:rPr>
              <w:t>98,9</w:t>
            </w:r>
          </w:p>
        </w:tc>
        <w:tc>
          <w:tcPr>
            <w:tcW w:w="1417" w:type="dxa"/>
            <w:tcBorders>
              <w:top w:val="single" w:sz="4" w:space="0" w:color="auto"/>
              <w:left w:val="single" w:sz="4" w:space="0" w:color="auto"/>
              <w:bottom w:val="single" w:sz="4" w:space="0" w:color="auto"/>
              <w:right w:val="single" w:sz="4" w:space="0" w:color="auto"/>
            </w:tcBorders>
          </w:tcPr>
          <w:p w14:paraId="51BFFB4B" w14:textId="77777777" w:rsidR="00501827" w:rsidRPr="00712FAD" w:rsidRDefault="00501827" w:rsidP="00501827">
            <w:pPr>
              <w:spacing w:line="240" w:lineRule="auto"/>
              <w:jc w:val="center"/>
              <w:rPr>
                <w:rFonts w:eastAsia="Calibri"/>
                <w:sz w:val="24"/>
                <w:szCs w:val="24"/>
              </w:rPr>
            </w:pPr>
            <w:r w:rsidRPr="00712FAD">
              <w:rPr>
                <w:rFonts w:ascii="Times New Roman" w:eastAsia="Calibri" w:hAnsi="Times New Roman"/>
                <w:sz w:val="24"/>
                <w:szCs w:val="24"/>
              </w:rPr>
              <w:t>14,367</w:t>
            </w:r>
          </w:p>
        </w:tc>
        <w:tc>
          <w:tcPr>
            <w:tcW w:w="1559" w:type="dxa"/>
            <w:tcBorders>
              <w:top w:val="single" w:sz="4" w:space="0" w:color="auto"/>
              <w:left w:val="single" w:sz="4" w:space="0" w:color="auto"/>
              <w:bottom w:val="single" w:sz="4" w:space="0" w:color="auto"/>
              <w:right w:val="single" w:sz="4" w:space="0" w:color="auto"/>
            </w:tcBorders>
          </w:tcPr>
          <w:p w14:paraId="4D18488F" w14:textId="77777777" w:rsidR="00501827" w:rsidRPr="00712FAD" w:rsidRDefault="00501827" w:rsidP="00501827">
            <w:pPr>
              <w:spacing w:line="240" w:lineRule="auto"/>
              <w:jc w:val="center"/>
              <w:rPr>
                <w:rFonts w:eastAsia="Calibri"/>
                <w:sz w:val="24"/>
                <w:szCs w:val="24"/>
              </w:rPr>
            </w:pPr>
            <w:r w:rsidRPr="00712FAD">
              <w:rPr>
                <w:rFonts w:ascii="Times New Roman" w:eastAsia="Calibri" w:hAnsi="Times New Roman"/>
                <w:sz w:val="24"/>
                <w:szCs w:val="24"/>
              </w:rPr>
              <w:t>14,5</w:t>
            </w:r>
          </w:p>
        </w:tc>
        <w:tc>
          <w:tcPr>
            <w:tcW w:w="1418" w:type="dxa"/>
            <w:tcBorders>
              <w:top w:val="single" w:sz="4" w:space="0" w:color="auto"/>
              <w:left w:val="single" w:sz="4" w:space="0" w:color="auto"/>
              <w:bottom w:val="single" w:sz="4" w:space="0" w:color="auto"/>
              <w:right w:val="single" w:sz="4" w:space="0" w:color="auto"/>
            </w:tcBorders>
          </w:tcPr>
          <w:p w14:paraId="37A472DC" w14:textId="77777777" w:rsidR="00501827" w:rsidRPr="00712FAD" w:rsidRDefault="00501827" w:rsidP="00501827">
            <w:pPr>
              <w:spacing w:line="240" w:lineRule="auto"/>
              <w:jc w:val="center"/>
              <w:rPr>
                <w:rFonts w:eastAsia="Calibri"/>
                <w:sz w:val="24"/>
                <w:szCs w:val="24"/>
              </w:rPr>
            </w:pPr>
            <w:r w:rsidRPr="00712FAD">
              <w:rPr>
                <w:rFonts w:ascii="Times New Roman" w:eastAsia="Calibri" w:hAnsi="Times New Roman"/>
                <w:sz w:val="24"/>
                <w:szCs w:val="24"/>
              </w:rPr>
              <w:t>3,55</w:t>
            </w:r>
          </w:p>
        </w:tc>
      </w:tr>
      <w:tr w:rsidR="00501827" w:rsidRPr="00712FAD" w14:paraId="6B8335ED" w14:textId="77777777" w:rsidTr="00CD24BC">
        <w:tc>
          <w:tcPr>
            <w:tcW w:w="13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F7569FD" w14:textId="77777777" w:rsidR="00501827" w:rsidRPr="00712FAD" w:rsidRDefault="00501827" w:rsidP="00501827">
            <w:pPr>
              <w:spacing w:line="240" w:lineRule="auto"/>
              <w:jc w:val="both"/>
              <w:rPr>
                <w:rFonts w:ascii="Times New Roman" w:eastAsia="Calibri" w:hAnsi="Times New Roman"/>
                <w:sz w:val="24"/>
                <w:szCs w:val="24"/>
              </w:rPr>
            </w:pPr>
            <w:r w:rsidRPr="00712FAD">
              <w:rPr>
                <w:rFonts w:ascii="Times New Roman" w:eastAsia="Calibri" w:hAnsi="Times New Roman"/>
                <w:sz w:val="24"/>
                <w:szCs w:val="24"/>
              </w:rPr>
              <w:t>Франция</w:t>
            </w:r>
          </w:p>
        </w:tc>
        <w:tc>
          <w:tcPr>
            <w:tcW w:w="992" w:type="dxa"/>
            <w:tcBorders>
              <w:top w:val="single" w:sz="4" w:space="0" w:color="auto"/>
              <w:left w:val="single" w:sz="4" w:space="0" w:color="auto"/>
              <w:bottom w:val="single" w:sz="4" w:space="0" w:color="auto"/>
              <w:right w:val="single" w:sz="4" w:space="0" w:color="auto"/>
            </w:tcBorders>
            <w:hideMark/>
          </w:tcPr>
          <w:p w14:paraId="067012DD"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392,1</w:t>
            </w:r>
          </w:p>
        </w:tc>
        <w:tc>
          <w:tcPr>
            <w:tcW w:w="1418" w:type="dxa"/>
            <w:tcBorders>
              <w:top w:val="single" w:sz="4" w:space="0" w:color="auto"/>
              <w:left w:val="single" w:sz="4" w:space="0" w:color="auto"/>
              <w:bottom w:val="single" w:sz="4" w:space="0" w:color="auto"/>
              <w:right w:val="single" w:sz="4" w:space="0" w:color="auto"/>
            </w:tcBorders>
            <w:hideMark/>
          </w:tcPr>
          <w:p w14:paraId="149056D2"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48,7</w:t>
            </w:r>
          </w:p>
        </w:tc>
        <w:tc>
          <w:tcPr>
            <w:tcW w:w="1417" w:type="dxa"/>
            <w:tcBorders>
              <w:top w:val="single" w:sz="4" w:space="0" w:color="auto"/>
              <w:left w:val="single" w:sz="4" w:space="0" w:color="auto"/>
              <w:bottom w:val="single" w:sz="4" w:space="0" w:color="auto"/>
              <w:right w:val="single" w:sz="4" w:space="0" w:color="auto"/>
            </w:tcBorders>
            <w:hideMark/>
          </w:tcPr>
          <w:p w14:paraId="005F620D"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8,733</w:t>
            </w:r>
          </w:p>
        </w:tc>
        <w:tc>
          <w:tcPr>
            <w:tcW w:w="1559" w:type="dxa"/>
            <w:tcBorders>
              <w:top w:val="single" w:sz="4" w:space="0" w:color="auto"/>
              <w:left w:val="single" w:sz="4" w:space="0" w:color="auto"/>
              <w:bottom w:val="single" w:sz="4" w:space="0" w:color="auto"/>
              <w:right w:val="single" w:sz="4" w:space="0" w:color="auto"/>
            </w:tcBorders>
            <w:hideMark/>
          </w:tcPr>
          <w:p w14:paraId="66414332"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17,9</w:t>
            </w:r>
          </w:p>
        </w:tc>
        <w:tc>
          <w:tcPr>
            <w:tcW w:w="1418" w:type="dxa"/>
            <w:tcBorders>
              <w:top w:val="single" w:sz="4" w:space="0" w:color="auto"/>
              <w:left w:val="single" w:sz="4" w:space="0" w:color="auto"/>
              <w:bottom w:val="single" w:sz="4" w:space="0" w:color="auto"/>
              <w:right w:val="single" w:sz="4" w:space="0" w:color="auto"/>
            </w:tcBorders>
            <w:hideMark/>
          </w:tcPr>
          <w:p w14:paraId="70BBB106"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2,22</w:t>
            </w:r>
          </w:p>
        </w:tc>
      </w:tr>
      <w:tr w:rsidR="00501827" w:rsidRPr="00712FAD" w14:paraId="058F9954" w14:textId="77777777" w:rsidTr="00CD24BC">
        <w:tc>
          <w:tcPr>
            <w:tcW w:w="13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3B8C3F4" w14:textId="77777777" w:rsidR="00501827" w:rsidRPr="00712FAD" w:rsidRDefault="00501827" w:rsidP="00501827">
            <w:pPr>
              <w:spacing w:line="240" w:lineRule="auto"/>
              <w:jc w:val="both"/>
              <w:rPr>
                <w:rFonts w:ascii="Times New Roman" w:eastAsia="Calibri" w:hAnsi="Times New Roman"/>
                <w:sz w:val="24"/>
                <w:szCs w:val="24"/>
              </w:rPr>
            </w:pPr>
            <w:r w:rsidRPr="00712FAD">
              <w:rPr>
                <w:rFonts w:ascii="Times New Roman" w:eastAsia="Calibri" w:hAnsi="Times New Roman"/>
                <w:sz w:val="24"/>
                <w:szCs w:val="24"/>
              </w:rPr>
              <w:t>Германия</w:t>
            </w:r>
          </w:p>
        </w:tc>
        <w:tc>
          <w:tcPr>
            <w:tcW w:w="992" w:type="dxa"/>
            <w:tcBorders>
              <w:top w:val="single" w:sz="4" w:space="0" w:color="auto"/>
              <w:left w:val="single" w:sz="4" w:space="0" w:color="auto"/>
              <w:bottom w:val="single" w:sz="4" w:space="0" w:color="auto"/>
              <w:right w:val="single" w:sz="4" w:space="0" w:color="auto"/>
            </w:tcBorders>
            <w:hideMark/>
          </w:tcPr>
          <w:p w14:paraId="02422F0D"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363,1</w:t>
            </w:r>
          </w:p>
        </w:tc>
        <w:tc>
          <w:tcPr>
            <w:tcW w:w="1418" w:type="dxa"/>
            <w:tcBorders>
              <w:top w:val="single" w:sz="4" w:space="0" w:color="auto"/>
              <w:left w:val="single" w:sz="4" w:space="0" w:color="auto"/>
              <w:bottom w:val="single" w:sz="4" w:space="0" w:color="auto"/>
              <w:right w:val="single" w:sz="4" w:space="0" w:color="auto"/>
            </w:tcBorders>
            <w:hideMark/>
          </w:tcPr>
          <w:p w14:paraId="4013BD2B"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27,2</w:t>
            </w:r>
          </w:p>
        </w:tc>
        <w:tc>
          <w:tcPr>
            <w:tcW w:w="1417" w:type="dxa"/>
            <w:tcBorders>
              <w:top w:val="single" w:sz="4" w:space="0" w:color="auto"/>
              <w:left w:val="single" w:sz="4" w:space="0" w:color="auto"/>
              <w:bottom w:val="single" w:sz="4" w:space="0" w:color="auto"/>
              <w:right w:val="single" w:sz="4" w:space="0" w:color="auto"/>
            </w:tcBorders>
            <w:hideMark/>
          </w:tcPr>
          <w:p w14:paraId="504D0459"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10,233</w:t>
            </w:r>
          </w:p>
        </w:tc>
        <w:tc>
          <w:tcPr>
            <w:tcW w:w="1559" w:type="dxa"/>
            <w:tcBorders>
              <w:top w:val="single" w:sz="4" w:space="0" w:color="auto"/>
              <w:left w:val="single" w:sz="4" w:space="0" w:color="auto"/>
              <w:bottom w:val="single" w:sz="4" w:space="0" w:color="auto"/>
              <w:right w:val="single" w:sz="4" w:space="0" w:color="auto"/>
            </w:tcBorders>
            <w:hideMark/>
          </w:tcPr>
          <w:p w14:paraId="35ACA020"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37,6</w:t>
            </w:r>
          </w:p>
        </w:tc>
        <w:tc>
          <w:tcPr>
            <w:tcW w:w="1418" w:type="dxa"/>
            <w:tcBorders>
              <w:top w:val="single" w:sz="4" w:space="0" w:color="auto"/>
              <w:left w:val="single" w:sz="4" w:space="0" w:color="auto"/>
              <w:bottom w:val="single" w:sz="4" w:space="0" w:color="auto"/>
              <w:right w:val="single" w:sz="4" w:space="0" w:color="auto"/>
            </w:tcBorders>
            <w:hideMark/>
          </w:tcPr>
          <w:p w14:paraId="3A87C4A4"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2,81</w:t>
            </w:r>
          </w:p>
        </w:tc>
      </w:tr>
      <w:tr w:rsidR="00501827" w:rsidRPr="00712FAD" w14:paraId="560C53DB" w14:textId="77777777" w:rsidTr="00CD24BC">
        <w:tc>
          <w:tcPr>
            <w:tcW w:w="1305" w:type="dxa"/>
            <w:tcBorders>
              <w:top w:val="single" w:sz="4" w:space="0" w:color="auto"/>
              <w:left w:val="single" w:sz="4" w:space="0" w:color="auto"/>
              <w:bottom w:val="single" w:sz="4" w:space="0" w:color="auto"/>
              <w:right w:val="single" w:sz="4" w:space="0" w:color="auto"/>
            </w:tcBorders>
            <w:tcMar>
              <w:left w:w="28" w:type="dxa"/>
              <w:right w:w="28" w:type="dxa"/>
            </w:tcMar>
          </w:tcPr>
          <w:p w14:paraId="70F9E582" w14:textId="77777777" w:rsidR="00501827" w:rsidRPr="00712FAD" w:rsidRDefault="00501827" w:rsidP="00501827">
            <w:pPr>
              <w:spacing w:line="240" w:lineRule="auto"/>
              <w:jc w:val="both"/>
              <w:rPr>
                <w:rFonts w:eastAsia="Calibri"/>
                <w:sz w:val="24"/>
                <w:szCs w:val="24"/>
              </w:rPr>
            </w:pPr>
            <w:r w:rsidRPr="00712FAD">
              <w:rPr>
                <w:rFonts w:ascii="Times New Roman" w:eastAsia="Calibri" w:hAnsi="Times New Roman"/>
                <w:sz w:val="24"/>
                <w:szCs w:val="24"/>
              </w:rPr>
              <w:t>Китай</w:t>
            </w:r>
          </w:p>
        </w:tc>
        <w:tc>
          <w:tcPr>
            <w:tcW w:w="992" w:type="dxa"/>
            <w:tcBorders>
              <w:top w:val="single" w:sz="4" w:space="0" w:color="auto"/>
              <w:left w:val="single" w:sz="4" w:space="0" w:color="auto"/>
              <w:bottom w:val="single" w:sz="4" w:space="0" w:color="auto"/>
              <w:right w:val="single" w:sz="4" w:space="0" w:color="auto"/>
            </w:tcBorders>
          </w:tcPr>
          <w:p w14:paraId="3DE69CB2" w14:textId="77777777" w:rsidR="00501827" w:rsidRPr="00712FAD" w:rsidRDefault="00501827" w:rsidP="00501827">
            <w:pPr>
              <w:spacing w:line="240" w:lineRule="auto"/>
              <w:jc w:val="center"/>
              <w:rPr>
                <w:rFonts w:eastAsia="Calibri"/>
                <w:sz w:val="24"/>
                <w:szCs w:val="24"/>
              </w:rPr>
            </w:pPr>
            <w:r w:rsidRPr="00712FAD">
              <w:rPr>
                <w:rFonts w:ascii="Times New Roman" w:eastAsia="Calibri" w:hAnsi="Times New Roman"/>
                <w:sz w:val="24"/>
                <w:szCs w:val="24"/>
              </w:rPr>
              <w:t>1052,1</w:t>
            </w:r>
          </w:p>
        </w:tc>
        <w:tc>
          <w:tcPr>
            <w:tcW w:w="1418" w:type="dxa"/>
            <w:tcBorders>
              <w:top w:val="single" w:sz="4" w:space="0" w:color="auto"/>
              <w:left w:val="single" w:sz="4" w:space="0" w:color="auto"/>
              <w:bottom w:val="single" w:sz="4" w:space="0" w:color="auto"/>
              <w:right w:val="single" w:sz="4" w:space="0" w:color="auto"/>
            </w:tcBorders>
          </w:tcPr>
          <w:p w14:paraId="531624DE" w14:textId="77777777" w:rsidR="00501827" w:rsidRPr="00712FAD" w:rsidRDefault="00501827" w:rsidP="00501827">
            <w:pPr>
              <w:spacing w:line="240" w:lineRule="auto"/>
              <w:jc w:val="center"/>
              <w:rPr>
                <w:rFonts w:eastAsia="Calibri"/>
                <w:sz w:val="24"/>
                <w:szCs w:val="24"/>
              </w:rPr>
            </w:pPr>
            <w:r w:rsidRPr="00712FAD">
              <w:rPr>
                <w:rFonts w:ascii="Times New Roman" w:eastAsia="Calibri" w:hAnsi="Times New Roman"/>
                <w:sz w:val="24"/>
                <w:szCs w:val="24"/>
              </w:rPr>
              <w:t>18,5</w:t>
            </w:r>
          </w:p>
        </w:tc>
        <w:tc>
          <w:tcPr>
            <w:tcW w:w="1417" w:type="dxa"/>
            <w:tcBorders>
              <w:top w:val="single" w:sz="4" w:space="0" w:color="auto"/>
              <w:left w:val="single" w:sz="4" w:space="0" w:color="auto"/>
              <w:bottom w:val="single" w:sz="4" w:space="0" w:color="auto"/>
              <w:right w:val="single" w:sz="4" w:space="0" w:color="auto"/>
            </w:tcBorders>
          </w:tcPr>
          <w:p w14:paraId="13912813" w14:textId="77777777" w:rsidR="00501827" w:rsidRPr="00712FAD" w:rsidRDefault="00501827" w:rsidP="00501827">
            <w:pPr>
              <w:spacing w:line="240" w:lineRule="auto"/>
              <w:jc w:val="center"/>
              <w:rPr>
                <w:rFonts w:eastAsia="Calibri"/>
                <w:sz w:val="24"/>
                <w:szCs w:val="24"/>
              </w:rPr>
            </w:pPr>
            <w:r w:rsidRPr="00712FAD">
              <w:rPr>
                <w:rFonts w:ascii="Times New Roman" w:eastAsia="Calibri" w:hAnsi="Times New Roman"/>
                <w:sz w:val="24"/>
                <w:szCs w:val="24"/>
              </w:rPr>
              <w:t>3,227</w:t>
            </w:r>
          </w:p>
        </w:tc>
        <w:tc>
          <w:tcPr>
            <w:tcW w:w="1559" w:type="dxa"/>
            <w:tcBorders>
              <w:top w:val="single" w:sz="4" w:space="0" w:color="auto"/>
              <w:left w:val="single" w:sz="4" w:space="0" w:color="auto"/>
              <w:bottom w:val="single" w:sz="4" w:space="0" w:color="auto"/>
              <w:right w:val="single" w:sz="4" w:space="0" w:color="auto"/>
            </w:tcBorders>
          </w:tcPr>
          <w:p w14:paraId="42BB290F" w14:textId="77777777" w:rsidR="00501827" w:rsidRPr="00712FAD" w:rsidRDefault="00501827" w:rsidP="00501827">
            <w:pPr>
              <w:spacing w:line="240" w:lineRule="auto"/>
              <w:jc w:val="center"/>
              <w:rPr>
                <w:rFonts w:eastAsia="Calibri"/>
                <w:sz w:val="24"/>
                <w:szCs w:val="24"/>
              </w:rPr>
            </w:pPr>
            <w:r w:rsidRPr="00712FAD">
              <w:rPr>
                <w:rFonts w:ascii="Times New Roman" w:eastAsia="Calibri" w:hAnsi="Times New Roman"/>
                <w:sz w:val="24"/>
                <w:szCs w:val="24"/>
              </w:rPr>
              <w:t>17,4</w:t>
            </w:r>
          </w:p>
        </w:tc>
        <w:tc>
          <w:tcPr>
            <w:tcW w:w="1418" w:type="dxa"/>
            <w:tcBorders>
              <w:top w:val="single" w:sz="4" w:space="0" w:color="auto"/>
              <w:left w:val="single" w:sz="4" w:space="0" w:color="auto"/>
              <w:bottom w:val="single" w:sz="4" w:space="0" w:color="auto"/>
              <w:right w:val="single" w:sz="4" w:space="0" w:color="auto"/>
            </w:tcBorders>
          </w:tcPr>
          <w:p w14:paraId="2122FB38" w14:textId="77777777" w:rsidR="00501827" w:rsidRPr="00712FAD" w:rsidRDefault="00501827" w:rsidP="00501827">
            <w:pPr>
              <w:spacing w:line="240" w:lineRule="auto"/>
              <w:jc w:val="center"/>
              <w:rPr>
                <w:rFonts w:eastAsia="Calibri"/>
                <w:sz w:val="24"/>
                <w:szCs w:val="24"/>
              </w:rPr>
            </w:pPr>
            <w:r w:rsidRPr="00712FAD">
              <w:rPr>
                <w:rFonts w:ascii="Times New Roman" w:eastAsia="Calibri" w:hAnsi="Times New Roman"/>
                <w:sz w:val="24"/>
                <w:szCs w:val="24"/>
              </w:rPr>
              <w:t>0,31</w:t>
            </w:r>
          </w:p>
        </w:tc>
      </w:tr>
      <w:tr w:rsidR="00501827" w:rsidRPr="00712FAD" w14:paraId="42745341" w14:textId="77777777" w:rsidTr="00CD24BC">
        <w:tc>
          <w:tcPr>
            <w:tcW w:w="13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1F9E176" w14:textId="77777777" w:rsidR="00501827" w:rsidRPr="00712FAD" w:rsidRDefault="00501827" w:rsidP="00501827">
            <w:pPr>
              <w:spacing w:line="240" w:lineRule="auto"/>
              <w:jc w:val="both"/>
              <w:rPr>
                <w:rFonts w:ascii="Times New Roman" w:eastAsia="Calibri" w:hAnsi="Times New Roman"/>
                <w:sz w:val="24"/>
                <w:szCs w:val="24"/>
              </w:rPr>
            </w:pPr>
            <w:r w:rsidRPr="00712FAD">
              <w:rPr>
                <w:rFonts w:ascii="Times New Roman" w:eastAsia="Calibri" w:hAnsi="Times New Roman"/>
                <w:sz w:val="24"/>
                <w:szCs w:val="24"/>
              </w:rPr>
              <w:t>Южная Корея</w:t>
            </w:r>
          </w:p>
        </w:tc>
        <w:tc>
          <w:tcPr>
            <w:tcW w:w="992" w:type="dxa"/>
            <w:tcBorders>
              <w:top w:val="single" w:sz="4" w:space="0" w:color="auto"/>
              <w:left w:val="single" w:sz="4" w:space="0" w:color="auto"/>
              <w:bottom w:val="single" w:sz="4" w:space="0" w:color="auto"/>
              <w:right w:val="single" w:sz="4" w:space="0" w:color="auto"/>
            </w:tcBorders>
            <w:hideMark/>
          </w:tcPr>
          <w:p w14:paraId="5A4B2ABB"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264,7</w:t>
            </w:r>
          </w:p>
        </w:tc>
        <w:tc>
          <w:tcPr>
            <w:tcW w:w="1418" w:type="dxa"/>
            <w:tcBorders>
              <w:top w:val="single" w:sz="4" w:space="0" w:color="auto"/>
              <w:left w:val="single" w:sz="4" w:space="0" w:color="auto"/>
              <w:bottom w:val="single" w:sz="4" w:space="0" w:color="auto"/>
              <w:right w:val="single" w:sz="4" w:space="0" w:color="auto"/>
            </w:tcBorders>
            <w:hideMark/>
          </w:tcPr>
          <w:p w14:paraId="10B330FC"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hideMark/>
          </w:tcPr>
          <w:p w14:paraId="456B0059"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2,155</w:t>
            </w:r>
          </w:p>
        </w:tc>
        <w:tc>
          <w:tcPr>
            <w:tcW w:w="1559" w:type="dxa"/>
            <w:tcBorders>
              <w:top w:val="single" w:sz="4" w:space="0" w:color="auto"/>
              <w:left w:val="single" w:sz="4" w:space="0" w:color="auto"/>
              <w:bottom w:val="single" w:sz="4" w:space="0" w:color="auto"/>
              <w:right w:val="single" w:sz="4" w:space="0" w:color="auto"/>
            </w:tcBorders>
            <w:hideMark/>
          </w:tcPr>
          <w:p w14:paraId="34F93724"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35,9</w:t>
            </w:r>
          </w:p>
        </w:tc>
        <w:tc>
          <w:tcPr>
            <w:tcW w:w="1418" w:type="dxa"/>
            <w:tcBorders>
              <w:top w:val="single" w:sz="4" w:space="0" w:color="auto"/>
              <w:left w:val="single" w:sz="4" w:space="0" w:color="auto"/>
              <w:bottom w:val="single" w:sz="4" w:space="0" w:color="auto"/>
              <w:right w:val="single" w:sz="4" w:space="0" w:color="auto"/>
            </w:tcBorders>
            <w:hideMark/>
          </w:tcPr>
          <w:p w14:paraId="57C52DA1"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0,8</w:t>
            </w:r>
          </w:p>
        </w:tc>
      </w:tr>
      <w:tr w:rsidR="00501827" w:rsidRPr="00712FAD" w14:paraId="06224261" w14:textId="77777777" w:rsidTr="00CD24BC">
        <w:tc>
          <w:tcPr>
            <w:tcW w:w="13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3AAAF52" w14:textId="77777777" w:rsidR="00501827" w:rsidRPr="00712FAD" w:rsidRDefault="00501827" w:rsidP="00501827">
            <w:pPr>
              <w:spacing w:line="240" w:lineRule="auto"/>
              <w:jc w:val="both"/>
              <w:rPr>
                <w:rFonts w:ascii="Times New Roman" w:eastAsia="Calibri" w:hAnsi="Times New Roman"/>
                <w:sz w:val="24"/>
                <w:szCs w:val="24"/>
              </w:rPr>
            </w:pPr>
            <w:r w:rsidRPr="00712FAD">
              <w:rPr>
                <w:rFonts w:ascii="Times New Roman" w:eastAsia="Calibri" w:hAnsi="Times New Roman"/>
                <w:sz w:val="24"/>
                <w:szCs w:val="24"/>
              </w:rPr>
              <w:t>Австралия</w:t>
            </w:r>
          </w:p>
        </w:tc>
        <w:tc>
          <w:tcPr>
            <w:tcW w:w="992" w:type="dxa"/>
            <w:tcBorders>
              <w:top w:val="single" w:sz="4" w:space="0" w:color="auto"/>
              <w:left w:val="single" w:sz="4" w:space="0" w:color="auto"/>
              <w:bottom w:val="single" w:sz="4" w:space="0" w:color="auto"/>
              <w:right w:val="single" w:sz="4" w:space="0" w:color="auto"/>
            </w:tcBorders>
            <w:hideMark/>
          </w:tcPr>
          <w:p w14:paraId="461493F0"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217,5</w:t>
            </w:r>
          </w:p>
        </w:tc>
        <w:tc>
          <w:tcPr>
            <w:tcW w:w="1418" w:type="dxa"/>
            <w:tcBorders>
              <w:top w:val="single" w:sz="4" w:space="0" w:color="auto"/>
              <w:left w:val="single" w:sz="4" w:space="0" w:color="auto"/>
              <w:bottom w:val="single" w:sz="4" w:space="0" w:color="auto"/>
              <w:right w:val="single" w:sz="4" w:space="0" w:color="auto"/>
            </w:tcBorders>
            <w:hideMark/>
          </w:tcPr>
          <w:p w14:paraId="1E7C2C0A"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hideMark/>
          </w:tcPr>
          <w:p w14:paraId="1CB24AE9"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4,615</w:t>
            </w:r>
          </w:p>
        </w:tc>
        <w:tc>
          <w:tcPr>
            <w:tcW w:w="1559" w:type="dxa"/>
            <w:tcBorders>
              <w:top w:val="single" w:sz="4" w:space="0" w:color="auto"/>
              <w:left w:val="single" w:sz="4" w:space="0" w:color="auto"/>
              <w:bottom w:val="single" w:sz="4" w:space="0" w:color="auto"/>
              <w:right w:val="single" w:sz="4" w:space="0" w:color="auto"/>
            </w:tcBorders>
            <w:hideMark/>
          </w:tcPr>
          <w:p w14:paraId="7EF086DC"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92,3</w:t>
            </w:r>
          </w:p>
        </w:tc>
        <w:tc>
          <w:tcPr>
            <w:tcW w:w="1418" w:type="dxa"/>
            <w:tcBorders>
              <w:top w:val="single" w:sz="4" w:space="0" w:color="auto"/>
              <w:left w:val="single" w:sz="4" w:space="0" w:color="auto"/>
              <w:bottom w:val="single" w:sz="4" w:space="0" w:color="auto"/>
              <w:right w:val="single" w:sz="4" w:space="0" w:color="auto"/>
            </w:tcBorders>
            <w:hideMark/>
          </w:tcPr>
          <w:p w14:paraId="6C72AB4B"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2,1</w:t>
            </w:r>
          </w:p>
        </w:tc>
      </w:tr>
      <w:tr w:rsidR="00501827" w:rsidRPr="00712FAD" w14:paraId="18D09D7F" w14:textId="77777777" w:rsidTr="00CD24BC">
        <w:tc>
          <w:tcPr>
            <w:tcW w:w="130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B592687" w14:textId="77777777" w:rsidR="00501827" w:rsidRPr="00712FAD" w:rsidRDefault="00501827" w:rsidP="00501827">
            <w:pPr>
              <w:spacing w:line="240" w:lineRule="auto"/>
              <w:jc w:val="both"/>
              <w:rPr>
                <w:rFonts w:ascii="Times New Roman" w:eastAsia="Calibri" w:hAnsi="Times New Roman"/>
                <w:sz w:val="24"/>
                <w:szCs w:val="24"/>
              </w:rPr>
            </w:pPr>
            <w:r w:rsidRPr="00712FAD">
              <w:rPr>
                <w:rFonts w:ascii="Times New Roman" w:eastAsia="Calibri" w:hAnsi="Times New Roman"/>
                <w:sz w:val="24"/>
                <w:szCs w:val="24"/>
              </w:rPr>
              <w:t>Швеция</w:t>
            </w:r>
          </w:p>
        </w:tc>
        <w:tc>
          <w:tcPr>
            <w:tcW w:w="992" w:type="dxa"/>
            <w:tcBorders>
              <w:top w:val="single" w:sz="4" w:space="0" w:color="auto"/>
              <w:left w:val="single" w:sz="4" w:space="0" w:color="auto"/>
              <w:bottom w:val="single" w:sz="4" w:space="0" w:color="auto"/>
              <w:right w:val="single" w:sz="4" w:space="0" w:color="auto"/>
            </w:tcBorders>
            <w:hideMark/>
          </w:tcPr>
          <w:p w14:paraId="5627F816"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48,0</w:t>
            </w:r>
          </w:p>
        </w:tc>
        <w:tc>
          <w:tcPr>
            <w:tcW w:w="1418" w:type="dxa"/>
            <w:tcBorders>
              <w:top w:val="single" w:sz="4" w:space="0" w:color="auto"/>
              <w:left w:val="single" w:sz="4" w:space="0" w:color="auto"/>
              <w:bottom w:val="single" w:sz="4" w:space="0" w:color="auto"/>
              <w:right w:val="single" w:sz="4" w:space="0" w:color="auto"/>
            </w:tcBorders>
            <w:hideMark/>
          </w:tcPr>
          <w:p w14:paraId="56654553"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8,8</w:t>
            </w:r>
          </w:p>
        </w:tc>
        <w:tc>
          <w:tcPr>
            <w:tcW w:w="1417" w:type="dxa"/>
            <w:tcBorders>
              <w:top w:val="single" w:sz="4" w:space="0" w:color="auto"/>
              <w:left w:val="single" w:sz="4" w:space="0" w:color="auto"/>
              <w:bottom w:val="single" w:sz="4" w:space="0" w:color="auto"/>
              <w:right w:val="single" w:sz="4" w:space="0" w:color="auto"/>
            </w:tcBorders>
            <w:hideMark/>
          </w:tcPr>
          <w:p w14:paraId="0621591F"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0,495</w:t>
            </w:r>
          </w:p>
        </w:tc>
        <w:tc>
          <w:tcPr>
            <w:tcW w:w="1559" w:type="dxa"/>
            <w:tcBorders>
              <w:top w:val="single" w:sz="4" w:space="0" w:color="auto"/>
              <w:left w:val="single" w:sz="4" w:space="0" w:color="auto"/>
              <w:bottom w:val="single" w:sz="4" w:space="0" w:color="auto"/>
              <w:right w:val="single" w:sz="4" w:space="0" w:color="auto"/>
            </w:tcBorders>
            <w:hideMark/>
          </w:tcPr>
          <w:p w14:paraId="4864B72E"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5,6</w:t>
            </w:r>
          </w:p>
        </w:tc>
        <w:tc>
          <w:tcPr>
            <w:tcW w:w="1418" w:type="dxa"/>
            <w:tcBorders>
              <w:top w:val="single" w:sz="4" w:space="0" w:color="auto"/>
              <w:left w:val="single" w:sz="4" w:space="0" w:color="auto"/>
              <w:bottom w:val="single" w:sz="4" w:space="0" w:color="auto"/>
              <w:right w:val="single" w:sz="4" w:space="0" w:color="auto"/>
            </w:tcBorders>
            <w:hideMark/>
          </w:tcPr>
          <w:p w14:paraId="5AD42D09" w14:textId="77777777" w:rsidR="00501827" w:rsidRPr="00712FAD" w:rsidRDefault="00501827" w:rsidP="00501827">
            <w:pPr>
              <w:spacing w:line="240" w:lineRule="auto"/>
              <w:jc w:val="center"/>
              <w:rPr>
                <w:rFonts w:ascii="Times New Roman" w:eastAsia="Calibri" w:hAnsi="Times New Roman"/>
                <w:sz w:val="24"/>
                <w:szCs w:val="24"/>
              </w:rPr>
            </w:pPr>
            <w:r w:rsidRPr="00712FAD">
              <w:rPr>
                <w:rFonts w:ascii="Times New Roman" w:eastAsia="Calibri" w:hAnsi="Times New Roman"/>
                <w:sz w:val="24"/>
                <w:szCs w:val="24"/>
              </w:rPr>
              <w:t>1,03</w:t>
            </w:r>
          </w:p>
        </w:tc>
      </w:tr>
    </w:tbl>
    <w:p w14:paraId="34E6CFA2" w14:textId="4894092D" w:rsidR="00BC7190" w:rsidRPr="00712FAD" w:rsidRDefault="00501827" w:rsidP="00B35E54">
      <w:pPr>
        <w:spacing w:after="60" w:line="240" w:lineRule="auto"/>
        <w:jc w:val="both"/>
        <w:rPr>
          <w:rFonts w:ascii="Times New Roman" w:hAnsi="Times New Roman" w:cs="Times New Roman"/>
          <w:bCs/>
          <w:sz w:val="24"/>
          <w:szCs w:val="24"/>
        </w:rPr>
      </w:pPr>
      <w:r w:rsidRPr="00712FAD">
        <w:rPr>
          <w:rFonts w:ascii="Times New Roman" w:hAnsi="Times New Roman" w:cs="Times New Roman"/>
          <w:bCs/>
          <w:sz w:val="24"/>
          <w:szCs w:val="24"/>
        </w:rPr>
        <w:t>Источник: рассчитано авторами на основании Ежегодника ЦАМТО (</w:t>
      </w:r>
      <w:hyperlink r:id="rId9" w:history="1">
        <w:r w:rsidRPr="00712FAD">
          <w:rPr>
            <w:rFonts w:ascii="Times New Roman" w:eastAsia="Times New Roman" w:hAnsi="Times New Roman" w:cs="Times New Roman"/>
            <w:color w:val="0000FF"/>
            <w:sz w:val="24"/>
            <w:szCs w:val="24"/>
            <w:u w:val="single"/>
            <w:lang w:val="en-US" w:eastAsia="cs-CZ"/>
          </w:rPr>
          <w:t>https</w:t>
        </w:r>
        <w:r w:rsidRPr="00712FAD">
          <w:rPr>
            <w:rFonts w:ascii="Times New Roman" w:eastAsia="Times New Roman" w:hAnsi="Times New Roman" w:cs="Times New Roman"/>
            <w:color w:val="0000FF"/>
            <w:sz w:val="24"/>
            <w:szCs w:val="24"/>
            <w:u w:val="single"/>
            <w:lang w:eastAsia="cs-CZ"/>
          </w:rPr>
          <w:t>://</w:t>
        </w:r>
        <w:proofErr w:type="spellStart"/>
        <w:r w:rsidRPr="00712FAD">
          <w:rPr>
            <w:rFonts w:ascii="Times New Roman" w:eastAsia="Times New Roman" w:hAnsi="Times New Roman" w:cs="Times New Roman"/>
            <w:color w:val="0000FF"/>
            <w:sz w:val="24"/>
            <w:szCs w:val="24"/>
            <w:u w:val="single"/>
            <w:lang w:val="en-US" w:eastAsia="cs-CZ"/>
          </w:rPr>
          <w:t>armstrade</w:t>
        </w:r>
        <w:proofErr w:type="spellEnd"/>
        <w:r w:rsidRPr="00712FAD">
          <w:rPr>
            <w:rFonts w:ascii="Times New Roman" w:eastAsia="Times New Roman" w:hAnsi="Times New Roman" w:cs="Times New Roman"/>
            <w:color w:val="0000FF"/>
            <w:sz w:val="24"/>
            <w:szCs w:val="24"/>
            <w:u w:val="single"/>
            <w:lang w:eastAsia="cs-CZ"/>
          </w:rPr>
          <w:t>.</w:t>
        </w:r>
        <w:r w:rsidRPr="00712FAD">
          <w:rPr>
            <w:rFonts w:ascii="Times New Roman" w:eastAsia="Times New Roman" w:hAnsi="Times New Roman" w:cs="Times New Roman"/>
            <w:color w:val="0000FF"/>
            <w:sz w:val="24"/>
            <w:szCs w:val="24"/>
            <w:u w:val="single"/>
            <w:lang w:val="en-US" w:eastAsia="cs-CZ"/>
          </w:rPr>
          <w:t>org</w:t>
        </w:r>
        <w:r w:rsidRPr="00712FAD">
          <w:rPr>
            <w:rFonts w:ascii="Times New Roman" w:eastAsia="Times New Roman" w:hAnsi="Times New Roman" w:cs="Times New Roman"/>
            <w:color w:val="0000FF"/>
            <w:sz w:val="24"/>
            <w:szCs w:val="24"/>
            <w:u w:val="single"/>
            <w:lang w:eastAsia="cs-CZ"/>
          </w:rPr>
          <w:t>/</w:t>
        </w:r>
        <w:r w:rsidRPr="00712FAD">
          <w:rPr>
            <w:rFonts w:ascii="Times New Roman" w:eastAsia="Times New Roman" w:hAnsi="Times New Roman" w:cs="Times New Roman"/>
            <w:color w:val="0000FF"/>
            <w:sz w:val="24"/>
            <w:szCs w:val="24"/>
            <w:u w:val="single"/>
            <w:lang w:val="en-US" w:eastAsia="cs-CZ"/>
          </w:rPr>
          <w:t>includes</w:t>
        </w:r>
        <w:r w:rsidRPr="00712FAD">
          <w:rPr>
            <w:rFonts w:ascii="Times New Roman" w:eastAsia="Times New Roman" w:hAnsi="Times New Roman" w:cs="Times New Roman"/>
            <w:color w:val="0000FF"/>
            <w:sz w:val="24"/>
            <w:szCs w:val="24"/>
            <w:u w:val="single"/>
            <w:lang w:eastAsia="cs-CZ"/>
          </w:rPr>
          <w:t>/</w:t>
        </w:r>
        <w:proofErr w:type="spellStart"/>
        <w:r w:rsidRPr="00712FAD">
          <w:rPr>
            <w:rFonts w:ascii="Times New Roman" w:eastAsia="Times New Roman" w:hAnsi="Times New Roman" w:cs="Times New Roman"/>
            <w:color w:val="0000FF"/>
            <w:sz w:val="24"/>
            <w:szCs w:val="24"/>
            <w:u w:val="single"/>
            <w:lang w:val="en-US" w:eastAsia="cs-CZ"/>
          </w:rPr>
          <w:t>periodics</w:t>
        </w:r>
        <w:proofErr w:type="spellEnd"/>
        <w:r w:rsidRPr="00712FAD">
          <w:rPr>
            <w:rFonts w:ascii="Times New Roman" w:eastAsia="Times New Roman" w:hAnsi="Times New Roman" w:cs="Times New Roman"/>
            <w:color w:val="0000FF"/>
            <w:sz w:val="24"/>
            <w:szCs w:val="24"/>
            <w:u w:val="single"/>
            <w:lang w:eastAsia="cs-CZ"/>
          </w:rPr>
          <w:t>/</w:t>
        </w:r>
        <w:r w:rsidRPr="00712FAD">
          <w:rPr>
            <w:rFonts w:ascii="Times New Roman" w:eastAsia="Times New Roman" w:hAnsi="Times New Roman" w:cs="Times New Roman"/>
            <w:color w:val="0000FF"/>
            <w:sz w:val="24"/>
            <w:szCs w:val="24"/>
            <w:u w:val="single"/>
            <w:lang w:val="en-US" w:eastAsia="cs-CZ"/>
          </w:rPr>
          <w:t>analytics</w:t>
        </w:r>
        <w:r w:rsidRPr="00712FAD">
          <w:rPr>
            <w:rFonts w:ascii="Times New Roman" w:eastAsia="Times New Roman" w:hAnsi="Times New Roman" w:cs="Times New Roman"/>
            <w:color w:val="0000FF"/>
            <w:sz w:val="24"/>
            <w:szCs w:val="24"/>
            <w:u w:val="single"/>
            <w:lang w:eastAsia="cs-CZ"/>
          </w:rPr>
          <w:t>/2020/0301 /130556903/</w:t>
        </w:r>
        <w:r w:rsidRPr="00712FAD">
          <w:rPr>
            <w:rFonts w:ascii="Times New Roman" w:eastAsia="Times New Roman" w:hAnsi="Times New Roman" w:cs="Times New Roman"/>
            <w:color w:val="0000FF"/>
            <w:sz w:val="24"/>
            <w:szCs w:val="24"/>
            <w:u w:val="single"/>
            <w:lang w:val="en-US" w:eastAsia="cs-CZ"/>
          </w:rPr>
          <w:t>detail</w:t>
        </w:r>
        <w:r w:rsidRPr="00712FAD">
          <w:rPr>
            <w:rFonts w:ascii="Times New Roman" w:eastAsia="Times New Roman" w:hAnsi="Times New Roman" w:cs="Times New Roman"/>
            <w:color w:val="0000FF"/>
            <w:sz w:val="24"/>
            <w:szCs w:val="24"/>
            <w:u w:val="single"/>
            <w:lang w:eastAsia="cs-CZ"/>
          </w:rPr>
          <w:t>.</w:t>
        </w:r>
        <w:proofErr w:type="spellStart"/>
        <w:r w:rsidRPr="00712FAD">
          <w:rPr>
            <w:rFonts w:ascii="Times New Roman" w:eastAsia="Times New Roman" w:hAnsi="Times New Roman" w:cs="Times New Roman"/>
            <w:color w:val="0000FF"/>
            <w:sz w:val="24"/>
            <w:szCs w:val="24"/>
            <w:u w:val="single"/>
            <w:lang w:val="en-US" w:eastAsia="cs-CZ"/>
          </w:rPr>
          <w:t>shtml</w:t>
        </w:r>
        <w:proofErr w:type="spellEnd"/>
      </w:hyperlink>
      <w:r w:rsidRPr="00712FAD">
        <w:rPr>
          <w:rFonts w:ascii="Times New Roman" w:eastAsia="Times New Roman" w:hAnsi="Times New Roman" w:cs="Times New Roman"/>
          <w:sz w:val="24"/>
          <w:szCs w:val="24"/>
          <w:lang w:eastAsia="cs-CZ"/>
        </w:rPr>
        <w:t>)</w:t>
      </w:r>
    </w:p>
    <w:p w14:paraId="48C20230" w14:textId="77777777" w:rsidR="00CD24BC" w:rsidRPr="00712FAD" w:rsidRDefault="00CD24BC" w:rsidP="00CD24BC">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Военные расходы РФ за тот же период составили 404,4 млрд. долл., из которых фактический объем экспорта всей продукции военного назначения составил 98,9 млрд. долл. или 24,5 %, а продукции кораблестроения - 3,55%.</w:t>
      </w:r>
    </w:p>
    <w:p w14:paraId="09E428BD" w14:textId="16A9A874" w:rsidR="00CD24BC" w:rsidRPr="00712FAD" w:rsidRDefault="00CD24BC" w:rsidP="00CD24BC">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 xml:space="preserve">На рынке ВМТ различные подходы к экспорту военной продукции США и РФ проявляются очень ярко. США вообще не являются крупным экспортером. Здесь больше </w:t>
      </w:r>
      <w:proofErr w:type="gramStart"/>
      <w:r w:rsidRPr="00712FAD">
        <w:rPr>
          <w:rFonts w:ascii="Times New Roman" w:hAnsi="Times New Roman" w:cs="Times New Roman"/>
          <w:bCs/>
          <w:spacing w:val="-4"/>
          <w:sz w:val="24"/>
          <w:szCs w:val="24"/>
        </w:rPr>
        <w:t>представлен</w:t>
      </w:r>
      <w:r w:rsidR="00BF2632">
        <w:rPr>
          <w:rFonts w:ascii="Times New Roman" w:hAnsi="Times New Roman" w:cs="Times New Roman"/>
          <w:bCs/>
          <w:spacing w:val="-4"/>
          <w:sz w:val="24"/>
          <w:szCs w:val="24"/>
        </w:rPr>
        <w:t xml:space="preserve">ы </w:t>
      </w:r>
      <w:r w:rsidRPr="00712FAD">
        <w:rPr>
          <w:rFonts w:ascii="Times New Roman" w:hAnsi="Times New Roman" w:cs="Times New Roman"/>
          <w:bCs/>
          <w:spacing w:val="-4"/>
          <w:sz w:val="24"/>
          <w:szCs w:val="24"/>
        </w:rPr>
        <w:t xml:space="preserve"> развитые</w:t>
      </w:r>
      <w:proofErr w:type="gramEnd"/>
      <w:r w:rsidRPr="00712FAD">
        <w:rPr>
          <w:rFonts w:ascii="Times New Roman" w:hAnsi="Times New Roman" w:cs="Times New Roman"/>
          <w:bCs/>
          <w:spacing w:val="-4"/>
          <w:sz w:val="24"/>
          <w:szCs w:val="24"/>
        </w:rPr>
        <w:t xml:space="preserve"> европейские страны – Германия, Франция, Нидерланды. Производители этих стран также обладают высокими компетенциями в производстве ВВТ, но никогда не имели таких же широких рынков сбыта военной продукции, как США и Россия. Военные расходы Франции за период 2011-2018 гг. составили 392,1 млрд. долл., и которых фактический объем экспорта всей продукции военного назначения составил 48,7 млрд. долл. или 12,4 %, а продукции кораблестроения 2,22%. Военные расходы Германии за период 2011-2018 гг. составили 363,1 млрд. долл., и которых фактический объем экспорта всей продукции военного назначения составил 27,2 млрд. долл. или 7,5 %, а продукции кораблестроения 2,81%. </w:t>
      </w:r>
    </w:p>
    <w:p w14:paraId="10FB8539" w14:textId="0334D13A" w:rsidR="00CD24BC" w:rsidRPr="00712FAD" w:rsidRDefault="00CD24BC" w:rsidP="00CD24BC">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 xml:space="preserve">Особая ситуация с Китаем, который в недавнем прошлом выступал на рынке ВВТ в статусе крупнейшего импортера, а сейчас по многим категориям вооружения сменил статус на экспортера. При этом доля объема экспорта за </w:t>
      </w:r>
      <w:r w:rsidRPr="00712FAD">
        <w:rPr>
          <w:rFonts w:ascii="Times New Roman" w:hAnsi="Times New Roman" w:cs="Times New Roman"/>
          <w:bCs/>
          <w:spacing w:val="-4"/>
          <w:sz w:val="24"/>
          <w:szCs w:val="24"/>
        </w:rPr>
        <w:lastRenderedPageBreak/>
        <w:t>период 2011-2018 гг. (18,5 млрд. долл.) от военных расходов за тот же период (1052,1 млрд. долл.)  составляет всего 1,75 %, а продукции кораблестроения 0,31%.</w:t>
      </w:r>
    </w:p>
    <w:p w14:paraId="74821227" w14:textId="05B02EC7" w:rsidR="00CD24BC" w:rsidRPr="00712FAD" w:rsidRDefault="00CD24BC" w:rsidP="00CD24BC">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Еще одна группа экспортеров – это такие страны, которые способны производить и продавать только определенные виды ВМТ. Например, за период 2011-2018 гг. Австралия в рейтинге экспортеров БНК заняла 4 место, после Испании, Франции и России, а в рейтинге поставщиков малых десантных кораблей - 3 место, после Нидерландов и России. Несмотря на это Австралия является одновременно крупнейшим импортером БНК в этом же периоде, и совсем не поставляет ПЛ. Всего несколько стран экспортируют ПЛ, среди них Швеция и Южная Корея, их объемы поставок по сравнению с лидерами рынка невелики. При этом некоторые виды ВМТ этим странам приходится импортировать. А такая страна, как Чили экспортирует только ПЛ и в очень небольших объемах.</w:t>
      </w:r>
    </w:p>
    <w:p w14:paraId="3D6A0749" w14:textId="52FF4A74" w:rsidR="00CD24BC" w:rsidRPr="00712FAD" w:rsidRDefault="00CD24BC" w:rsidP="00CD24BC">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 xml:space="preserve">Как мы уже отмечали, хотя статистики разных агентств показывают разные цифры, они при этом выявляют схожие тренды. Так, при обращении к данным СИПРИ для анализа ситуации на рынке ВМТ за тот же период 2011-2018 гг. мы получили сильно отличающиеся от данных ЦАМТО по абсолютным величинам цифры. Но тренды оказались схожими. Используя данные СИПРИ, авторы не стали подсчитывать показатель доли ВМТ от военных расходов в связи с особым подходом этого агентства присваивать стоимостные показатели различным видам вооружений, используя тренд-индикаторы </w:t>
      </w:r>
      <w:r w:rsidRPr="00712FAD">
        <w:rPr>
          <w:rFonts w:ascii="Times New Roman" w:hAnsi="Times New Roman" w:cs="Times New Roman"/>
          <w:bCs/>
          <w:spacing w:val="-4"/>
          <w:sz w:val="24"/>
          <w:szCs w:val="24"/>
          <w:lang w:val="en-US"/>
        </w:rPr>
        <w:t>TIVs</w:t>
      </w:r>
      <w:r w:rsidRPr="00712FAD">
        <w:rPr>
          <w:rFonts w:ascii="Times New Roman" w:hAnsi="Times New Roman" w:cs="Times New Roman"/>
          <w:bCs/>
          <w:spacing w:val="-4"/>
          <w:sz w:val="24"/>
          <w:szCs w:val="24"/>
        </w:rPr>
        <w:t xml:space="preserve">. А доля ВМТ от общего экспорта, когда обе величины считаются в </w:t>
      </w:r>
      <w:r w:rsidRPr="00712FAD">
        <w:rPr>
          <w:rFonts w:ascii="Times New Roman" w:hAnsi="Times New Roman" w:cs="Times New Roman"/>
          <w:bCs/>
          <w:spacing w:val="-4"/>
          <w:sz w:val="24"/>
          <w:szCs w:val="24"/>
          <w:lang w:val="en-US"/>
        </w:rPr>
        <w:t>TIVs</w:t>
      </w:r>
      <w:r w:rsidRPr="00712FAD">
        <w:rPr>
          <w:rFonts w:ascii="Times New Roman" w:hAnsi="Times New Roman" w:cs="Times New Roman"/>
          <w:bCs/>
          <w:spacing w:val="-4"/>
          <w:sz w:val="24"/>
          <w:szCs w:val="24"/>
        </w:rPr>
        <w:t>, в любом случае характеризует специализацию той или иной страны на кораблестроительной продукции.</w:t>
      </w:r>
    </w:p>
    <w:p w14:paraId="7128F648" w14:textId="147BACB2" w:rsidR="00CD24BC" w:rsidRPr="00712FAD" w:rsidRDefault="00CD24BC" w:rsidP="00CD24BC">
      <w:pPr>
        <w:spacing w:after="0" w:line="240" w:lineRule="auto"/>
        <w:jc w:val="center"/>
        <w:rPr>
          <w:rFonts w:ascii="Times New Roman" w:hAnsi="Times New Roman" w:cs="Times New Roman"/>
          <w:sz w:val="24"/>
          <w:szCs w:val="24"/>
        </w:rPr>
      </w:pPr>
      <w:bookmarkStart w:id="7" w:name="_Hlk48075090"/>
      <w:r w:rsidRPr="00712FAD">
        <w:rPr>
          <w:rFonts w:ascii="Times New Roman" w:hAnsi="Times New Roman" w:cs="Times New Roman"/>
          <w:sz w:val="24"/>
          <w:szCs w:val="24"/>
        </w:rPr>
        <w:t xml:space="preserve">Табл. 4. Доля ВМТ основных экспортеров рынка за период 2011-2018 гг. от общего объема экспорта </w:t>
      </w:r>
      <w:r w:rsidRPr="00712FAD">
        <w:rPr>
          <w:rFonts w:ascii="Times New Roman" w:eastAsia="Times New Roman" w:hAnsi="Times New Roman" w:cs="Times New Roman"/>
          <w:sz w:val="24"/>
          <w:szCs w:val="24"/>
          <w:lang w:eastAsia="cs-CZ"/>
        </w:rPr>
        <w:t>(в млн. долл. и %)</w:t>
      </w:r>
    </w:p>
    <w:tbl>
      <w:tblPr>
        <w:tblStyle w:val="a7"/>
        <w:tblW w:w="7768" w:type="dxa"/>
        <w:jc w:val="center"/>
        <w:tblLook w:val="04A0" w:firstRow="1" w:lastRow="0" w:firstColumn="1" w:lastColumn="0" w:noHBand="0" w:noVBand="1"/>
      </w:tblPr>
      <w:tblGrid>
        <w:gridCol w:w="2098"/>
        <w:gridCol w:w="1559"/>
        <w:gridCol w:w="1276"/>
        <w:gridCol w:w="2835"/>
      </w:tblGrid>
      <w:tr w:rsidR="00CD24BC" w:rsidRPr="00712FAD" w14:paraId="2D3E864E" w14:textId="77777777" w:rsidTr="00712FAD">
        <w:trPr>
          <w:jc w:val="center"/>
        </w:trPr>
        <w:tc>
          <w:tcPr>
            <w:tcW w:w="2098" w:type="dxa"/>
            <w:tcBorders>
              <w:top w:val="single" w:sz="4" w:space="0" w:color="auto"/>
              <w:left w:val="single" w:sz="4" w:space="0" w:color="auto"/>
              <w:bottom w:val="single" w:sz="4" w:space="0" w:color="auto"/>
              <w:right w:val="single" w:sz="4" w:space="0" w:color="auto"/>
            </w:tcBorders>
            <w:hideMark/>
          </w:tcPr>
          <w:bookmarkEnd w:id="7"/>
          <w:p w14:paraId="4B7D2BE1"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страна</w:t>
            </w:r>
          </w:p>
        </w:tc>
        <w:tc>
          <w:tcPr>
            <w:tcW w:w="1559" w:type="dxa"/>
            <w:tcBorders>
              <w:top w:val="single" w:sz="4" w:space="0" w:color="auto"/>
              <w:left w:val="single" w:sz="4" w:space="0" w:color="auto"/>
              <w:bottom w:val="single" w:sz="4" w:space="0" w:color="auto"/>
              <w:right w:val="single" w:sz="4" w:space="0" w:color="auto"/>
            </w:tcBorders>
            <w:hideMark/>
          </w:tcPr>
          <w:p w14:paraId="1C093D2B"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Объем экспорта ВВТ</w:t>
            </w:r>
          </w:p>
          <w:p w14:paraId="297C59B6" w14:textId="5B4CC968" w:rsidR="00CD24BC" w:rsidRPr="00712FAD" w:rsidRDefault="00CD24BC" w:rsidP="00AC3149">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45F708E" w14:textId="42C40784" w:rsidR="00CD24BC" w:rsidRPr="00712FAD" w:rsidRDefault="00CD24BC" w:rsidP="009062B7">
            <w:pPr>
              <w:jc w:val="center"/>
              <w:rPr>
                <w:rFonts w:ascii="Times New Roman" w:hAnsi="Times New Roman" w:cs="Times New Roman"/>
                <w:sz w:val="24"/>
                <w:szCs w:val="24"/>
              </w:rPr>
            </w:pPr>
            <w:r w:rsidRPr="00712FAD">
              <w:rPr>
                <w:rFonts w:ascii="Times New Roman" w:hAnsi="Times New Roman" w:cs="Times New Roman"/>
                <w:sz w:val="24"/>
                <w:szCs w:val="24"/>
              </w:rPr>
              <w:t>Все виды ВМТ</w:t>
            </w:r>
          </w:p>
        </w:tc>
        <w:tc>
          <w:tcPr>
            <w:tcW w:w="2835" w:type="dxa"/>
            <w:tcBorders>
              <w:top w:val="single" w:sz="4" w:space="0" w:color="auto"/>
              <w:left w:val="single" w:sz="4" w:space="0" w:color="auto"/>
              <w:bottom w:val="single" w:sz="4" w:space="0" w:color="auto"/>
              <w:right w:val="single" w:sz="4" w:space="0" w:color="auto"/>
            </w:tcBorders>
            <w:hideMark/>
          </w:tcPr>
          <w:p w14:paraId="4C6DD984" w14:textId="75611DF4"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 xml:space="preserve">Экспорт ВМТ от общего экспорта ВВТ </w:t>
            </w:r>
          </w:p>
        </w:tc>
      </w:tr>
      <w:tr w:rsidR="00CD24BC" w:rsidRPr="00712FAD" w14:paraId="73171C92" w14:textId="77777777" w:rsidTr="00712FAD">
        <w:trPr>
          <w:jc w:val="center"/>
        </w:trPr>
        <w:tc>
          <w:tcPr>
            <w:tcW w:w="2098" w:type="dxa"/>
            <w:tcBorders>
              <w:top w:val="single" w:sz="4" w:space="0" w:color="auto"/>
              <w:left w:val="single" w:sz="4" w:space="0" w:color="auto"/>
              <w:bottom w:val="single" w:sz="4" w:space="0" w:color="auto"/>
              <w:right w:val="single" w:sz="4" w:space="0" w:color="auto"/>
            </w:tcBorders>
            <w:hideMark/>
          </w:tcPr>
          <w:p w14:paraId="52B320A6" w14:textId="77777777" w:rsidR="00CD24BC" w:rsidRPr="00712FAD" w:rsidRDefault="00CD24BC" w:rsidP="00AC3149">
            <w:pPr>
              <w:rPr>
                <w:rFonts w:ascii="Times New Roman" w:hAnsi="Times New Roman" w:cs="Times New Roman"/>
                <w:sz w:val="24"/>
                <w:szCs w:val="24"/>
              </w:rPr>
            </w:pPr>
            <w:r w:rsidRPr="00712FAD">
              <w:rPr>
                <w:rFonts w:ascii="Times New Roman" w:hAnsi="Times New Roman" w:cs="Times New Roman"/>
                <w:sz w:val="24"/>
                <w:szCs w:val="24"/>
              </w:rPr>
              <w:t>США</w:t>
            </w:r>
          </w:p>
        </w:tc>
        <w:tc>
          <w:tcPr>
            <w:tcW w:w="1559" w:type="dxa"/>
            <w:tcBorders>
              <w:top w:val="single" w:sz="4" w:space="0" w:color="auto"/>
              <w:left w:val="single" w:sz="4" w:space="0" w:color="auto"/>
              <w:bottom w:val="single" w:sz="4" w:space="0" w:color="auto"/>
              <w:right w:val="single" w:sz="4" w:space="0" w:color="auto"/>
            </w:tcBorders>
            <w:hideMark/>
          </w:tcPr>
          <w:p w14:paraId="3CF850A1"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lang w:val="en-US"/>
              </w:rPr>
              <w:t>77</w:t>
            </w:r>
            <w:r w:rsidRPr="00712FAD">
              <w:rPr>
                <w:rFonts w:ascii="Times New Roman" w:hAnsi="Times New Roman" w:cs="Times New Roman"/>
                <w:sz w:val="24"/>
                <w:szCs w:val="24"/>
              </w:rPr>
              <w:t>459</w:t>
            </w:r>
          </w:p>
        </w:tc>
        <w:tc>
          <w:tcPr>
            <w:tcW w:w="1276" w:type="dxa"/>
            <w:tcBorders>
              <w:top w:val="single" w:sz="4" w:space="0" w:color="auto"/>
              <w:left w:val="single" w:sz="4" w:space="0" w:color="auto"/>
              <w:bottom w:val="single" w:sz="4" w:space="0" w:color="auto"/>
              <w:right w:val="single" w:sz="4" w:space="0" w:color="auto"/>
            </w:tcBorders>
            <w:hideMark/>
          </w:tcPr>
          <w:p w14:paraId="1D39FF8A" w14:textId="77777777" w:rsidR="00CD24BC" w:rsidRPr="00712FAD" w:rsidRDefault="00CD24BC" w:rsidP="00AC3149">
            <w:pPr>
              <w:jc w:val="center"/>
              <w:rPr>
                <w:rFonts w:ascii="Times New Roman" w:hAnsi="Times New Roman" w:cs="Times New Roman"/>
                <w:sz w:val="24"/>
                <w:szCs w:val="24"/>
                <w:lang w:val="en-US"/>
              </w:rPr>
            </w:pPr>
            <w:r w:rsidRPr="00712FAD">
              <w:rPr>
                <w:rFonts w:ascii="Times New Roman" w:hAnsi="Times New Roman" w:cs="Times New Roman"/>
                <w:sz w:val="24"/>
                <w:szCs w:val="24"/>
                <w:lang w:val="en-US"/>
              </w:rPr>
              <w:t>1691</w:t>
            </w:r>
          </w:p>
        </w:tc>
        <w:tc>
          <w:tcPr>
            <w:tcW w:w="2835" w:type="dxa"/>
            <w:tcBorders>
              <w:top w:val="single" w:sz="4" w:space="0" w:color="auto"/>
              <w:left w:val="single" w:sz="4" w:space="0" w:color="auto"/>
              <w:bottom w:val="single" w:sz="4" w:space="0" w:color="auto"/>
              <w:right w:val="single" w:sz="4" w:space="0" w:color="auto"/>
            </w:tcBorders>
            <w:hideMark/>
          </w:tcPr>
          <w:p w14:paraId="550D1CCF" w14:textId="77777777" w:rsidR="00CD24BC" w:rsidRPr="00712FAD" w:rsidRDefault="00CD24BC" w:rsidP="00AC3149">
            <w:pPr>
              <w:jc w:val="center"/>
              <w:rPr>
                <w:rFonts w:ascii="Times New Roman" w:hAnsi="Times New Roman" w:cs="Times New Roman"/>
                <w:sz w:val="24"/>
                <w:szCs w:val="24"/>
                <w:lang w:val="en-US"/>
              </w:rPr>
            </w:pPr>
            <w:r w:rsidRPr="00712FAD">
              <w:rPr>
                <w:rFonts w:ascii="Times New Roman" w:hAnsi="Times New Roman" w:cs="Times New Roman"/>
                <w:sz w:val="24"/>
                <w:szCs w:val="24"/>
                <w:lang w:val="en-US"/>
              </w:rPr>
              <w:t>2,18</w:t>
            </w:r>
          </w:p>
        </w:tc>
      </w:tr>
      <w:tr w:rsidR="00CD24BC" w:rsidRPr="00712FAD" w14:paraId="0E176D1D" w14:textId="77777777" w:rsidTr="00712FAD">
        <w:trPr>
          <w:jc w:val="center"/>
        </w:trPr>
        <w:tc>
          <w:tcPr>
            <w:tcW w:w="2098" w:type="dxa"/>
            <w:tcBorders>
              <w:top w:val="single" w:sz="4" w:space="0" w:color="auto"/>
              <w:left w:val="single" w:sz="4" w:space="0" w:color="auto"/>
              <w:bottom w:val="single" w:sz="4" w:space="0" w:color="auto"/>
              <w:right w:val="single" w:sz="4" w:space="0" w:color="auto"/>
            </w:tcBorders>
          </w:tcPr>
          <w:p w14:paraId="58AFF20B" w14:textId="77777777" w:rsidR="00CD24BC" w:rsidRPr="00712FAD" w:rsidRDefault="00CD24BC" w:rsidP="00AC3149">
            <w:pPr>
              <w:rPr>
                <w:rFonts w:ascii="Times New Roman" w:hAnsi="Times New Roman" w:cs="Times New Roman"/>
                <w:sz w:val="24"/>
                <w:szCs w:val="24"/>
              </w:rPr>
            </w:pPr>
            <w:r w:rsidRPr="00712FAD">
              <w:rPr>
                <w:rFonts w:ascii="Times New Roman" w:hAnsi="Times New Roman" w:cs="Times New Roman"/>
                <w:sz w:val="24"/>
                <w:szCs w:val="24"/>
              </w:rPr>
              <w:t>РФ</w:t>
            </w:r>
          </w:p>
        </w:tc>
        <w:tc>
          <w:tcPr>
            <w:tcW w:w="1559" w:type="dxa"/>
            <w:tcBorders>
              <w:top w:val="single" w:sz="4" w:space="0" w:color="auto"/>
              <w:left w:val="single" w:sz="4" w:space="0" w:color="auto"/>
              <w:bottom w:val="single" w:sz="4" w:space="0" w:color="auto"/>
              <w:right w:val="single" w:sz="4" w:space="0" w:color="auto"/>
            </w:tcBorders>
          </w:tcPr>
          <w:p w14:paraId="70E56423" w14:textId="77777777" w:rsidR="00CD24BC" w:rsidRPr="00712FAD" w:rsidRDefault="00CD24BC" w:rsidP="00AC3149">
            <w:pPr>
              <w:jc w:val="center"/>
              <w:rPr>
                <w:rFonts w:ascii="Times New Roman" w:hAnsi="Times New Roman" w:cs="Times New Roman"/>
                <w:sz w:val="24"/>
                <w:szCs w:val="24"/>
                <w:lang w:val="en-US"/>
              </w:rPr>
            </w:pPr>
            <w:r w:rsidRPr="00712FAD">
              <w:rPr>
                <w:rFonts w:ascii="Times New Roman" w:hAnsi="Times New Roman" w:cs="Times New Roman"/>
                <w:sz w:val="24"/>
                <w:szCs w:val="24"/>
                <w:lang w:val="en-US"/>
              </w:rPr>
              <w:t>55</w:t>
            </w:r>
            <w:r w:rsidRPr="00712FAD">
              <w:rPr>
                <w:rFonts w:ascii="Times New Roman" w:hAnsi="Times New Roman" w:cs="Times New Roman"/>
                <w:sz w:val="24"/>
                <w:szCs w:val="24"/>
              </w:rPr>
              <w:t>856</w:t>
            </w:r>
          </w:p>
        </w:tc>
        <w:tc>
          <w:tcPr>
            <w:tcW w:w="1276" w:type="dxa"/>
            <w:tcBorders>
              <w:top w:val="single" w:sz="4" w:space="0" w:color="auto"/>
              <w:left w:val="single" w:sz="4" w:space="0" w:color="auto"/>
              <w:bottom w:val="single" w:sz="4" w:space="0" w:color="auto"/>
              <w:right w:val="single" w:sz="4" w:space="0" w:color="auto"/>
            </w:tcBorders>
          </w:tcPr>
          <w:p w14:paraId="2B3F923F"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lang w:val="en-US"/>
              </w:rPr>
              <w:t>15738</w:t>
            </w:r>
          </w:p>
        </w:tc>
        <w:tc>
          <w:tcPr>
            <w:tcW w:w="2835" w:type="dxa"/>
            <w:tcBorders>
              <w:top w:val="single" w:sz="4" w:space="0" w:color="auto"/>
              <w:left w:val="single" w:sz="4" w:space="0" w:color="auto"/>
              <w:bottom w:val="single" w:sz="4" w:space="0" w:color="auto"/>
              <w:right w:val="single" w:sz="4" w:space="0" w:color="auto"/>
            </w:tcBorders>
          </w:tcPr>
          <w:p w14:paraId="40DA345B" w14:textId="77777777" w:rsidR="00CD24BC" w:rsidRPr="00712FAD" w:rsidRDefault="00CD24BC" w:rsidP="00AC3149">
            <w:pPr>
              <w:jc w:val="center"/>
              <w:rPr>
                <w:rFonts w:ascii="Times New Roman" w:hAnsi="Times New Roman" w:cs="Times New Roman"/>
                <w:sz w:val="24"/>
                <w:szCs w:val="24"/>
                <w:lang w:val="en-US"/>
              </w:rPr>
            </w:pPr>
            <w:r w:rsidRPr="00712FAD">
              <w:rPr>
                <w:rFonts w:ascii="Times New Roman" w:hAnsi="Times New Roman" w:cs="Times New Roman"/>
                <w:sz w:val="24"/>
                <w:szCs w:val="24"/>
                <w:lang w:val="en-US"/>
              </w:rPr>
              <w:t>28,15</w:t>
            </w:r>
          </w:p>
        </w:tc>
      </w:tr>
      <w:tr w:rsidR="00CD24BC" w:rsidRPr="00712FAD" w14:paraId="6F9A2BAE" w14:textId="77777777" w:rsidTr="00712FAD">
        <w:trPr>
          <w:jc w:val="center"/>
        </w:trPr>
        <w:tc>
          <w:tcPr>
            <w:tcW w:w="2098" w:type="dxa"/>
            <w:tcBorders>
              <w:top w:val="single" w:sz="4" w:space="0" w:color="auto"/>
              <w:left w:val="single" w:sz="4" w:space="0" w:color="auto"/>
              <w:bottom w:val="single" w:sz="4" w:space="0" w:color="auto"/>
              <w:right w:val="single" w:sz="4" w:space="0" w:color="auto"/>
            </w:tcBorders>
            <w:hideMark/>
          </w:tcPr>
          <w:p w14:paraId="33C1B426" w14:textId="77777777" w:rsidR="00CD24BC" w:rsidRPr="00712FAD" w:rsidRDefault="00CD24BC" w:rsidP="00AC3149">
            <w:pPr>
              <w:rPr>
                <w:rFonts w:ascii="Times New Roman" w:hAnsi="Times New Roman" w:cs="Times New Roman"/>
                <w:sz w:val="24"/>
                <w:szCs w:val="24"/>
              </w:rPr>
            </w:pPr>
            <w:r w:rsidRPr="00712FAD">
              <w:rPr>
                <w:rFonts w:ascii="Times New Roman" w:hAnsi="Times New Roman" w:cs="Times New Roman"/>
                <w:sz w:val="24"/>
                <w:szCs w:val="24"/>
              </w:rPr>
              <w:t>Франция</w:t>
            </w:r>
          </w:p>
        </w:tc>
        <w:tc>
          <w:tcPr>
            <w:tcW w:w="1559" w:type="dxa"/>
            <w:tcBorders>
              <w:top w:val="single" w:sz="4" w:space="0" w:color="auto"/>
              <w:left w:val="single" w:sz="4" w:space="0" w:color="auto"/>
              <w:bottom w:val="single" w:sz="4" w:space="0" w:color="auto"/>
              <w:right w:val="single" w:sz="4" w:space="0" w:color="auto"/>
            </w:tcBorders>
            <w:hideMark/>
          </w:tcPr>
          <w:p w14:paraId="2928DBA4"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lang w:val="en-US"/>
              </w:rPr>
              <w:t>14</w:t>
            </w:r>
            <w:r w:rsidRPr="00712FAD">
              <w:rPr>
                <w:rFonts w:ascii="Times New Roman" w:hAnsi="Times New Roman" w:cs="Times New Roman"/>
                <w:sz w:val="24"/>
                <w:szCs w:val="24"/>
              </w:rPr>
              <w:t>011</w:t>
            </w:r>
          </w:p>
        </w:tc>
        <w:tc>
          <w:tcPr>
            <w:tcW w:w="1276" w:type="dxa"/>
            <w:tcBorders>
              <w:top w:val="single" w:sz="4" w:space="0" w:color="auto"/>
              <w:left w:val="single" w:sz="4" w:space="0" w:color="auto"/>
              <w:bottom w:val="single" w:sz="4" w:space="0" w:color="auto"/>
              <w:right w:val="single" w:sz="4" w:space="0" w:color="auto"/>
            </w:tcBorders>
            <w:hideMark/>
          </w:tcPr>
          <w:p w14:paraId="1F7EE125" w14:textId="77777777" w:rsidR="00CD24BC" w:rsidRPr="00712FAD" w:rsidRDefault="00CD24BC" w:rsidP="00AC3149">
            <w:pPr>
              <w:jc w:val="center"/>
              <w:rPr>
                <w:rFonts w:ascii="Times New Roman" w:hAnsi="Times New Roman" w:cs="Times New Roman"/>
                <w:sz w:val="24"/>
                <w:szCs w:val="24"/>
                <w:lang w:val="en-US"/>
              </w:rPr>
            </w:pPr>
            <w:r w:rsidRPr="00712FAD">
              <w:rPr>
                <w:rFonts w:ascii="Times New Roman" w:hAnsi="Times New Roman" w:cs="Times New Roman"/>
                <w:sz w:val="24"/>
                <w:szCs w:val="24"/>
                <w:lang w:val="en-US"/>
              </w:rPr>
              <w:t>3143</w:t>
            </w:r>
          </w:p>
        </w:tc>
        <w:tc>
          <w:tcPr>
            <w:tcW w:w="2835" w:type="dxa"/>
            <w:tcBorders>
              <w:top w:val="single" w:sz="4" w:space="0" w:color="auto"/>
              <w:left w:val="single" w:sz="4" w:space="0" w:color="auto"/>
              <w:bottom w:val="single" w:sz="4" w:space="0" w:color="auto"/>
              <w:right w:val="single" w:sz="4" w:space="0" w:color="auto"/>
            </w:tcBorders>
            <w:hideMark/>
          </w:tcPr>
          <w:p w14:paraId="6190159E" w14:textId="77777777" w:rsidR="00CD24BC" w:rsidRPr="00712FAD" w:rsidRDefault="00CD24BC" w:rsidP="00AC3149">
            <w:pPr>
              <w:jc w:val="center"/>
              <w:rPr>
                <w:rFonts w:ascii="Times New Roman" w:hAnsi="Times New Roman" w:cs="Times New Roman"/>
                <w:sz w:val="24"/>
                <w:szCs w:val="24"/>
                <w:lang w:val="en-US"/>
              </w:rPr>
            </w:pPr>
            <w:r w:rsidRPr="00712FAD">
              <w:rPr>
                <w:rFonts w:ascii="Times New Roman" w:hAnsi="Times New Roman" w:cs="Times New Roman"/>
                <w:sz w:val="24"/>
                <w:szCs w:val="24"/>
                <w:lang w:val="en-US"/>
              </w:rPr>
              <w:t>22,45</w:t>
            </w:r>
          </w:p>
        </w:tc>
      </w:tr>
      <w:tr w:rsidR="00CD24BC" w:rsidRPr="00712FAD" w14:paraId="3D76072D" w14:textId="77777777" w:rsidTr="00712FAD">
        <w:trPr>
          <w:jc w:val="center"/>
        </w:trPr>
        <w:tc>
          <w:tcPr>
            <w:tcW w:w="2098" w:type="dxa"/>
            <w:tcBorders>
              <w:top w:val="single" w:sz="4" w:space="0" w:color="auto"/>
              <w:left w:val="single" w:sz="4" w:space="0" w:color="auto"/>
              <w:bottom w:val="single" w:sz="4" w:space="0" w:color="auto"/>
              <w:right w:val="single" w:sz="4" w:space="0" w:color="auto"/>
            </w:tcBorders>
          </w:tcPr>
          <w:p w14:paraId="088AB7E3" w14:textId="77777777" w:rsidR="00CD24BC" w:rsidRPr="00712FAD" w:rsidRDefault="00CD24BC" w:rsidP="00AC3149">
            <w:pPr>
              <w:rPr>
                <w:rFonts w:ascii="Times New Roman" w:hAnsi="Times New Roman" w:cs="Times New Roman"/>
                <w:sz w:val="24"/>
                <w:szCs w:val="24"/>
              </w:rPr>
            </w:pPr>
            <w:r w:rsidRPr="00712FAD">
              <w:rPr>
                <w:rFonts w:ascii="Times New Roman" w:hAnsi="Times New Roman" w:cs="Times New Roman"/>
                <w:sz w:val="24"/>
                <w:szCs w:val="24"/>
              </w:rPr>
              <w:t>Китай</w:t>
            </w:r>
          </w:p>
        </w:tc>
        <w:tc>
          <w:tcPr>
            <w:tcW w:w="1559" w:type="dxa"/>
            <w:tcBorders>
              <w:top w:val="single" w:sz="4" w:space="0" w:color="auto"/>
              <w:left w:val="single" w:sz="4" w:space="0" w:color="auto"/>
              <w:bottom w:val="single" w:sz="4" w:space="0" w:color="auto"/>
              <w:right w:val="single" w:sz="4" w:space="0" w:color="auto"/>
            </w:tcBorders>
          </w:tcPr>
          <w:p w14:paraId="4CBD34BD"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lang w:val="en-US"/>
              </w:rPr>
              <w:t>12</w:t>
            </w:r>
            <w:r w:rsidRPr="00712FAD">
              <w:rPr>
                <w:rFonts w:ascii="Times New Roman" w:hAnsi="Times New Roman" w:cs="Times New Roman"/>
                <w:sz w:val="24"/>
                <w:szCs w:val="24"/>
              </w:rPr>
              <w:t>781</w:t>
            </w:r>
          </w:p>
        </w:tc>
        <w:tc>
          <w:tcPr>
            <w:tcW w:w="1276" w:type="dxa"/>
            <w:tcBorders>
              <w:top w:val="single" w:sz="4" w:space="0" w:color="auto"/>
              <w:left w:val="single" w:sz="4" w:space="0" w:color="auto"/>
              <w:bottom w:val="single" w:sz="4" w:space="0" w:color="auto"/>
              <w:right w:val="single" w:sz="4" w:space="0" w:color="auto"/>
            </w:tcBorders>
          </w:tcPr>
          <w:p w14:paraId="119D161F" w14:textId="77777777" w:rsidR="00CD24BC" w:rsidRPr="00712FAD" w:rsidRDefault="00CD24BC" w:rsidP="00AC3149">
            <w:pPr>
              <w:jc w:val="center"/>
              <w:rPr>
                <w:rFonts w:ascii="Times New Roman" w:hAnsi="Times New Roman" w:cs="Times New Roman"/>
                <w:sz w:val="24"/>
                <w:szCs w:val="24"/>
                <w:lang w:val="en-US"/>
              </w:rPr>
            </w:pPr>
            <w:r w:rsidRPr="00712FAD">
              <w:rPr>
                <w:rFonts w:ascii="Times New Roman" w:hAnsi="Times New Roman" w:cs="Times New Roman"/>
                <w:sz w:val="24"/>
                <w:szCs w:val="24"/>
              </w:rPr>
              <w:t>2704</w:t>
            </w:r>
          </w:p>
        </w:tc>
        <w:tc>
          <w:tcPr>
            <w:tcW w:w="2835" w:type="dxa"/>
            <w:tcBorders>
              <w:top w:val="single" w:sz="4" w:space="0" w:color="auto"/>
              <w:left w:val="single" w:sz="4" w:space="0" w:color="auto"/>
              <w:bottom w:val="single" w:sz="4" w:space="0" w:color="auto"/>
              <w:right w:val="single" w:sz="4" w:space="0" w:color="auto"/>
            </w:tcBorders>
          </w:tcPr>
          <w:p w14:paraId="52666679" w14:textId="77777777" w:rsidR="00CD24BC" w:rsidRPr="00712FAD" w:rsidRDefault="00CD24BC" w:rsidP="00AC3149">
            <w:pPr>
              <w:jc w:val="center"/>
              <w:rPr>
                <w:rFonts w:ascii="Times New Roman" w:hAnsi="Times New Roman" w:cs="Times New Roman"/>
                <w:sz w:val="24"/>
                <w:szCs w:val="24"/>
                <w:lang w:val="en-US"/>
              </w:rPr>
            </w:pPr>
            <w:r w:rsidRPr="00712FAD">
              <w:rPr>
                <w:rFonts w:ascii="Times New Roman" w:hAnsi="Times New Roman" w:cs="Times New Roman"/>
                <w:sz w:val="24"/>
                <w:szCs w:val="24"/>
                <w:lang w:val="en-US"/>
              </w:rPr>
              <w:t>21</w:t>
            </w:r>
            <w:r w:rsidRPr="00712FAD">
              <w:rPr>
                <w:rFonts w:ascii="Times New Roman" w:hAnsi="Times New Roman" w:cs="Times New Roman"/>
                <w:sz w:val="24"/>
                <w:szCs w:val="24"/>
              </w:rPr>
              <w:t>,12</w:t>
            </w:r>
          </w:p>
        </w:tc>
      </w:tr>
      <w:tr w:rsidR="00CD24BC" w:rsidRPr="00712FAD" w14:paraId="5E1164DD" w14:textId="77777777" w:rsidTr="00712FAD">
        <w:trPr>
          <w:jc w:val="center"/>
        </w:trPr>
        <w:tc>
          <w:tcPr>
            <w:tcW w:w="2098" w:type="dxa"/>
            <w:tcBorders>
              <w:top w:val="single" w:sz="4" w:space="0" w:color="auto"/>
              <w:left w:val="single" w:sz="4" w:space="0" w:color="auto"/>
              <w:bottom w:val="single" w:sz="4" w:space="0" w:color="auto"/>
              <w:right w:val="single" w:sz="4" w:space="0" w:color="auto"/>
            </w:tcBorders>
            <w:hideMark/>
          </w:tcPr>
          <w:p w14:paraId="73FE0D4E" w14:textId="77777777" w:rsidR="00CD24BC" w:rsidRPr="00712FAD" w:rsidRDefault="00CD24BC" w:rsidP="00AC3149">
            <w:pPr>
              <w:rPr>
                <w:rFonts w:ascii="Times New Roman" w:hAnsi="Times New Roman" w:cs="Times New Roman"/>
                <w:sz w:val="24"/>
                <w:szCs w:val="24"/>
              </w:rPr>
            </w:pPr>
            <w:r w:rsidRPr="00712FAD">
              <w:rPr>
                <w:rFonts w:ascii="Times New Roman" w:hAnsi="Times New Roman" w:cs="Times New Roman"/>
                <w:sz w:val="24"/>
                <w:szCs w:val="24"/>
              </w:rPr>
              <w:t>Германия</w:t>
            </w:r>
          </w:p>
        </w:tc>
        <w:tc>
          <w:tcPr>
            <w:tcW w:w="1559" w:type="dxa"/>
            <w:tcBorders>
              <w:top w:val="single" w:sz="4" w:space="0" w:color="auto"/>
              <w:left w:val="single" w:sz="4" w:space="0" w:color="auto"/>
              <w:bottom w:val="single" w:sz="4" w:space="0" w:color="auto"/>
              <w:right w:val="single" w:sz="4" w:space="0" w:color="auto"/>
            </w:tcBorders>
            <w:hideMark/>
          </w:tcPr>
          <w:p w14:paraId="74515FDF"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11965</w:t>
            </w:r>
          </w:p>
        </w:tc>
        <w:tc>
          <w:tcPr>
            <w:tcW w:w="1276" w:type="dxa"/>
            <w:tcBorders>
              <w:top w:val="single" w:sz="4" w:space="0" w:color="auto"/>
              <w:left w:val="single" w:sz="4" w:space="0" w:color="auto"/>
              <w:bottom w:val="single" w:sz="4" w:space="0" w:color="auto"/>
              <w:right w:val="single" w:sz="4" w:space="0" w:color="auto"/>
            </w:tcBorders>
            <w:hideMark/>
          </w:tcPr>
          <w:p w14:paraId="70D7D5A3" w14:textId="77777777" w:rsidR="00CD24BC" w:rsidRPr="00712FAD" w:rsidRDefault="00CD24BC" w:rsidP="00AC3149">
            <w:pPr>
              <w:jc w:val="center"/>
              <w:rPr>
                <w:rFonts w:ascii="Times New Roman" w:hAnsi="Times New Roman" w:cs="Times New Roman"/>
                <w:sz w:val="24"/>
                <w:szCs w:val="24"/>
                <w:lang w:val="en-US"/>
              </w:rPr>
            </w:pPr>
            <w:r w:rsidRPr="00712FAD">
              <w:rPr>
                <w:rFonts w:ascii="Times New Roman" w:hAnsi="Times New Roman" w:cs="Times New Roman"/>
                <w:sz w:val="24"/>
                <w:szCs w:val="24"/>
                <w:lang w:val="en-US"/>
              </w:rPr>
              <w:t>4858</w:t>
            </w:r>
          </w:p>
        </w:tc>
        <w:tc>
          <w:tcPr>
            <w:tcW w:w="2835" w:type="dxa"/>
            <w:tcBorders>
              <w:top w:val="single" w:sz="4" w:space="0" w:color="auto"/>
              <w:left w:val="single" w:sz="4" w:space="0" w:color="auto"/>
              <w:bottom w:val="single" w:sz="4" w:space="0" w:color="auto"/>
              <w:right w:val="single" w:sz="4" w:space="0" w:color="auto"/>
            </w:tcBorders>
            <w:hideMark/>
          </w:tcPr>
          <w:p w14:paraId="232BB026" w14:textId="77777777" w:rsidR="00CD24BC" w:rsidRPr="00712FAD" w:rsidRDefault="00CD24BC" w:rsidP="00AC3149">
            <w:pPr>
              <w:jc w:val="center"/>
              <w:rPr>
                <w:rFonts w:ascii="Times New Roman" w:hAnsi="Times New Roman" w:cs="Times New Roman"/>
                <w:sz w:val="24"/>
                <w:szCs w:val="24"/>
                <w:lang w:val="en-US"/>
              </w:rPr>
            </w:pPr>
            <w:r w:rsidRPr="00712FAD">
              <w:rPr>
                <w:rFonts w:ascii="Times New Roman" w:hAnsi="Times New Roman" w:cs="Times New Roman"/>
                <w:sz w:val="24"/>
                <w:szCs w:val="24"/>
                <w:lang w:val="en-US"/>
              </w:rPr>
              <w:t>40,48</w:t>
            </w:r>
          </w:p>
        </w:tc>
      </w:tr>
      <w:tr w:rsidR="00CD24BC" w:rsidRPr="00712FAD" w14:paraId="400F2533" w14:textId="77777777" w:rsidTr="00712FAD">
        <w:trPr>
          <w:jc w:val="center"/>
        </w:trPr>
        <w:tc>
          <w:tcPr>
            <w:tcW w:w="2098" w:type="dxa"/>
            <w:tcBorders>
              <w:top w:val="single" w:sz="4" w:space="0" w:color="auto"/>
              <w:left w:val="single" w:sz="4" w:space="0" w:color="auto"/>
              <w:bottom w:val="single" w:sz="4" w:space="0" w:color="auto"/>
              <w:right w:val="single" w:sz="4" w:space="0" w:color="auto"/>
            </w:tcBorders>
            <w:hideMark/>
          </w:tcPr>
          <w:p w14:paraId="5C5761ED" w14:textId="77777777" w:rsidR="00CD24BC" w:rsidRPr="00712FAD" w:rsidRDefault="00CD24BC" w:rsidP="00AC3149">
            <w:pPr>
              <w:rPr>
                <w:rFonts w:ascii="Times New Roman" w:hAnsi="Times New Roman" w:cs="Times New Roman"/>
                <w:sz w:val="24"/>
                <w:szCs w:val="24"/>
              </w:rPr>
            </w:pPr>
            <w:r w:rsidRPr="00712FAD">
              <w:rPr>
                <w:rFonts w:ascii="Times New Roman" w:hAnsi="Times New Roman" w:cs="Times New Roman"/>
                <w:sz w:val="24"/>
                <w:szCs w:val="24"/>
              </w:rPr>
              <w:t>Южная Корея</w:t>
            </w:r>
          </w:p>
        </w:tc>
        <w:tc>
          <w:tcPr>
            <w:tcW w:w="1559" w:type="dxa"/>
            <w:tcBorders>
              <w:top w:val="single" w:sz="4" w:space="0" w:color="auto"/>
              <w:left w:val="single" w:sz="4" w:space="0" w:color="auto"/>
              <w:bottom w:val="single" w:sz="4" w:space="0" w:color="auto"/>
              <w:right w:val="single" w:sz="4" w:space="0" w:color="auto"/>
            </w:tcBorders>
            <w:hideMark/>
          </w:tcPr>
          <w:p w14:paraId="1F54B3AA"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3470</w:t>
            </w:r>
          </w:p>
        </w:tc>
        <w:tc>
          <w:tcPr>
            <w:tcW w:w="1276" w:type="dxa"/>
            <w:tcBorders>
              <w:top w:val="single" w:sz="4" w:space="0" w:color="auto"/>
              <w:left w:val="single" w:sz="4" w:space="0" w:color="auto"/>
              <w:bottom w:val="single" w:sz="4" w:space="0" w:color="auto"/>
              <w:right w:val="single" w:sz="4" w:space="0" w:color="auto"/>
            </w:tcBorders>
            <w:hideMark/>
          </w:tcPr>
          <w:p w14:paraId="0F7D502F"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1695</w:t>
            </w:r>
          </w:p>
        </w:tc>
        <w:tc>
          <w:tcPr>
            <w:tcW w:w="2835" w:type="dxa"/>
            <w:tcBorders>
              <w:top w:val="single" w:sz="4" w:space="0" w:color="auto"/>
              <w:left w:val="single" w:sz="4" w:space="0" w:color="auto"/>
              <w:bottom w:val="single" w:sz="4" w:space="0" w:color="auto"/>
              <w:right w:val="single" w:sz="4" w:space="0" w:color="auto"/>
            </w:tcBorders>
            <w:hideMark/>
          </w:tcPr>
          <w:p w14:paraId="5579E33B"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48,8</w:t>
            </w:r>
          </w:p>
        </w:tc>
      </w:tr>
      <w:tr w:rsidR="00CD24BC" w:rsidRPr="00712FAD" w14:paraId="5A2AEEA5" w14:textId="77777777" w:rsidTr="00712FAD">
        <w:trPr>
          <w:jc w:val="center"/>
        </w:trPr>
        <w:tc>
          <w:tcPr>
            <w:tcW w:w="2098" w:type="dxa"/>
            <w:tcBorders>
              <w:top w:val="single" w:sz="4" w:space="0" w:color="auto"/>
              <w:left w:val="single" w:sz="4" w:space="0" w:color="auto"/>
              <w:bottom w:val="single" w:sz="4" w:space="0" w:color="auto"/>
              <w:right w:val="single" w:sz="4" w:space="0" w:color="auto"/>
            </w:tcBorders>
            <w:hideMark/>
          </w:tcPr>
          <w:p w14:paraId="2012FC68" w14:textId="77777777" w:rsidR="00CD24BC" w:rsidRPr="00712FAD" w:rsidRDefault="00CD24BC" w:rsidP="00AC3149">
            <w:pPr>
              <w:rPr>
                <w:rFonts w:ascii="Times New Roman" w:hAnsi="Times New Roman" w:cs="Times New Roman"/>
                <w:sz w:val="24"/>
                <w:szCs w:val="24"/>
              </w:rPr>
            </w:pPr>
            <w:r w:rsidRPr="00712FAD">
              <w:rPr>
                <w:rFonts w:ascii="Times New Roman" w:hAnsi="Times New Roman" w:cs="Times New Roman"/>
                <w:sz w:val="24"/>
                <w:szCs w:val="24"/>
              </w:rPr>
              <w:t>Австралия</w:t>
            </w:r>
          </w:p>
        </w:tc>
        <w:tc>
          <w:tcPr>
            <w:tcW w:w="1559" w:type="dxa"/>
            <w:tcBorders>
              <w:top w:val="single" w:sz="4" w:space="0" w:color="auto"/>
              <w:left w:val="single" w:sz="4" w:space="0" w:color="auto"/>
              <w:bottom w:val="single" w:sz="4" w:space="0" w:color="auto"/>
              <w:right w:val="single" w:sz="4" w:space="0" w:color="auto"/>
            </w:tcBorders>
            <w:hideMark/>
          </w:tcPr>
          <w:p w14:paraId="1369E452"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696</w:t>
            </w:r>
          </w:p>
        </w:tc>
        <w:tc>
          <w:tcPr>
            <w:tcW w:w="1276" w:type="dxa"/>
            <w:tcBorders>
              <w:top w:val="single" w:sz="4" w:space="0" w:color="auto"/>
              <w:left w:val="single" w:sz="4" w:space="0" w:color="auto"/>
              <w:bottom w:val="single" w:sz="4" w:space="0" w:color="auto"/>
              <w:right w:val="single" w:sz="4" w:space="0" w:color="auto"/>
            </w:tcBorders>
            <w:hideMark/>
          </w:tcPr>
          <w:p w14:paraId="6068DCA7"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393</w:t>
            </w:r>
          </w:p>
        </w:tc>
        <w:tc>
          <w:tcPr>
            <w:tcW w:w="2835" w:type="dxa"/>
            <w:tcBorders>
              <w:top w:val="single" w:sz="4" w:space="0" w:color="auto"/>
              <w:left w:val="single" w:sz="4" w:space="0" w:color="auto"/>
              <w:bottom w:val="single" w:sz="4" w:space="0" w:color="auto"/>
              <w:right w:val="single" w:sz="4" w:space="0" w:color="auto"/>
            </w:tcBorders>
            <w:hideMark/>
          </w:tcPr>
          <w:p w14:paraId="31E5DBB8"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56,5</w:t>
            </w:r>
          </w:p>
        </w:tc>
      </w:tr>
      <w:tr w:rsidR="00CD24BC" w:rsidRPr="00712FAD" w14:paraId="326C004C" w14:textId="77777777" w:rsidTr="00712FAD">
        <w:trPr>
          <w:jc w:val="center"/>
        </w:trPr>
        <w:tc>
          <w:tcPr>
            <w:tcW w:w="2098" w:type="dxa"/>
            <w:tcBorders>
              <w:top w:val="single" w:sz="4" w:space="0" w:color="auto"/>
              <w:left w:val="single" w:sz="4" w:space="0" w:color="auto"/>
              <w:bottom w:val="single" w:sz="4" w:space="0" w:color="auto"/>
              <w:right w:val="single" w:sz="4" w:space="0" w:color="auto"/>
            </w:tcBorders>
            <w:hideMark/>
          </w:tcPr>
          <w:p w14:paraId="3C1210C0" w14:textId="77777777" w:rsidR="00CD24BC" w:rsidRPr="00712FAD" w:rsidRDefault="00CD24BC" w:rsidP="00AC3149">
            <w:pPr>
              <w:rPr>
                <w:rFonts w:ascii="Times New Roman" w:hAnsi="Times New Roman" w:cs="Times New Roman"/>
                <w:sz w:val="24"/>
                <w:szCs w:val="24"/>
              </w:rPr>
            </w:pPr>
            <w:r w:rsidRPr="00712FAD">
              <w:rPr>
                <w:rFonts w:ascii="Times New Roman" w:hAnsi="Times New Roman" w:cs="Times New Roman"/>
                <w:sz w:val="24"/>
                <w:szCs w:val="24"/>
              </w:rPr>
              <w:t>Швеция</w:t>
            </w:r>
          </w:p>
        </w:tc>
        <w:tc>
          <w:tcPr>
            <w:tcW w:w="1559" w:type="dxa"/>
            <w:tcBorders>
              <w:top w:val="single" w:sz="4" w:space="0" w:color="auto"/>
              <w:left w:val="single" w:sz="4" w:space="0" w:color="auto"/>
              <w:bottom w:val="single" w:sz="4" w:space="0" w:color="auto"/>
              <w:right w:val="single" w:sz="4" w:space="0" w:color="auto"/>
            </w:tcBorders>
            <w:hideMark/>
          </w:tcPr>
          <w:p w14:paraId="1C19634E"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2573</w:t>
            </w:r>
          </w:p>
        </w:tc>
        <w:tc>
          <w:tcPr>
            <w:tcW w:w="1276" w:type="dxa"/>
            <w:tcBorders>
              <w:top w:val="single" w:sz="4" w:space="0" w:color="auto"/>
              <w:left w:val="single" w:sz="4" w:space="0" w:color="auto"/>
              <w:bottom w:val="single" w:sz="4" w:space="0" w:color="auto"/>
              <w:right w:val="single" w:sz="4" w:space="0" w:color="auto"/>
            </w:tcBorders>
            <w:hideMark/>
          </w:tcPr>
          <w:p w14:paraId="15035ABD"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370</w:t>
            </w:r>
          </w:p>
        </w:tc>
        <w:tc>
          <w:tcPr>
            <w:tcW w:w="2835" w:type="dxa"/>
            <w:tcBorders>
              <w:top w:val="single" w:sz="4" w:space="0" w:color="auto"/>
              <w:left w:val="single" w:sz="4" w:space="0" w:color="auto"/>
              <w:bottom w:val="single" w:sz="4" w:space="0" w:color="auto"/>
              <w:right w:val="single" w:sz="4" w:space="0" w:color="auto"/>
            </w:tcBorders>
            <w:hideMark/>
          </w:tcPr>
          <w:p w14:paraId="3CBCCF5D" w14:textId="77777777" w:rsidR="00CD24BC" w:rsidRPr="00712FAD" w:rsidRDefault="00CD24BC" w:rsidP="00AC3149">
            <w:pPr>
              <w:jc w:val="center"/>
              <w:rPr>
                <w:rFonts w:ascii="Times New Roman" w:hAnsi="Times New Roman" w:cs="Times New Roman"/>
                <w:sz w:val="24"/>
                <w:szCs w:val="24"/>
              </w:rPr>
            </w:pPr>
            <w:r w:rsidRPr="00712FAD">
              <w:rPr>
                <w:rFonts w:ascii="Times New Roman" w:hAnsi="Times New Roman" w:cs="Times New Roman"/>
                <w:sz w:val="24"/>
                <w:szCs w:val="24"/>
              </w:rPr>
              <w:t>14,40</w:t>
            </w:r>
          </w:p>
        </w:tc>
      </w:tr>
    </w:tbl>
    <w:p w14:paraId="74543175" w14:textId="333F5B51" w:rsidR="00CD24BC" w:rsidRPr="00712FAD" w:rsidRDefault="009062B7" w:rsidP="00CD24BC">
      <w:pPr>
        <w:spacing w:after="120"/>
        <w:rPr>
          <w:rFonts w:ascii="Times New Roman" w:hAnsi="Times New Roman" w:cs="Times New Roman"/>
          <w:sz w:val="24"/>
          <w:szCs w:val="24"/>
        </w:rPr>
      </w:pPr>
      <w:r w:rsidRPr="00712FAD">
        <w:rPr>
          <w:rFonts w:ascii="Times New Roman" w:hAnsi="Times New Roman" w:cs="Times New Roman"/>
          <w:sz w:val="24"/>
          <w:szCs w:val="24"/>
        </w:rPr>
        <w:t xml:space="preserve">Источник: рассчитано авторами на основании данных </w:t>
      </w:r>
      <w:r w:rsidR="00CD24BC" w:rsidRPr="00712FAD">
        <w:rPr>
          <w:rFonts w:ascii="Times New Roman" w:hAnsi="Times New Roman" w:cs="Times New Roman"/>
          <w:sz w:val="24"/>
          <w:szCs w:val="24"/>
          <w:lang w:val="en-US"/>
        </w:rPr>
        <w:t>SIPRI</w:t>
      </w:r>
      <w:r w:rsidR="00CD24BC" w:rsidRPr="00712FAD">
        <w:rPr>
          <w:rFonts w:ascii="Times New Roman" w:hAnsi="Times New Roman" w:cs="Times New Roman"/>
          <w:sz w:val="24"/>
          <w:szCs w:val="24"/>
        </w:rPr>
        <w:t xml:space="preserve"> </w:t>
      </w:r>
      <w:r w:rsidR="00CD24BC" w:rsidRPr="00712FAD">
        <w:rPr>
          <w:rFonts w:ascii="Times New Roman" w:hAnsi="Times New Roman" w:cs="Times New Roman"/>
          <w:sz w:val="24"/>
          <w:szCs w:val="24"/>
          <w:lang w:val="en-US"/>
        </w:rPr>
        <w:t>Arms</w:t>
      </w:r>
      <w:r w:rsidR="00CD24BC" w:rsidRPr="00712FAD">
        <w:rPr>
          <w:rFonts w:ascii="Times New Roman" w:hAnsi="Times New Roman" w:cs="Times New Roman"/>
          <w:sz w:val="24"/>
          <w:szCs w:val="24"/>
        </w:rPr>
        <w:t xml:space="preserve"> </w:t>
      </w:r>
      <w:r w:rsidR="00CD24BC" w:rsidRPr="00712FAD">
        <w:rPr>
          <w:rFonts w:ascii="Times New Roman" w:hAnsi="Times New Roman" w:cs="Times New Roman"/>
          <w:sz w:val="24"/>
          <w:szCs w:val="24"/>
          <w:lang w:val="en-US"/>
        </w:rPr>
        <w:t>Transfers</w:t>
      </w:r>
      <w:r w:rsidR="00CD24BC" w:rsidRPr="00712FAD">
        <w:rPr>
          <w:rFonts w:ascii="Times New Roman" w:hAnsi="Times New Roman" w:cs="Times New Roman"/>
          <w:sz w:val="24"/>
          <w:szCs w:val="24"/>
        </w:rPr>
        <w:t xml:space="preserve"> </w:t>
      </w:r>
      <w:r w:rsidR="00CD24BC" w:rsidRPr="00712FAD">
        <w:rPr>
          <w:rFonts w:ascii="Times New Roman" w:hAnsi="Times New Roman" w:cs="Times New Roman"/>
          <w:sz w:val="24"/>
          <w:szCs w:val="24"/>
          <w:lang w:val="en-US"/>
        </w:rPr>
        <w:t>Databases</w:t>
      </w:r>
      <w:r w:rsidR="00CD24BC" w:rsidRPr="00712FAD">
        <w:rPr>
          <w:rFonts w:ascii="Times New Roman" w:hAnsi="Times New Roman" w:cs="Times New Roman"/>
          <w:sz w:val="24"/>
          <w:szCs w:val="24"/>
        </w:rPr>
        <w:t xml:space="preserve"> (</w:t>
      </w:r>
      <w:hyperlink r:id="rId10" w:history="1">
        <w:r w:rsidR="00CD24BC" w:rsidRPr="00712FAD">
          <w:rPr>
            <w:rStyle w:val="a6"/>
            <w:rFonts w:ascii="Times New Roman" w:hAnsi="Times New Roman" w:cs="Times New Roman"/>
            <w:sz w:val="24"/>
            <w:szCs w:val="24"/>
            <w:lang w:val="en-US"/>
          </w:rPr>
          <w:t>https</w:t>
        </w:r>
        <w:r w:rsidR="00CD24BC" w:rsidRPr="00712FAD">
          <w:rPr>
            <w:rStyle w:val="a6"/>
            <w:rFonts w:ascii="Times New Roman" w:hAnsi="Times New Roman" w:cs="Times New Roman"/>
            <w:sz w:val="24"/>
            <w:szCs w:val="24"/>
          </w:rPr>
          <w:t>://</w:t>
        </w:r>
        <w:r w:rsidR="00CD24BC" w:rsidRPr="00712FAD">
          <w:rPr>
            <w:rStyle w:val="a6"/>
            <w:rFonts w:ascii="Times New Roman" w:hAnsi="Times New Roman" w:cs="Times New Roman"/>
            <w:sz w:val="24"/>
            <w:szCs w:val="24"/>
            <w:lang w:val="en-US"/>
          </w:rPr>
          <w:t>www</w:t>
        </w:r>
        <w:r w:rsidR="00CD24BC" w:rsidRPr="00712FAD">
          <w:rPr>
            <w:rStyle w:val="a6"/>
            <w:rFonts w:ascii="Times New Roman" w:hAnsi="Times New Roman" w:cs="Times New Roman"/>
            <w:sz w:val="24"/>
            <w:szCs w:val="24"/>
          </w:rPr>
          <w:t>.</w:t>
        </w:r>
        <w:proofErr w:type="spellStart"/>
        <w:r w:rsidR="00CD24BC" w:rsidRPr="00712FAD">
          <w:rPr>
            <w:rStyle w:val="a6"/>
            <w:rFonts w:ascii="Times New Roman" w:hAnsi="Times New Roman" w:cs="Times New Roman"/>
            <w:sz w:val="24"/>
            <w:szCs w:val="24"/>
            <w:lang w:val="en-US"/>
          </w:rPr>
          <w:t>sipri</w:t>
        </w:r>
        <w:proofErr w:type="spellEnd"/>
        <w:r w:rsidR="00CD24BC" w:rsidRPr="00712FAD">
          <w:rPr>
            <w:rStyle w:val="a6"/>
            <w:rFonts w:ascii="Times New Roman" w:hAnsi="Times New Roman" w:cs="Times New Roman"/>
            <w:sz w:val="24"/>
            <w:szCs w:val="24"/>
          </w:rPr>
          <w:t>.</w:t>
        </w:r>
        <w:r w:rsidR="00CD24BC" w:rsidRPr="00712FAD">
          <w:rPr>
            <w:rStyle w:val="a6"/>
            <w:rFonts w:ascii="Times New Roman" w:hAnsi="Times New Roman" w:cs="Times New Roman"/>
            <w:sz w:val="24"/>
            <w:szCs w:val="24"/>
            <w:lang w:val="en-US"/>
          </w:rPr>
          <w:t>org</w:t>
        </w:r>
        <w:r w:rsidR="00CD24BC" w:rsidRPr="00712FAD">
          <w:rPr>
            <w:rStyle w:val="a6"/>
            <w:rFonts w:ascii="Times New Roman" w:hAnsi="Times New Roman" w:cs="Times New Roman"/>
            <w:sz w:val="24"/>
            <w:szCs w:val="24"/>
          </w:rPr>
          <w:t>/</w:t>
        </w:r>
        <w:r w:rsidR="00CD24BC" w:rsidRPr="00712FAD">
          <w:rPr>
            <w:rStyle w:val="a6"/>
            <w:rFonts w:ascii="Times New Roman" w:hAnsi="Times New Roman" w:cs="Times New Roman"/>
            <w:sz w:val="24"/>
            <w:szCs w:val="24"/>
            <w:lang w:val="en-US"/>
          </w:rPr>
          <w:t>databases</w:t>
        </w:r>
        <w:r w:rsidR="00CD24BC" w:rsidRPr="00712FAD">
          <w:rPr>
            <w:rStyle w:val="a6"/>
            <w:rFonts w:ascii="Times New Roman" w:hAnsi="Times New Roman" w:cs="Times New Roman"/>
            <w:sz w:val="24"/>
            <w:szCs w:val="24"/>
          </w:rPr>
          <w:t xml:space="preserve">/ </w:t>
        </w:r>
        <w:proofErr w:type="spellStart"/>
        <w:r w:rsidR="00CD24BC" w:rsidRPr="00712FAD">
          <w:rPr>
            <w:rStyle w:val="a6"/>
            <w:rFonts w:ascii="Times New Roman" w:hAnsi="Times New Roman" w:cs="Times New Roman"/>
            <w:sz w:val="24"/>
            <w:szCs w:val="24"/>
            <w:lang w:val="en-US"/>
          </w:rPr>
          <w:t>armstransfers</w:t>
        </w:r>
        <w:proofErr w:type="spellEnd"/>
      </w:hyperlink>
      <w:r w:rsidR="00CD24BC" w:rsidRPr="00712FAD">
        <w:rPr>
          <w:rFonts w:ascii="Times New Roman" w:hAnsi="Times New Roman" w:cs="Times New Roman"/>
          <w:sz w:val="24"/>
          <w:szCs w:val="24"/>
        </w:rPr>
        <w:t xml:space="preserve">) </w:t>
      </w:r>
    </w:p>
    <w:p w14:paraId="6C3EC5AB" w14:textId="77777777" w:rsidR="009062B7" w:rsidRPr="00712FAD" w:rsidRDefault="009062B7" w:rsidP="009062B7">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lastRenderedPageBreak/>
        <w:t>Из таблицы 4 видно, что три страны Германия, Франция и Россия имеют самые высокие стоимостные оценки продукции кораблестроения. Ощутимое присутствие на рынке производителей из Китая, Южной Кореи и США. При этом у Южной Кореи и Австралии почти половина экспорта состоит из ВМТ.</w:t>
      </w:r>
    </w:p>
    <w:p w14:paraId="434747D8" w14:textId="22709BE2" w:rsidR="009062B7" w:rsidRPr="00712FAD" w:rsidRDefault="009062B7" w:rsidP="009062B7">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Рынки различных категорий вооружения сильно отличаются по степени ограничения конкуренции, так как на каждом сегменте присутствует различное количество поставщиков. На рынке подводных лодок их насчитывается не более 10, на рынке БНК около 30, и большое количество производителей создают катера и малые десантные корабли. Наличие малого числа поставщиков ПЛ связано с тем, что только несколько стран в мире обладают научно-техническим и промышленным потенциалом для разработки и строительства ПЛ. Сложным продукто</w:t>
      </w:r>
      <w:r w:rsidR="00D513BB">
        <w:rPr>
          <w:rFonts w:ascii="Times New Roman" w:hAnsi="Times New Roman" w:cs="Times New Roman"/>
          <w:bCs/>
          <w:spacing w:val="-4"/>
          <w:sz w:val="24"/>
          <w:szCs w:val="24"/>
        </w:rPr>
        <w:t>м</w:t>
      </w:r>
      <w:r w:rsidRPr="00712FAD">
        <w:rPr>
          <w:rFonts w:ascii="Times New Roman" w:hAnsi="Times New Roman" w:cs="Times New Roman"/>
          <w:bCs/>
          <w:spacing w:val="-4"/>
          <w:sz w:val="24"/>
          <w:szCs w:val="24"/>
        </w:rPr>
        <w:t xml:space="preserve"> являются и боевые надводные корабли, но здесь гораздо больше экспортеров. Популярным, наименее сложным продуктом на рынке ВМТ выступают МДК и катера. </w:t>
      </w:r>
    </w:p>
    <w:p w14:paraId="1615D414" w14:textId="77AFAFBE" w:rsidR="00B83556" w:rsidRPr="00712FAD" w:rsidRDefault="00B83556" w:rsidP="00B83556">
      <w:pPr>
        <w:spacing w:after="0" w:line="360" w:lineRule="auto"/>
        <w:jc w:val="both"/>
        <w:rPr>
          <w:rFonts w:ascii="Times New Roman" w:hAnsi="Times New Roman" w:cs="Times New Roman"/>
          <w:b/>
          <w:spacing w:val="-4"/>
          <w:sz w:val="24"/>
          <w:szCs w:val="24"/>
        </w:rPr>
      </w:pPr>
      <w:r w:rsidRPr="00712FAD">
        <w:rPr>
          <w:rFonts w:ascii="Times New Roman" w:hAnsi="Times New Roman" w:cs="Times New Roman"/>
          <w:b/>
          <w:spacing w:val="-4"/>
          <w:sz w:val="24"/>
          <w:szCs w:val="24"/>
        </w:rPr>
        <w:t>Проблемы и выводы</w:t>
      </w:r>
    </w:p>
    <w:p w14:paraId="2D091BD0" w14:textId="4BF3D89F" w:rsidR="009062B7" w:rsidRPr="00712FAD" w:rsidRDefault="009062B7" w:rsidP="009062B7">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 xml:space="preserve">Несмотря на ведущие позиции России на мировом рынке ВМТ, стабильность этого положения во многом зависит от того, будут ли в ближайшее время решены проблемы российской судостроительной отрасли. В стране принята «Стратегия развития судостроительной промышленности на период до 2035 года» и «Программа кораблестроения до 2050 года». Эти документы определяют основные направления государственной политики в области судостроения. </w:t>
      </w:r>
    </w:p>
    <w:p w14:paraId="517CD826" w14:textId="77777777" w:rsidR="009062B7" w:rsidRPr="00712FAD" w:rsidRDefault="009062B7" w:rsidP="009062B7">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 xml:space="preserve">К основным проблемам отрасли в целом можно отнести следующие. </w:t>
      </w:r>
    </w:p>
    <w:p w14:paraId="3D7CFEA0" w14:textId="74B6165C" w:rsidR="009062B7" w:rsidRPr="00712FAD" w:rsidRDefault="009062B7" w:rsidP="00712FAD">
      <w:pPr>
        <w:pStyle w:val="aa"/>
        <w:numPr>
          <w:ilvl w:val="0"/>
          <w:numId w:val="4"/>
        </w:numPr>
        <w:spacing w:after="0" w:line="360" w:lineRule="auto"/>
        <w:ind w:left="426"/>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Высокая кредитная нагрузка организаций судостроительной отрасли, повышающая кредитные риски. Длительный цикл создания продукции, необходимость кредита под высокие процентные ставки, привел к тому, что в промышленном секторе коэффициент долговой нагрузки составил около 4, в научном секторе 1,5. Хотя для нормальной хозяйственной деятельности значение этого коэффициента не должно превышать 2.</w:t>
      </w:r>
    </w:p>
    <w:p w14:paraId="7F410B46" w14:textId="77777777" w:rsidR="009062B7" w:rsidRPr="00712FAD" w:rsidRDefault="009062B7" w:rsidP="00712FAD">
      <w:pPr>
        <w:pStyle w:val="aa"/>
        <w:numPr>
          <w:ilvl w:val="0"/>
          <w:numId w:val="4"/>
        </w:numPr>
        <w:spacing w:after="0" w:line="360" w:lineRule="auto"/>
        <w:ind w:left="426"/>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 xml:space="preserve">Кадровая проблема связана с недостатком высококвалифицированных работников, старением кадрового состава. Несмотря на рост среднемесячной заработной платы в отрасли, существенная разница в социально-экономическом развитии регионов приводит к оттоку кадров в регионы с более благоприятной ситуацией. </w:t>
      </w:r>
    </w:p>
    <w:p w14:paraId="7D5A83BF" w14:textId="77777777" w:rsidR="009062B7" w:rsidRPr="00712FAD" w:rsidRDefault="009062B7" w:rsidP="00712FAD">
      <w:pPr>
        <w:pStyle w:val="aa"/>
        <w:numPr>
          <w:ilvl w:val="0"/>
          <w:numId w:val="4"/>
        </w:numPr>
        <w:spacing w:after="0" w:line="360" w:lineRule="auto"/>
        <w:ind w:left="426"/>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lastRenderedPageBreak/>
        <w:t xml:space="preserve">Структура и возраст основных фондов в отрасли ведет к снижению конкурентоспособности продукции за счет ее себестоимости. </w:t>
      </w:r>
    </w:p>
    <w:p w14:paraId="147D3864" w14:textId="77777777" w:rsidR="009062B7" w:rsidRPr="00712FAD" w:rsidRDefault="009062B7" w:rsidP="00712FAD">
      <w:pPr>
        <w:pStyle w:val="aa"/>
        <w:numPr>
          <w:ilvl w:val="0"/>
          <w:numId w:val="4"/>
        </w:numPr>
        <w:spacing w:after="0" w:line="360" w:lineRule="auto"/>
        <w:ind w:left="426"/>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Недостаточная загрузка организаций разработчиков и производителей затрудняет модернизацию и возможности создания конкурентоспособной на мировом уровне продукции.</w:t>
      </w:r>
    </w:p>
    <w:p w14:paraId="22E90D80" w14:textId="583B2A07" w:rsidR="009062B7" w:rsidRPr="00712FAD" w:rsidRDefault="009062B7" w:rsidP="003B4B2A">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 xml:space="preserve">Часть проблем трудно решаема, так как их источником являются внешние обстоятельства, такие как мировые цены на энергоносители. Колебание курса национальной валюты, существующие в стране уровни инфляции приводят к неопределенности расчета себестоимости и проблемам ценообразования. </w:t>
      </w:r>
    </w:p>
    <w:p w14:paraId="70516853" w14:textId="7B873323" w:rsidR="00501827" w:rsidRPr="00712FAD" w:rsidRDefault="009062B7" w:rsidP="003B4B2A">
      <w:pPr>
        <w:spacing w:after="0" w:line="360" w:lineRule="auto"/>
        <w:ind w:firstLine="567"/>
        <w:jc w:val="both"/>
        <w:rPr>
          <w:rFonts w:ascii="Times New Roman" w:hAnsi="Times New Roman" w:cs="Times New Roman"/>
          <w:bCs/>
          <w:spacing w:val="-4"/>
          <w:sz w:val="24"/>
          <w:szCs w:val="24"/>
        </w:rPr>
      </w:pPr>
      <w:r w:rsidRPr="00712FAD">
        <w:rPr>
          <w:rFonts w:ascii="Times New Roman" w:hAnsi="Times New Roman" w:cs="Times New Roman"/>
          <w:bCs/>
          <w:spacing w:val="-4"/>
          <w:sz w:val="24"/>
          <w:szCs w:val="24"/>
        </w:rPr>
        <w:t xml:space="preserve"> Согласно «Стратегии», существует три возможных сценария для судостроительной отрасли.  Развитие отрасли зависит от состояния экономики в целом и от поддержки государства.</w:t>
      </w:r>
      <w:r w:rsidR="003B4B2A" w:rsidRPr="00712FAD">
        <w:rPr>
          <w:rFonts w:ascii="Times New Roman" w:hAnsi="Times New Roman" w:cs="Times New Roman"/>
          <w:bCs/>
          <w:spacing w:val="-4"/>
          <w:sz w:val="24"/>
          <w:szCs w:val="24"/>
        </w:rPr>
        <w:t xml:space="preserve"> </w:t>
      </w:r>
      <w:r w:rsidRPr="00712FAD">
        <w:rPr>
          <w:rFonts w:ascii="Times New Roman" w:hAnsi="Times New Roman" w:cs="Times New Roman"/>
          <w:bCs/>
          <w:spacing w:val="-4"/>
          <w:sz w:val="24"/>
          <w:szCs w:val="24"/>
        </w:rPr>
        <w:t>Пессимистичный или консервативный сценарий осуществится в случае замедления роста экономики, вызванного снижением цен на нефть, сохранением высокого уровня инфляции, высокого курса доллара, низкого уровня финансирования со стороны государства, что в целом негативно отразится на отрасли в целом.</w:t>
      </w:r>
      <w:r w:rsidR="003B4B2A" w:rsidRPr="00712FAD">
        <w:rPr>
          <w:rFonts w:ascii="Times New Roman" w:hAnsi="Times New Roman" w:cs="Times New Roman"/>
          <w:bCs/>
          <w:spacing w:val="-4"/>
          <w:sz w:val="24"/>
          <w:szCs w:val="24"/>
        </w:rPr>
        <w:t xml:space="preserve"> </w:t>
      </w:r>
      <w:r w:rsidRPr="00712FAD">
        <w:rPr>
          <w:rFonts w:ascii="Times New Roman" w:hAnsi="Times New Roman" w:cs="Times New Roman"/>
          <w:bCs/>
          <w:spacing w:val="-4"/>
          <w:sz w:val="24"/>
          <w:szCs w:val="24"/>
        </w:rPr>
        <w:t>Инновационный сценарий предполагает стабильное развитие отрасли на фоне устойчивого развития российской экономики и нейтрального уровня участия государства.</w:t>
      </w:r>
      <w:r w:rsidR="003B4B2A" w:rsidRPr="00712FAD">
        <w:rPr>
          <w:rFonts w:ascii="Times New Roman" w:hAnsi="Times New Roman" w:cs="Times New Roman"/>
          <w:bCs/>
          <w:spacing w:val="-4"/>
          <w:sz w:val="24"/>
          <w:szCs w:val="24"/>
        </w:rPr>
        <w:t xml:space="preserve"> </w:t>
      </w:r>
      <w:r w:rsidRPr="00712FAD">
        <w:rPr>
          <w:rFonts w:ascii="Times New Roman" w:hAnsi="Times New Roman" w:cs="Times New Roman"/>
          <w:bCs/>
          <w:spacing w:val="-4"/>
          <w:sz w:val="24"/>
          <w:szCs w:val="24"/>
        </w:rPr>
        <w:t xml:space="preserve">Целевой сценарий или оптимистичный состоится при ускоренном росте экономики, эффективном государственном регулировании, что приведет к развитию и росту судостроения в целом, конкурентоспособности продукции и экспорта.   </w:t>
      </w:r>
    </w:p>
    <w:p w14:paraId="0CC1BA28" w14:textId="4DBF8FE8" w:rsidR="00B35E54" w:rsidRPr="00712FAD" w:rsidRDefault="00B35E54" w:rsidP="00B83556">
      <w:pPr>
        <w:spacing w:after="0" w:line="240" w:lineRule="auto"/>
        <w:jc w:val="both"/>
        <w:rPr>
          <w:rFonts w:ascii="Times New Roman" w:hAnsi="Times New Roman" w:cs="Times New Roman"/>
          <w:b/>
          <w:spacing w:val="-4"/>
          <w:sz w:val="24"/>
          <w:szCs w:val="24"/>
          <w:lang w:val="en-US"/>
        </w:rPr>
      </w:pPr>
      <w:r w:rsidRPr="00712FAD">
        <w:rPr>
          <w:rFonts w:ascii="Times New Roman" w:hAnsi="Times New Roman" w:cs="Times New Roman"/>
          <w:b/>
          <w:spacing w:val="-4"/>
          <w:sz w:val="24"/>
          <w:szCs w:val="24"/>
        </w:rPr>
        <w:t>Список</w:t>
      </w:r>
      <w:r w:rsidRPr="00712FAD">
        <w:rPr>
          <w:rFonts w:ascii="Times New Roman" w:hAnsi="Times New Roman" w:cs="Times New Roman"/>
          <w:b/>
          <w:spacing w:val="-4"/>
          <w:sz w:val="24"/>
          <w:szCs w:val="24"/>
          <w:lang w:val="en-US"/>
        </w:rPr>
        <w:t xml:space="preserve"> </w:t>
      </w:r>
      <w:r w:rsidRPr="00712FAD">
        <w:rPr>
          <w:rFonts w:ascii="Times New Roman" w:hAnsi="Times New Roman" w:cs="Times New Roman"/>
          <w:b/>
          <w:spacing w:val="-4"/>
          <w:sz w:val="24"/>
          <w:szCs w:val="24"/>
        </w:rPr>
        <w:t>литературы</w:t>
      </w:r>
    </w:p>
    <w:p w14:paraId="0F87AA42" w14:textId="77777777" w:rsidR="00712FAD" w:rsidRPr="00712FAD" w:rsidRDefault="00712FAD" w:rsidP="008B7DB4">
      <w:pPr>
        <w:tabs>
          <w:tab w:val="left" w:pos="284"/>
        </w:tabs>
        <w:autoSpaceDE w:val="0"/>
        <w:autoSpaceDN w:val="0"/>
        <w:spacing w:after="0" w:line="360" w:lineRule="auto"/>
        <w:ind w:firstLine="567"/>
        <w:jc w:val="both"/>
        <w:rPr>
          <w:rFonts w:ascii="Times New Roman" w:hAnsi="Times New Roman" w:cs="Times New Roman"/>
          <w:sz w:val="24"/>
          <w:szCs w:val="24"/>
          <w:lang w:val="en-GB" w:eastAsia="cs-CZ"/>
        </w:rPr>
      </w:pPr>
      <w:proofErr w:type="spellStart"/>
      <w:r w:rsidRPr="00712FAD">
        <w:rPr>
          <w:rFonts w:ascii="Times New Roman" w:hAnsi="Times New Roman"/>
          <w:i/>
          <w:iCs/>
          <w:sz w:val="24"/>
          <w:szCs w:val="24"/>
          <w:lang w:val="en-GB"/>
        </w:rPr>
        <w:t>Tulyakova</w:t>
      </w:r>
      <w:proofErr w:type="spellEnd"/>
      <w:r w:rsidRPr="00712FAD">
        <w:rPr>
          <w:rFonts w:ascii="Times New Roman" w:hAnsi="Times New Roman"/>
          <w:i/>
          <w:iCs/>
          <w:sz w:val="24"/>
          <w:szCs w:val="24"/>
          <w:lang w:val="en-GB"/>
        </w:rPr>
        <w:t>, I.</w:t>
      </w:r>
      <w:r w:rsidRPr="00712FAD">
        <w:rPr>
          <w:rFonts w:ascii="Times New Roman" w:hAnsi="Times New Roman"/>
          <w:sz w:val="24"/>
          <w:szCs w:val="24"/>
          <w:lang w:val="en-GB"/>
        </w:rPr>
        <w:t xml:space="preserve"> The United States and Russia on the global arms markets </w:t>
      </w:r>
      <w:r w:rsidRPr="00712FAD">
        <w:rPr>
          <w:rFonts w:ascii="Times New Roman" w:hAnsi="Times New Roman"/>
          <w:sz w:val="24"/>
          <w:szCs w:val="24"/>
          <w:lang w:val="en-US"/>
        </w:rPr>
        <w:t>//</w:t>
      </w:r>
      <w:r w:rsidRPr="00712FAD">
        <w:rPr>
          <w:rFonts w:ascii="Calibri" w:eastAsia="Calibri" w:hAnsi="Calibri" w:cs="Times New Roman"/>
          <w:sz w:val="24"/>
          <w:szCs w:val="24"/>
          <w:lang w:val="en-US"/>
        </w:rPr>
        <w:t xml:space="preserve"> </w:t>
      </w:r>
      <w:r w:rsidRPr="00712FAD">
        <w:rPr>
          <w:rFonts w:ascii="Times New Roman" w:hAnsi="Times New Roman"/>
          <w:sz w:val="24"/>
          <w:szCs w:val="24"/>
          <w:lang w:val="en-GB"/>
        </w:rPr>
        <w:t>Globalization and its Socio-Economic Consequences, 16th international scientific conference proceedings</w:t>
      </w:r>
      <w:bookmarkStart w:id="8" w:name="_Hlk50495824"/>
      <w:r w:rsidRPr="00712FAD">
        <w:rPr>
          <w:rFonts w:ascii="Times New Roman" w:hAnsi="Times New Roman"/>
          <w:sz w:val="24"/>
          <w:szCs w:val="24"/>
          <w:lang w:val="en-GB"/>
        </w:rPr>
        <w:t>. PTS I-V</w:t>
      </w:r>
      <w:r w:rsidRPr="00712FAD">
        <w:rPr>
          <w:rFonts w:ascii="Times New Roman" w:hAnsi="Times New Roman"/>
          <w:sz w:val="24"/>
          <w:szCs w:val="24"/>
          <w:lang w:val="en-US"/>
        </w:rPr>
        <w:t>, 2016.</w:t>
      </w:r>
      <w:r w:rsidRPr="00712FAD">
        <w:rPr>
          <w:rFonts w:ascii="Times New Roman" w:hAnsi="Times New Roman"/>
          <w:sz w:val="24"/>
          <w:szCs w:val="24"/>
          <w:lang w:val="en-GB"/>
        </w:rPr>
        <w:t xml:space="preserve"> P. </w:t>
      </w:r>
      <w:bookmarkEnd w:id="8"/>
      <w:r w:rsidRPr="00712FAD">
        <w:rPr>
          <w:rFonts w:ascii="Times New Roman" w:hAnsi="Times New Roman"/>
          <w:sz w:val="24"/>
          <w:szCs w:val="24"/>
          <w:lang w:val="en-GB"/>
        </w:rPr>
        <w:t>2236-2244</w:t>
      </w:r>
      <w:r w:rsidRPr="00712FAD">
        <w:rPr>
          <w:rFonts w:ascii="Times New Roman" w:hAnsi="Times New Roman" w:cs="Times New Roman"/>
          <w:sz w:val="24"/>
          <w:szCs w:val="24"/>
          <w:lang w:val="en-GB" w:eastAsia="cs-CZ"/>
        </w:rPr>
        <w:t xml:space="preserve"> </w:t>
      </w:r>
    </w:p>
    <w:p w14:paraId="629B71E1" w14:textId="77777777" w:rsidR="00712FAD" w:rsidRPr="00712FAD" w:rsidRDefault="00712FAD" w:rsidP="008B7DB4">
      <w:pPr>
        <w:suppressAutoHyphens/>
        <w:spacing w:after="0" w:line="360" w:lineRule="auto"/>
        <w:ind w:firstLine="567"/>
        <w:contextualSpacing/>
        <w:jc w:val="both"/>
        <w:rPr>
          <w:rFonts w:ascii="Times New Roman" w:eastAsia="Times New Roman" w:hAnsi="Times New Roman" w:cs="New York"/>
          <w:spacing w:val="-2"/>
          <w:sz w:val="24"/>
          <w:szCs w:val="24"/>
          <w:lang w:val="en-GB" w:eastAsia="ar-SA"/>
        </w:rPr>
      </w:pPr>
      <w:proofErr w:type="spellStart"/>
      <w:r w:rsidRPr="00712FAD">
        <w:rPr>
          <w:rFonts w:ascii="Times New Roman" w:eastAsia="Calibri" w:hAnsi="Times New Roman" w:cs="Times New Roman"/>
          <w:i/>
          <w:iCs/>
          <w:spacing w:val="-2"/>
          <w:sz w:val="24"/>
          <w:szCs w:val="24"/>
          <w:lang w:val="en-US"/>
        </w:rPr>
        <w:t>Tulyakova</w:t>
      </w:r>
      <w:proofErr w:type="spellEnd"/>
      <w:r w:rsidRPr="00712FAD">
        <w:rPr>
          <w:rFonts w:ascii="Times New Roman" w:eastAsia="Calibri" w:hAnsi="Times New Roman" w:cs="Times New Roman"/>
          <w:i/>
          <w:iCs/>
          <w:spacing w:val="-2"/>
          <w:sz w:val="24"/>
          <w:szCs w:val="24"/>
          <w:lang w:val="en-US"/>
        </w:rPr>
        <w:t>, I.</w:t>
      </w:r>
      <w:r w:rsidRPr="00712FAD">
        <w:rPr>
          <w:rFonts w:ascii="Times New Roman" w:eastAsia="Calibri" w:hAnsi="Times New Roman" w:cs="Times New Roman"/>
          <w:spacing w:val="-2"/>
          <w:sz w:val="24"/>
          <w:szCs w:val="24"/>
          <w:lang w:val="en-US"/>
        </w:rPr>
        <w:t xml:space="preserve"> Transformation of defense-industrial complexes: experience of developed countries and the </w:t>
      </w:r>
      <w:proofErr w:type="spellStart"/>
      <w:r w:rsidRPr="00712FAD">
        <w:rPr>
          <w:rFonts w:ascii="Times New Roman" w:eastAsia="Calibri" w:hAnsi="Times New Roman" w:cs="Times New Roman"/>
          <w:spacing w:val="-2"/>
          <w:sz w:val="24"/>
          <w:szCs w:val="24"/>
          <w:lang w:val="en-US"/>
        </w:rPr>
        <w:t>russian</w:t>
      </w:r>
      <w:proofErr w:type="spellEnd"/>
      <w:r w:rsidRPr="00712FAD">
        <w:rPr>
          <w:rFonts w:ascii="Times New Roman" w:eastAsia="Calibri" w:hAnsi="Times New Roman" w:cs="Times New Roman"/>
          <w:spacing w:val="-2"/>
          <w:sz w:val="24"/>
          <w:szCs w:val="24"/>
          <w:lang w:val="en-US"/>
        </w:rPr>
        <w:t xml:space="preserve"> way // </w:t>
      </w:r>
      <w:proofErr w:type="spellStart"/>
      <w:r w:rsidRPr="00712FAD">
        <w:rPr>
          <w:rFonts w:ascii="Times New Roman" w:eastAsia="Calibri" w:hAnsi="Times New Roman" w:cs="Times New Roman"/>
          <w:spacing w:val="-2"/>
          <w:sz w:val="24"/>
          <w:szCs w:val="24"/>
          <w:lang w:val="en-US"/>
        </w:rPr>
        <w:t>Globalizácia</w:t>
      </w:r>
      <w:proofErr w:type="spellEnd"/>
      <w:r w:rsidRPr="00712FAD">
        <w:rPr>
          <w:rFonts w:ascii="Times New Roman" w:eastAsia="Calibri" w:hAnsi="Times New Roman" w:cs="Times New Roman"/>
          <w:spacing w:val="-2"/>
          <w:sz w:val="24"/>
          <w:szCs w:val="24"/>
          <w:lang w:val="en-US"/>
        </w:rPr>
        <w:t xml:space="preserve"> </w:t>
      </w:r>
      <w:proofErr w:type="spellStart"/>
      <w:r w:rsidRPr="00712FAD">
        <w:rPr>
          <w:rFonts w:ascii="Times New Roman" w:eastAsia="Calibri" w:hAnsi="Times New Roman" w:cs="Times New Roman"/>
          <w:spacing w:val="-2"/>
          <w:sz w:val="24"/>
          <w:szCs w:val="24"/>
          <w:lang w:val="en-US"/>
        </w:rPr>
        <w:t>Jej</w:t>
      </w:r>
      <w:proofErr w:type="spellEnd"/>
      <w:r w:rsidRPr="00712FAD">
        <w:rPr>
          <w:rFonts w:ascii="Times New Roman" w:eastAsia="Calibri" w:hAnsi="Times New Roman" w:cs="Times New Roman"/>
          <w:spacing w:val="-2"/>
          <w:sz w:val="24"/>
          <w:szCs w:val="24"/>
          <w:lang w:val="en-US"/>
        </w:rPr>
        <w:t xml:space="preserve"> </w:t>
      </w:r>
      <w:proofErr w:type="spellStart"/>
      <w:r w:rsidRPr="00712FAD">
        <w:rPr>
          <w:rFonts w:ascii="Times New Roman" w:eastAsia="Calibri" w:hAnsi="Times New Roman" w:cs="Times New Roman"/>
          <w:spacing w:val="-2"/>
          <w:sz w:val="24"/>
          <w:szCs w:val="24"/>
          <w:lang w:val="en-US"/>
        </w:rPr>
        <w:t>Sociálno-Ekonomické</w:t>
      </w:r>
      <w:proofErr w:type="spellEnd"/>
      <w:r w:rsidRPr="00712FAD">
        <w:rPr>
          <w:rFonts w:ascii="Times New Roman" w:eastAsia="Calibri" w:hAnsi="Times New Roman" w:cs="Times New Roman"/>
          <w:spacing w:val="-2"/>
          <w:sz w:val="24"/>
          <w:szCs w:val="24"/>
          <w:lang w:val="en-US"/>
        </w:rPr>
        <w:t xml:space="preserve"> </w:t>
      </w:r>
      <w:proofErr w:type="spellStart"/>
      <w:r w:rsidRPr="00712FAD">
        <w:rPr>
          <w:rFonts w:ascii="Times New Roman" w:eastAsia="Calibri" w:hAnsi="Times New Roman" w:cs="Times New Roman"/>
          <w:spacing w:val="-2"/>
          <w:sz w:val="24"/>
          <w:szCs w:val="24"/>
          <w:lang w:val="en-US"/>
        </w:rPr>
        <w:t>Dôsledky</w:t>
      </w:r>
      <w:proofErr w:type="spellEnd"/>
      <w:r w:rsidRPr="00712FAD">
        <w:rPr>
          <w:rFonts w:ascii="Times New Roman" w:eastAsia="Calibri" w:hAnsi="Times New Roman" w:cs="Times New Roman"/>
          <w:spacing w:val="-2"/>
          <w:sz w:val="24"/>
          <w:szCs w:val="24"/>
          <w:lang w:val="en-US"/>
        </w:rPr>
        <w:t xml:space="preserve"> 08, </w:t>
      </w:r>
      <w:proofErr w:type="spellStart"/>
      <w:r w:rsidRPr="00712FAD">
        <w:rPr>
          <w:rFonts w:ascii="Times New Roman" w:eastAsia="Calibri" w:hAnsi="Times New Roman" w:cs="Times New Roman"/>
          <w:spacing w:val="-2"/>
          <w:sz w:val="24"/>
          <w:szCs w:val="24"/>
          <w:lang w:val="en-US"/>
        </w:rPr>
        <w:t>Zbornik</w:t>
      </w:r>
      <w:proofErr w:type="spellEnd"/>
      <w:r w:rsidRPr="00712FAD">
        <w:rPr>
          <w:rFonts w:ascii="Times New Roman" w:eastAsia="Calibri" w:hAnsi="Times New Roman" w:cs="Times New Roman"/>
          <w:spacing w:val="-2"/>
          <w:sz w:val="24"/>
          <w:szCs w:val="24"/>
          <w:lang w:val="en-US"/>
        </w:rPr>
        <w:t xml:space="preserve"> z </w:t>
      </w:r>
      <w:proofErr w:type="spellStart"/>
      <w:r w:rsidRPr="00712FAD">
        <w:rPr>
          <w:rFonts w:ascii="Times New Roman" w:eastAsia="Calibri" w:hAnsi="Times New Roman" w:cs="Times New Roman"/>
          <w:spacing w:val="-2"/>
          <w:sz w:val="24"/>
          <w:szCs w:val="24"/>
          <w:lang w:val="en-US"/>
        </w:rPr>
        <w:t>medzinarodnej</w:t>
      </w:r>
      <w:proofErr w:type="spellEnd"/>
      <w:r w:rsidRPr="00712FAD">
        <w:rPr>
          <w:rFonts w:ascii="Times New Roman" w:eastAsia="Calibri" w:hAnsi="Times New Roman" w:cs="Times New Roman"/>
          <w:spacing w:val="-2"/>
          <w:sz w:val="24"/>
          <w:szCs w:val="24"/>
          <w:lang w:val="en-US"/>
        </w:rPr>
        <w:t xml:space="preserve"> </w:t>
      </w:r>
      <w:proofErr w:type="spellStart"/>
      <w:r w:rsidRPr="00712FAD">
        <w:rPr>
          <w:rFonts w:ascii="Times New Roman" w:eastAsia="Calibri" w:hAnsi="Times New Roman" w:cs="Times New Roman"/>
          <w:spacing w:val="-2"/>
          <w:sz w:val="24"/>
          <w:szCs w:val="24"/>
          <w:lang w:val="en-US"/>
        </w:rPr>
        <w:t>vedeckej</w:t>
      </w:r>
      <w:proofErr w:type="spellEnd"/>
      <w:r w:rsidRPr="00712FAD">
        <w:rPr>
          <w:rFonts w:ascii="Times New Roman" w:eastAsia="Calibri" w:hAnsi="Times New Roman" w:cs="Times New Roman"/>
          <w:spacing w:val="-2"/>
          <w:sz w:val="24"/>
          <w:szCs w:val="24"/>
          <w:lang w:val="en-US"/>
        </w:rPr>
        <w:t xml:space="preserve"> </w:t>
      </w:r>
      <w:proofErr w:type="spellStart"/>
      <w:r w:rsidRPr="00712FAD">
        <w:rPr>
          <w:rFonts w:ascii="Times New Roman" w:eastAsia="Calibri" w:hAnsi="Times New Roman" w:cs="Times New Roman"/>
          <w:spacing w:val="-2"/>
          <w:sz w:val="24"/>
          <w:szCs w:val="24"/>
          <w:lang w:val="en-US"/>
        </w:rPr>
        <w:t>konferencie</w:t>
      </w:r>
      <w:proofErr w:type="spellEnd"/>
      <w:r w:rsidRPr="00712FAD">
        <w:rPr>
          <w:rFonts w:ascii="Times New Roman" w:eastAsia="Calibri" w:hAnsi="Times New Roman" w:cs="Times New Roman"/>
          <w:spacing w:val="-2"/>
          <w:sz w:val="24"/>
          <w:szCs w:val="24"/>
          <w:lang w:val="en-US"/>
        </w:rPr>
        <w:t xml:space="preserve">. I-II </w:t>
      </w:r>
      <w:proofErr w:type="spellStart"/>
      <w:r w:rsidRPr="00712FAD">
        <w:rPr>
          <w:rFonts w:ascii="Times New Roman" w:eastAsia="Calibri" w:hAnsi="Times New Roman" w:cs="Times New Roman"/>
          <w:spacing w:val="-2"/>
          <w:sz w:val="24"/>
          <w:szCs w:val="24"/>
          <w:lang w:val="en-US"/>
        </w:rPr>
        <w:t>čast</w:t>
      </w:r>
      <w:proofErr w:type="spellEnd"/>
      <w:r w:rsidRPr="00712FAD">
        <w:rPr>
          <w:rFonts w:ascii="Times New Roman" w:eastAsia="Calibri" w:hAnsi="Times New Roman" w:cs="Times New Roman"/>
          <w:spacing w:val="-2"/>
          <w:sz w:val="24"/>
          <w:szCs w:val="24"/>
          <w:lang w:val="en-US"/>
        </w:rPr>
        <w:t>, 2008.</w:t>
      </w:r>
      <w:r w:rsidRPr="00712FAD">
        <w:rPr>
          <w:rFonts w:ascii="Times New Roman" w:eastAsia="Calibri" w:hAnsi="Times New Roman" w:cs="Times New Roman"/>
          <w:i/>
          <w:iCs/>
          <w:spacing w:val="-2"/>
          <w:sz w:val="24"/>
          <w:szCs w:val="24"/>
          <w:lang w:val="en-US"/>
        </w:rPr>
        <w:t xml:space="preserve"> </w:t>
      </w:r>
      <w:r w:rsidRPr="00712FAD">
        <w:rPr>
          <w:rFonts w:ascii="Times New Roman" w:eastAsia="Calibri" w:hAnsi="Times New Roman" w:cs="Times New Roman"/>
          <w:spacing w:val="-2"/>
          <w:sz w:val="24"/>
          <w:szCs w:val="24"/>
          <w:lang w:val="en-US"/>
        </w:rPr>
        <w:t xml:space="preserve">P. 585-589. </w:t>
      </w:r>
    </w:p>
    <w:p w14:paraId="006C9EA8" w14:textId="77777777" w:rsidR="00712FAD" w:rsidRPr="00712FAD" w:rsidRDefault="00712FAD" w:rsidP="008B7DB4">
      <w:pPr>
        <w:autoSpaceDE w:val="0"/>
        <w:autoSpaceDN w:val="0"/>
        <w:spacing w:after="0" w:line="360" w:lineRule="auto"/>
        <w:ind w:firstLine="567"/>
        <w:jc w:val="both"/>
        <w:rPr>
          <w:rFonts w:ascii="Times New Roman" w:hAnsi="Times New Roman" w:cs="Times New Roman"/>
          <w:b/>
          <w:spacing w:val="-4"/>
          <w:sz w:val="24"/>
          <w:szCs w:val="24"/>
          <w:lang w:val="cs-CZ"/>
        </w:rPr>
      </w:pPr>
      <w:proofErr w:type="spellStart"/>
      <w:r w:rsidRPr="00712FAD">
        <w:rPr>
          <w:rFonts w:ascii="Times New Roman" w:hAnsi="Times New Roman" w:cs="Times New Roman"/>
          <w:i/>
          <w:iCs/>
          <w:sz w:val="24"/>
          <w:szCs w:val="24"/>
          <w:lang w:val="en-GB" w:eastAsia="cs-CZ"/>
        </w:rPr>
        <w:t>Tulyakova</w:t>
      </w:r>
      <w:proofErr w:type="spellEnd"/>
      <w:r w:rsidRPr="00712FAD">
        <w:rPr>
          <w:rFonts w:ascii="Times New Roman" w:hAnsi="Times New Roman" w:cs="Times New Roman"/>
          <w:i/>
          <w:iCs/>
          <w:sz w:val="24"/>
          <w:szCs w:val="24"/>
          <w:lang w:val="en-GB" w:eastAsia="cs-CZ"/>
        </w:rPr>
        <w:t xml:space="preserve">, I.R., Dengov, V.V., </w:t>
      </w:r>
      <w:proofErr w:type="spellStart"/>
      <w:r w:rsidRPr="00712FAD">
        <w:rPr>
          <w:rFonts w:ascii="Times New Roman" w:hAnsi="Times New Roman" w:cs="Times New Roman"/>
          <w:i/>
          <w:iCs/>
          <w:sz w:val="24"/>
          <w:szCs w:val="24"/>
          <w:lang w:val="en-GB" w:eastAsia="cs-CZ"/>
        </w:rPr>
        <w:t>Gregova</w:t>
      </w:r>
      <w:proofErr w:type="spellEnd"/>
      <w:r w:rsidRPr="00712FAD">
        <w:rPr>
          <w:rFonts w:ascii="Times New Roman" w:hAnsi="Times New Roman" w:cs="Times New Roman"/>
          <w:i/>
          <w:iCs/>
          <w:sz w:val="24"/>
          <w:szCs w:val="24"/>
          <w:lang w:val="en-GB" w:eastAsia="cs-CZ"/>
        </w:rPr>
        <w:t>, E.</w:t>
      </w:r>
      <w:r w:rsidRPr="00712FAD">
        <w:rPr>
          <w:rFonts w:ascii="Times New Roman" w:hAnsi="Times New Roman" w:cs="Times New Roman"/>
          <w:sz w:val="24"/>
          <w:szCs w:val="24"/>
          <w:lang w:val="en-GB" w:eastAsia="cs-CZ"/>
        </w:rPr>
        <w:t xml:space="preserve"> (2019). The Positions of Russia and Croatia Shipbuilding Products on World Markets and Prospects of Co-operation (Analytical Overview) // </w:t>
      </w:r>
      <w:proofErr w:type="spellStart"/>
      <w:r w:rsidRPr="00712FAD">
        <w:rPr>
          <w:rFonts w:ascii="Times New Roman" w:hAnsi="Times New Roman" w:cs="Times New Roman"/>
          <w:i/>
          <w:iCs/>
          <w:sz w:val="24"/>
          <w:szCs w:val="24"/>
          <w:lang w:val="en-GB" w:eastAsia="cs-CZ"/>
        </w:rPr>
        <w:t>Nase</w:t>
      </w:r>
      <w:proofErr w:type="spellEnd"/>
      <w:r w:rsidRPr="00712FAD">
        <w:rPr>
          <w:rFonts w:ascii="Times New Roman" w:hAnsi="Times New Roman" w:cs="Times New Roman"/>
          <w:i/>
          <w:iCs/>
          <w:sz w:val="24"/>
          <w:szCs w:val="24"/>
          <w:lang w:val="en-GB" w:eastAsia="cs-CZ"/>
        </w:rPr>
        <w:t xml:space="preserve"> More</w:t>
      </w:r>
      <w:r w:rsidRPr="00712FAD">
        <w:rPr>
          <w:rFonts w:ascii="Times New Roman" w:hAnsi="Times New Roman" w:cs="Times New Roman"/>
          <w:sz w:val="24"/>
          <w:szCs w:val="24"/>
          <w:lang w:val="en-GB" w:eastAsia="cs-CZ"/>
        </w:rPr>
        <w:t xml:space="preserve">. 2019. </w:t>
      </w:r>
      <w:r w:rsidRPr="00712FAD">
        <w:rPr>
          <w:rFonts w:ascii="Times New Roman" w:hAnsi="Times New Roman" w:cs="Times New Roman"/>
          <w:sz w:val="24"/>
          <w:szCs w:val="24"/>
          <w:lang w:val="en-US" w:eastAsia="cs-CZ"/>
        </w:rPr>
        <w:t>Vol.</w:t>
      </w:r>
      <w:r w:rsidRPr="00712FAD">
        <w:rPr>
          <w:rFonts w:ascii="Times New Roman" w:hAnsi="Times New Roman" w:cs="Times New Roman"/>
          <w:sz w:val="24"/>
          <w:szCs w:val="24"/>
          <w:lang w:val="en-GB" w:eastAsia="cs-CZ"/>
        </w:rPr>
        <w:t xml:space="preserve"> 64, </w:t>
      </w:r>
      <w:proofErr w:type="spellStart"/>
      <w:r w:rsidRPr="00712FAD">
        <w:rPr>
          <w:rFonts w:ascii="Times New Roman" w:hAnsi="Times New Roman" w:cs="Times New Roman"/>
          <w:sz w:val="24"/>
          <w:szCs w:val="24"/>
          <w:lang w:val="en-GB" w:eastAsia="cs-CZ"/>
        </w:rPr>
        <w:t>iss</w:t>
      </w:r>
      <w:proofErr w:type="spellEnd"/>
      <w:r w:rsidRPr="00712FAD">
        <w:rPr>
          <w:rFonts w:ascii="Times New Roman" w:hAnsi="Times New Roman" w:cs="Times New Roman"/>
          <w:sz w:val="24"/>
          <w:szCs w:val="24"/>
          <w:lang w:val="en-GB" w:eastAsia="cs-CZ"/>
        </w:rPr>
        <w:t>. 3. P. 13-21.</w:t>
      </w:r>
    </w:p>
    <w:p w14:paraId="620F454E" w14:textId="77777777" w:rsidR="00712FAD" w:rsidRPr="00712FAD" w:rsidRDefault="00712FAD" w:rsidP="008B7DB4">
      <w:pPr>
        <w:tabs>
          <w:tab w:val="left" w:pos="284"/>
        </w:tabs>
        <w:autoSpaceDE w:val="0"/>
        <w:autoSpaceDN w:val="0"/>
        <w:spacing w:after="0" w:line="360" w:lineRule="auto"/>
        <w:ind w:firstLine="567"/>
        <w:jc w:val="both"/>
        <w:rPr>
          <w:rFonts w:ascii="Times New Roman" w:hAnsi="Times New Roman" w:cs="Times New Roman"/>
          <w:sz w:val="24"/>
          <w:szCs w:val="24"/>
          <w:lang w:val="en-GB" w:eastAsia="cs-CZ"/>
        </w:rPr>
      </w:pPr>
      <w:proofErr w:type="spellStart"/>
      <w:r w:rsidRPr="00712FAD">
        <w:rPr>
          <w:rFonts w:ascii="Times New Roman" w:hAnsi="Times New Roman" w:cs="Times New Roman"/>
          <w:i/>
          <w:iCs/>
          <w:sz w:val="24"/>
          <w:szCs w:val="24"/>
          <w:lang w:val="en-GB" w:eastAsia="cs-CZ"/>
        </w:rPr>
        <w:t>Tulyakova</w:t>
      </w:r>
      <w:proofErr w:type="spellEnd"/>
      <w:r w:rsidRPr="00712FAD">
        <w:rPr>
          <w:rFonts w:ascii="Times New Roman" w:hAnsi="Times New Roman" w:cs="Times New Roman"/>
          <w:i/>
          <w:iCs/>
          <w:sz w:val="24"/>
          <w:szCs w:val="24"/>
          <w:lang w:val="en-GB" w:eastAsia="cs-CZ"/>
        </w:rPr>
        <w:t xml:space="preserve">, I.R., </w:t>
      </w:r>
      <w:proofErr w:type="spellStart"/>
      <w:r w:rsidRPr="00712FAD">
        <w:rPr>
          <w:rFonts w:ascii="Times New Roman" w:hAnsi="Times New Roman" w:cs="Times New Roman"/>
          <w:i/>
          <w:iCs/>
          <w:sz w:val="24"/>
          <w:szCs w:val="24"/>
          <w:lang w:val="en-GB" w:eastAsia="cs-CZ"/>
        </w:rPr>
        <w:t>Gregova</w:t>
      </w:r>
      <w:proofErr w:type="spellEnd"/>
      <w:r w:rsidRPr="00712FAD">
        <w:rPr>
          <w:rFonts w:ascii="Times New Roman" w:hAnsi="Times New Roman" w:cs="Times New Roman"/>
          <w:i/>
          <w:iCs/>
          <w:sz w:val="24"/>
          <w:szCs w:val="24"/>
          <w:lang w:val="en-GB" w:eastAsia="cs-CZ"/>
        </w:rPr>
        <w:t>, E., Dengov, V.V.</w:t>
      </w:r>
      <w:r w:rsidRPr="00712FAD">
        <w:rPr>
          <w:rFonts w:ascii="Times New Roman" w:hAnsi="Times New Roman" w:cs="Times New Roman"/>
          <w:sz w:val="24"/>
          <w:szCs w:val="24"/>
          <w:lang w:val="en-GB" w:eastAsia="cs-CZ"/>
        </w:rPr>
        <w:t xml:space="preserve"> Assessment of Competitiveness of Shipbuilding Industry in </w:t>
      </w:r>
      <w:proofErr w:type="gramStart"/>
      <w:r w:rsidRPr="00712FAD">
        <w:rPr>
          <w:rFonts w:ascii="Times New Roman" w:hAnsi="Times New Roman" w:cs="Times New Roman"/>
          <w:sz w:val="24"/>
          <w:szCs w:val="24"/>
          <w:lang w:val="en-GB" w:eastAsia="cs-CZ"/>
        </w:rPr>
        <w:t xml:space="preserve">Russia  </w:t>
      </w:r>
      <w:r w:rsidRPr="00712FAD">
        <w:rPr>
          <w:rFonts w:ascii="Times New Roman" w:hAnsi="Times New Roman" w:cs="Times New Roman"/>
          <w:sz w:val="24"/>
          <w:szCs w:val="24"/>
          <w:lang w:val="en-US" w:eastAsia="cs-CZ"/>
        </w:rPr>
        <w:t>/</w:t>
      </w:r>
      <w:proofErr w:type="gramEnd"/>
      <w:r w:rsidRPr="00712FAD">
        <w:rPr>
          <w:rFonts w:ascii="Times New Roman" w:hAnsi="Times New Roman" w:cs="Times New Roman"/>
          <w:sz w:val="24"/>
          <w:szCs w:val="24"/>
          <w:lang w:val="en-US" w:eastAsia="cs-CZ"/>
        </w:rPr>
        <w:t>/</w:t>
      </w:r>
      <w:r w:rsidRPr="00712FAD">
        <w:rPr>
          <w:rFonts w:ascii="Times New Roman" w:hAnsi="Times New Roman" w:cs="Times New Roman"/>
          <w:sz w:val="24"/>
          <w:szCs w:val="24"/>
          <w:lang w:val="en-GB" w:eastAsia="cs-CZ"/>
        </w:rPr>
        <w:t xml:space="preserve"> </w:t>
      </w:r>
      <w:bookmarkStart w:id="9" w:name="_Hlk47552515"/>
      <w:proofErr w:type="spellStart"/>
      <w:r w:rsidRPr="00712FAD">
        <w:rPr>
          <w:rFonts w:ascii="Times New Roman" w:hAnsi="Times New Roman" w:cs="Times New Roman"/>
          <w:sz w:val="24"/>
          <w:szCs w:val="24"/>
          <w:lang w:val="en-GB" w:eastAsia="cs-CZ"/>
        </w:rPr>
        <w:t>Nase</w:t>
      </w:r>
      <w:proofErr w:type="spellEnd"/>
      <w:r w:rsidRPr="00712FAD">
        <w:rPr>
          <w:rFonts w:ascii="Times New Roman" w:hAnsi="Times New Roman" w:cs="Times New Roman"/>
          <w:sz w:val="24"/>
          <w:szCs w:val="24"/>
          <w:lang w:val="en-GB" w:eastAsia="cs-CZ"/>
        </w:rPr>
        <w:t xml:space="preserve"> More</w:t>
      </w:r>
      <w:r w:rsidRPr="00712FAD">
        <w:rPr>
          <w:rFonts w:ascii="Times New Roman" w:hAnsi="Times New Roman" w:cs="Times New Roman"/>
          <w:sz w:val="24"/>
          <w:szCs w:val="24"/>
          <w:lang w:val="en-US" w:eastAsia="cs-CZ"/>
        </w:rPr>
        <w:t>. 2017. Vol.</w:t>
      </w:r>
      <w:r w:rsidRPr="00712FAD">
        <w:rPr>
          <w:rFonts w:ascii="Times New Roman" w:hAnsi="Times New Roman" w:cs="Times New Roman"/>
          <w:sz w:val="24"/>
          <w:szCs w:val="24"/>
          <w:lang w:val="en-GB" w:eastAsia="cs-CZ"/>
        </w:rPr>
        <w:t xml:space="preserve"> 64, </w:t>
      </w:r>
      <w:proofErr w:type="spellStart"/>
      <w:r w:rsidRPr="00712FAD">
        <w:rPr>
          <w:rFonts w:ascii="Times New Roman" w:hAnsi="Times New Roman" w:cs="Times New Roman"/>
          <w:sz w:val="24"/>
          <w:szCs w:val="24"/>
          <w:lang w:val="en-GB" w:eastAsia="cs-CZ"/>
        </w:rPr>
        <w:t>iss</w:t>
      </w:r>
      <w:proofErr w:type="spellEnd"/>
      <w:r w:rsidRPr="00712FAD">
        <w:rPr>
          <w:rFonts w:ascii="Times New Roman" w:hAnsi="Times New Roman" w:cs="Times New Roman"/>
          <w:sz w:val="24"/>
          <w:szCs w:val="24"/>
          <w:lang w:val="en-GB" w:eastAsia="cs-CZ"/>
        </w:rPr>
        <w:t xml:space="preserve">. 3. P. </w:t>
      </w:r>
      <w:bookmarkEnd w:id="9"/>
      <w:r w:rsidRPr="00712FAD">
        <w:rPr>
          <w:rFonts w:ascii="Times New Roman" w:hAnsi="Times New Roman" w:cs="Times New Roman"/>
          <w:sz w:val="24"/>
          <w:szCs w:val="24"/>
          <w:lang w:val="en-GB" w:eastAsia="cs-CZ"/>
        </w:rPr>
        <w:t xml:space="preserve">112-119. </w:t>
      </w:r>
    </w:p>
    <w:sectPr w:rsidR="00712FAD" w:rsidRPr="00712FAD" w:rsidSect="005575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11EAF" w14:textId="77777777" w:rsidR="008B53D7" w:rsidRDefault="008B53D7" w:rsidP="005937CE">
      <w:pPr>
        <w:spacing w:after="0" w:line="240" w:lineRule="auto"/>
      </w:pPr>
      <w:r>
        <w:separator/>
      </w:r>
    </w:p>
  </w:endnote>
  <w:endnote w:type="continuationSeparator" w:id="0">
    <w:p w14:paraId="76114414" w14:textId="77777777" w:rsidR="008B53D7" w:rsidRDefault="008B53D7" w:rsidP="0059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757A0" w14:textId="77777777" w:rsidR="008B53D7" w:rsidRDefault="008B53D7" w:rsidP="005937CE">
      <w:pPr>
        <w:spacing w:after="0" w:line="240" w:lineRule="auto"/>
      </w:pPr>
      <w:r>
        <w:separator/>
      </w:r>
    </w:p>
  </w:footnote>
  <w:footnote w:type="continuationSeparator" w:id="0">
    <w:p w14:paraId="6A25755C" w14:textId="77777777" w:rsidR="008B53D7" w:rsidRDefault="008B53D7" w:rsidP="005937CE">
      <w:pPr>
        <w:spacing w:after="0" w:line="240" w:lineRule="auto"/>
      </w:pPr>
      <w:r>
        <w:continuationSeparator/>
      </w:r>
    </w:p>
  </w:footnote>
  <w:footnote w:id="1">
    <w:p w14:paraId="183846C7" w14:textId="7E2AA9FA" w:rsidR="005937CE" w:rsidRPr="005937CE" w:rsidRDefault="005937CE">
      <w:pPr>
        <w:pStyle w:val="a3"/>
        <w:rPr>
          <w:lang w:val="en-US"/>
        </w:rPr>
      </w:pPr>
      <w:r>
        <w:rPr>
          <w:rStyle w:val="a5"/>
        </w:rPr>
        <w:footnoteRef/>
      </w:r>
      <w:r w:rsidRPr="005937CE">
        <w:rPr>
          <w:lang w:val="en-US"/>
        </w:rPr>
        <w:t xml:space="preserve"> </w:t>
      </w:r>
      <w:r w:rsidRPr="005937CE">
        <w:rPr>
          <w:rFonts w:ascii="Times New Roman" w:hAnsi="Times New Roman" w:cs="Times New Roman"/>
          <w:i/>
          <w:iCs/>
          <w:lang w:val="en-US"/>
        </w:rPr>
        <w:t>SIPRI Military Expenditure Database</w:t>
      </w:r>
      <w:r w:rsidRPr="005937CE">
        <w:rPr>
          <w:rFonts w:ascii="Times New Roman" w:hAnsi="Times New Roman" w:cs="Times New Roman"/>
          <w:lang w:val="en-US"/>
        </w:rPr>
        <w:t xml:space="preserve">. Stockholm International Peace Research Institute. </w:t>
      </w:r>
      <w:bookmarkStart w:id="1" w:name="_Hlk50496863"/>
      <w:bookmarkStart w:id="2" w:name="_Hlk50498178"/>
      <w:r w:rsidRPr="005937CE">
        <w:rPr>
          <w:rFonts w:ascii="Times New Roman" w:hAnsi="Times New Roman" w:cs="Times New Roman"/>
          <w:lang w:val="en-US"/>
        </w:rPr>
        <w:t>(2020, August 8)</w:t>
      </w:r>
      <w:bookmarkEnd w:id="1"/>
      <w:r w:rsidRPr="005937CE">
        <w:rPr>
          <w:rFonts w:ascii="Times New Roman" w:hAnsi="Times New Roman" w:cs="Times New Roman"/>
          <w:lang w:val="en-US"/>
        </w:rPr>
        <w:t xml:space="preserve">. </w:t>
      </w:r>
      <w:r w:rsidRPr="005937CE">
        <w:rPr>
          <w:rFonts w:ascii="Times New Roman" w:hAnsi="Times New Roman" w:cs="Times New Roman"/>
          <w:lang w:val="fr-FR"/>
        </w:rPr>
        <w:t xml:space="preserve">Retrieved from: </w:t>
      </w:r>
      <w:bookmarkEnd w:id="2"/>
      <w:r w:rsidRPr="005937CE">
        <w:rPr>
          <w:rFonts w:ascii="Times New Roman" w:hAnsi="Times New Roman" w:cs="Times New Roman"/>
          <w:lang w:val="cs-CZ"/>
        </w:rPr>
        <w:fldChar w:fldCharType="begin"/>
      </w:r>
      <w:r w:rsidRPr="005937CE">
        <w:rPr>
          <w:rFonts w:ascii="Times New Roman" w:hAnsi="Times New Roman" w:cs="Times New Roman"/>
          <w:lang w:val="cs-CZ"/>
        </w:rPr>
        <w:instrText xml:space="preserve"> HYPERLINK "https://www.sipri.org/databases/armsindustry" </w:instrText>
      </w:r>
      <w:r w:rsidRPr="005937CE">
        <w:rPr>
          <w:rFonts w:ascii="Times New Roman" w:hAnsi="Times New Roman" w:cs="Times New Roman"/>
          <w:lang w:val="cs-CZ"/>
        </w:rPr>
        <w:fldChar w:fldCharType="separate"/>
      </w:r>
      <w:r w:rsidRPr="00712FAD">
        <w:rPr>
          <w:rStyle w:val="a6"/>
          <w:rFonts w:ascii="Times New Roman" w:hAnsi="Times New Roman" w:cs="Times New Roman"/>
          <w:lang w:val="en-US"/>
        </w:rPr>
        <w:t>https://www.sipri.org/databases/armsindustry</w:t>
      </w:r>
      <w:r w:rsidRPr="005937CE">
        <w:rPr>
          <w:rFonts w:ascii="Times New Roman" w:hAnsi="Times New Roman" w:cs="Times New Roman"/>
        </w:rPr>
        <w:fldChar w:fldCharType="end"/>
      </w:r>
    </w:p>
  </w:footnote>
  <w:footnote w:id="2">
    <w:p w14:paraId="57EA291E" w14:textId="7AC61D41" w:rsidR="005937CE" w:rsidRPr="005937CE" w:rsidRDefault="005937CE">
      <w:pPr>
        <w:pStyle w:val="a3"/>
        <w:rPr>
          <w:lang w:val="en-US"/>
        </w:rPr>
      </w:pPr>
      <w:r>
        <w:rPr>
          <w:rStyle w:val="a5"/>
        </w:rPr>
        <w:footnoteRef/>
      </w:r>
      <w:r w:rsidRPr="005937CE">
        <w:rPr>
          <w:lang w:val="en-US"/>
        </w:rPr>
        <w:t xml:space="preserve"> </w:t>
      </w:r>
      <w:r w:rsidRPr="005937CE">
        <w:rPr>
          <w:rFonts w:ascii="Times New Roman" w:hAnsi="Times New Roman" w:cs="Times New Roman"/>
          <w:lang w:val="en-US"/>
        </w:rPr>
        <w:t xml:space="preserve">Global Firepower. (2020, August 8). </w:t>
      </w:r>
      <w:r w:rsidRPr="005937CE">
        <w:rPr>
          <w:rFonts w:ascii="Times New Roman" w:hAnsi="Times New Roman" w:cs="Times New Roman"/>
          <w:lang w:val="fr-FR"/>
        </w:rPr>
        <w:t xml:space="preserve">Retrieved from: </w:t>
      </w:r>
      <w:hyperlink w:history="1">
        <w:r w:rsidRPr="00782FBA">
          <w:rPr>
            <w:rStyle w:val="a6"/>
            <w:rFonts w:ascii="Times New Roman" w:hAnsi="Times New Roman" w:cs="Times New Roman"/>
            <w:lang w:val="en-US"/>
          </w:rPr>
          <w:t>https</w:t>
        </w:r>
        <w:r w:rsidRPr="00782FBA">
          <w:rPr>
            <w:rStyle w:val="a6"/>
            <w:rFonts w:ascii="Times New Roman" w:hAnsi="Times New Roman" w:cs="Times New Roman"/>
            <w:lang w:val="cs-CZ"/>
          </w:rPr>
          <w:t>://</w:t>
        </w:r>
        <w:r w:rsidRPr="00782FBA">
          <w:rPr>
            <w:rStyle w:val="a6"/>
            <w:rFonts w:ascii="Times New Roman" w:hAnsi="Times New Roman" w:cs="Times New Roman"/>
            <w:lang w:val="en-US"/>
          </w:rPr>
          <w:t>www</w:t>
        </w:r>
        <w:r w:rsidRPr="00782FBA">
          <w:rPr>
            <w:rStyle w:val="a6"/>
            <w:rFonts w:ascii="Times New Roman" w:hAnsi="Times New Roman" w:cs="Times New Roman"/>
            <w:lang w:val="cs-CZ"/>
          </w:rPr>
          <w:t>.</w:t>
        </w:r>
        <w:proofErr w:type="spellStart"/>
        <w:r w:rsidRPr="00782FBA">
          <w:rPr>
            <w:rStyle w:val="a6"/>
            <w:rFonts w:ascii="Times New Roman" w:hAnsi="Times New Roman" w:cs="Times New Roman"/>
            <w:lang w:val="en-US"/>
          </w:rPr>
          <w:t>globalfirepower</w:t>
        </w:r>
        <w:proofErr w:type="spellEnd"/>
        <w:r w:rsidRPr="00782FBA">
          <w:rPr>
            <w:rStyle w:val="a6"/>
            <w:rFonts w:ascii="Times New Roman" w:hAnsi="Times New Roman" w:cs="Times New Roman"/>
            <w:lang w:val="cs-CZ"/>
          </w:rPr>
          <w:t>.</w:t>
        </w:r>
        <w:r w:rsidRPr="00782FBA">
          <w:rPr>
            <w:rStyle w:val="a6"/>
            <w:rFonts w:ascii="Times New Roman" w:hAnsi="Times New Roman" w:cs="Times New Roman"/>
            <w:lang w:val="en-US"/>
          </w:rPr>
          <w:t xml:space="preserve">com </w:t>
        </w:r>
        <w:r w:rsidRPr="00782FBA">
          <w:rPr>
            <w:rStyle w:val="a6"/>
            <w:rFonts w:ascii="Times New Roman" w:hAnsi="Times New Roman" w:cs="Times New Roman"/>
            <w:lang w:val="cs-CZ"/>
          </w:rPr>
          <w:t>/</w:t>
        </w:r>
        <w:r w:rsidRPr="00782FBA">
          <w:rPr>
            <w:rStyle w:val="a6"/>
            <w:rFonts w:ascii="Times New Roman" w:hAnsi="Times New Roman" w:cs="Times New Roman"/>
            <w:lang w:val="en-US"/>
          </w:rPr>
          <w:t>countries</w:t>
        </w:r>
        <w:r w:rsidRPr="00782FBA">
          <w:rPr>
            <w:rStyle w:val="a6"/>
            <w:rFonts w:ascii="Times New Roman" w:hAnsi="Times New Roman" w:cs="Times New Roman"/>
            <w:lang w:val="cs-CZ"/>
          </w:rPr>
          <w:t>-</w:t>
        </w:r>
        <w:r w:rsidRPr="00782FBA">
          <w:rPr>
            <w:rStyle w:val="a6"/>
            <w:rFonts w:ascii="Times New Roman" w:hAnsi="Times New Roman" w:cs="Times New Roman"/>
            <w:lang w:val="en-US"/>
          </w:rPr>
          <w:t>comparison</w:t>
        </w:r>
        <w:r w:rsidRPr="00782FBA">
          <w:rPr>
            <w:rStyle w:val="a6"/>
            <w:rFonts w:ascii="Times New Roman" w:hAnsi="Times New Roman" w:cs="Times New Roman"/>
            <w:lang w:val="cs-CZ"/>
          </w:rPr>
          <w:t>-</w:t>
        </w:r>
        <w:r w:rsidRPr="00782FBA">
          <w:rPr>
            <w:rStyle w:val="a6"/>
            <w:rFonts w:ascii="Times New Roman" w:hAnsi="Times New Roman" w:cs="Times New Roman"/>
            <w:lang w:val="en-US"/>
          </w:rPr>
          <w:t>detail</w:t>
        </w:r>
        <w:r w:rsidRPr="00782FBA">
          <w:rPr>
            <w:rStyle w:val="a6"/>
            <w:rFonts w:ascii="Times New Roman" w:hAnsi="Times New Roman" w:cs="Times New Roman"/>
            <w:lang w:val="cs-CZ"/>
          </w:rPr>
          <w:t>.</w:t>
        </w:r>
        <w:r w:rsidRPr="00782FBA">
          <w:rPr>
            <w:rStyle w:val="a6"/>
            <w:rFonts w:ascii="Times New Roman" w:hAnsi="Times New Roman" w:cs="Times New Roman"/>
            <w:lang w:val="en-US"/>
          </w:rPr>
          <w:t>asp</w:t>
        </w:r>
        <w:r w:rsidRPr="00782FBA">
          <w:rPr>
            <w:rStyle w:val="a6"/>
            <w:rFonts w:ascii="Times New Roman" w:hAnsi="Times New Roman" w:cs="Times New Roman"/>
            <w:lang w:val="cs-CZ"/>
          </w:rPr>
          <w:t>?</w:t>
        </w:r>
        <w:r w:rsidRPr="00782FBA">
          <w:rPr>
            <w:rStyle w:val="a6"/>
            <w:rFonts w:ascii="Times New Roman" w:hAnsi="Times New Roman" w:cs="Times New Roman"/>
            <w:lang w:val="en-US"/>
          </w:rPr>
          <w:t xml:space="preserve"> form</w:t>
        </w:r>
        <w:r w:rsidRPr="00782FBA">
          <w:rPr>
            <w:rStyle w:val="a6"/>
            <w:rFonts w:ascii="Times New Roman" w:hAnsi="Times New Roman" w:cs="Times New Roman"/>
            <w:lang w:val="cs-CZ"/>
          </w:rPr>
          <w:t>=</w:t>
        </w:r>
        <w:r w:rsidRPr="00782FBA">
          <w:rPr>
            <w:rStyle w:val="a6"/>
            <w:rFonts w:ascii="Times New Roman" w:hAnsi="Times New Roman" w:cs="Times New Roman"/>
            <w:lang w:val="en-US"/>
          </w:rPr>
          <w:t>form</w:t>
        </w:r>
        <w:r w:rsidRPr="00782FBA">
          <w:rPr>
            <w:rStyle w:val="a6"/>
            <w:rFonts w:ascii="Times New Roman" w:hAnsi="Times New Roman" w:cs="Times New Roman"/>
            <w:lang w:val="cs-CZ"/>
          </w:rPr>
          <w:t>&amp;</w:t>
        </w:r>
        <w:r w:rsidRPr="00782FBA">
          <w:rPr>
            <w:rStyle w:val="a6"/>
            <w:rFonts w:ascii="Times New Roman" w:hAnsi="Times New Roman" w:cs="Times New Roman"/>
            <w:lang w:val="en-US"/>
          </w:rPr>
          <w:t>country</w:t>
        </w:r>
        <w:r w:rsidRPr="00782FBA">
          <w:rPr>
            <w:rStyle w:val="a6"/>
            <w:rFonts w:ascii="Times New Roman" w:hAnsi="Times New Roman" w:cs="Times New Roman"/>
            <w:lang w:val="cs-CZ"/>
          </w:rPr>
          <w:t>1=</w:t>
        </w:r>
        <w:proofErr w:type="spellStart"/>
        <w:r w:rsidRPr="00782FBA">
          <w:rPr>
            <w:rStyle w:val="a6"/>
            <w:rFonts w:ascii="Times New Roman" w:hAnsi="Times New Roman" w:cs="Times New Roman"/>
            <w:lang w:val="en-US"/>
          </w:rPr>
          <w:t>russia</w:t>
        </w:r>
        <w:proofErr w:type="spellEnd"/>
        <w:r w:rsidRPr="00782FBA">
          <w:rPr>
            <w:rStyle w:val="a6"/>
            <w:rFonts w:ascii="Times New Roman" w:hAnsi="Times New Roman" w:cs="Times New Roman"/>
            <w:lang w:val="cs-CZ"/>
          </w:rPr>
          <w:t>&amp;</w:t>
        </w:r>
        <w:r w:rsidRPr="00782FBA">
          <w:rPr>
            <w:rStyle w:val="a6"/>
            <w:rFonts w:ascii="Times New Roman" w:hAnsi="Times New Roman" w:cs="Times New Roman"/>
            <w:lang w:val="en-US"/>
          </w:rPr>
          <w:t>country</w:t>
        </w:r>
        <w:r w:rsidRPr="00782FBA">
          <w:rPr>
            <w:rStyle w:val="a6"/>
            <w:rFonts w:ascii="Times New Roman" w:hAnsi="Times New Roman" w:cs="Times New Roman"/>
            <w:lang w:val="cs-CZ"/>
          </w:rPr>
          <w:t>2=</w:t>
        </w:r>
        <w:r w:rsidRPr="00782FBA">
          <w:rPr>
            <w:rStyle w:val="a6"/>
            <w:rFonts w:ascii="Times New Roman" w:hAnsi="Times New Roman" w:cs="Times New Roman"/>
            <w:lang w:val="en-US"/>
          </w:rPr>
          <w:t>united</w:t>
        </w:r>
        <w:r w:rsidRPr="00782FBA">
          <w:rPr>
            <w:rStyle w:val="a6"/>
            <w:rFonts w:ascii="Times New Roman" w:hAnsi="Times New Roman" w:cs="Times New Roman"/>
            <w:lang w:val="cs-CZ"/>
          </w:rPr>
          <w:t>-</w:t>
        </w:r>
        <w:r w:rsidRPr="00782FBA">
          <w:rPr>
            <w:rStyle w:val="a6"/>
            <w:rFonts w:ascii="Times New Roman" w:hAnsi="Times New Roman" w:cs="Times New Roman"/>
            <w:lang w:val="en-US"/>
          </w:rPr>
          <w:t>states</w:t>
        </w:r>
        <w:r w:rsidRPr="00782FBA">
          <w:rPr>
            <w:rStyle w:val="a6"/>
            <w:rFonts w:ascii="Times New Roman" w:hAnsi="Times New Roman" w:cs="Times New Roman"/>
            <w:lang w:val="cs-CZ"/>
          </w:rPr>
          <w:t>-</w:t>
        </w:r>
        <w:r w:rsidRPr="00782FBA">
          <w:rPr>
            <w:rStyle w:val="a6"/>
            <w:rFonts w:ascii="Times New Roman" w:hAnsi="Times New Roman" w:cs="Times New Roman"/>
            <w:lang w:val="en-US"/>
          </w:rPr>
          <w:t>of</w:t>
        </w:r>
        <w:r w:rsidRPr="00782FBA">
          <w:rPr>
            <w:rStyle w:val="a6"/>
            <w:rFonts w:ascii="Times New Roman" w:hAnsi="Times New Roman" w:cs="Times New Roman"/>
            <w:lang w:val="cs-CZ"/>
          </w:rPr>
          <w:t>-</w:t>
        </w:r>
        <w:bookmarkStart w:id="3" w:name="_Hlk48133028"/>
        <w:proofErr w:type="spellStart"/>
        <w:r w:rsidRPr="00782FBA">
          <w:rPr>
            <w:rStyle w:val="a6"/>
            <w:rFonts w:ascii="Times New Roman" w:hAnsi="Times New Roman" w:cs="Times New Roman"/>
            <w:lang w:val="en-US"/>
          </w:rPr>
          <w:t>america</w:t>
        </w:r>
        <w:proofErr w:type="spellEnd"/>
        <w:r w:rsidRPr="00782FBA">
          <w:rPr>
            <w:rStyle w:val="a6"/>
            <w:rFonts w:ascii="Times New Roman" w:hAnsi="Times New Roman" w:cs="Times New Roman"/>
            <w:lang w:val="cs-CZ"/>
          </w:rPr>
          <w:t>&amp;</w:t>
        </w:r>
        <w:r w:rsidRPr="00782FBA">
          <w:rPr>
            <w:rStyle w:val="a6"/>
            <w:rFonts w:ascii="Times New Roman" w:hAnsi="Times New Roman" w:cs="Times New Roman"/>
            <w:lang w:val="en-US"/>
          </w:rPr>
          <w:t xml:space="preserve">Submit </w:t>
        </w:r>
        <w:r w:rsidRPr="00782FBA">
          <w:rPr>
            <w:rStyle w:val="a6"/>
            <w:rFonts w:ascii="Times New Roman" w:hAnsi="Times New Roman" w:cs="Times New Roman"/>
            <w:lang w:val="cs-CZ"/>
          </w:rPr>
          <w:t>=</w:t>
        </w:r>
        <w:r w:rsidRPr="00782FBA">
          <w:rPr>
            <w:rStyle w:val="a6"/>
            <w:rFonts w:ascii="Times New Roman" w:hAnsi="Times New Roman" w:cs="Times New Roman"/>
            <w:lang w:val="en-US"/>
          </w:rPr>
          <w:t>COMPARE</w:t>
        </w:r>
        <w:bookmarkEnd w:id="3"/>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56A5"/>
    <w:multiLevelType w:val="hybridMultilevel"/>
    <w:tmpl w:val="8F0429F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70865EF"/>
    <w:multiLevelType w:val="hybridMultilevel"/>
    <w:tmpl w:val="9012A528"/>
    <w:lvl w:ilvl="0" w:tplc="6F9E724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D338D"/>
    <w:multiLevelType w:val="hybridMultilevel"/>
    <w:tmpl w:val="54DE32D4"/>
    <w:lvl w:ilvl="0" w:tplc="B79C8B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E15B77"/>
    <w:multiLevelType w:val="hybridMultilevel"/>
    <w:tmpl w:val="634E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15"/>
    <w:rsid w:val="000F4897"/>
    <w:rsid w:val="00115AE2"/>
    <w:rsid w:val="00172D4E"/>
    <w:rsid w:val="002B42F7"/>
    <w:rsid w:val="002D300D"/>
    <w:rsid w:val="003B4B2A"/>
    <w:rsid w:val="003E16E6"/>
    <w:rsid w:val="003E5436"/>
    <w:rsid w:val="00441283"/>
    <w:rsid w:val="00501827"/>
    <w:rsid w:val="00557515"/>
    <w:rsid w:val="00563B25"/>
    <w:rsid w:val="005937CE"/>
    <w:rsid w:val="00712FAD"/>
    <w:rsid w:val="008B53D7"/>
    <w:rsid w:val="008B7DB4"/>
    <w:rsid w:val="009062B7"/>
    <w:rsid w:val="009E1F78"/>
    <w:rsid w:val="00A35EF2"/>
    <w:rsid w:val="00B35E54"/>
    <w:rsid w:val="00B63B29"/>
    <w:rsid w:val="00B83556"/>
    <w:rsid w:val="00BC7190"/>
    <w:rsid w:val="00BD62C8"/>
    <w:rsid w:val="00BF2632"/>
    <w:rsid w:val="00CD24BC"/>
    <w:rsid w:val="00D24701"/>
    <w:rsid w:val="00D51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DA06"/>
  <w15:docId w15:val="{3F6B2611-5178-4E30-89A3-B7FBEBA5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515"/>
    <w:pPr>
      <w:spacing w:line="25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37CE"/>
    <w:pPr>
      <w:spacing w:after="0" w:line="240" w:lineRule="auto"/>
    </w:pPr>
    <w:rPr>
      <w:sz w:val="20"/>
      <w:szCs w:val="20"/>
    </w:rPr>
  </w:style>
  <w:style w:type="character" w:customStyle="1" w:styleId="a4">
    <w:name w:val="Текст сноски Знак"/>
    <w:basedOn w:val="a0"/>
    <w:link w:val="a3"/>
    <w:uiPriority w:val="99"/>
    <w:semiHidden/>
    <w:rsid w:val="005937CE"/>
    <w:rPr>
      <w:rFonts w:eastAsiaTheme="minorEastAsia"/>
      <w:sz w:val="20"/>
      <w:szCs w:val="20"/>
    </w:rPr>
  </w:style>
  <w:style w:type="character" w:styleId="a5">
    <w:name w:val="footnote reference"/>
    <w:basedOn w:val="a0"/>
    <w:uiPriority w:val="99"/>
    <w:semiHidden/>
    <w:unhideWhenUsed/>
    <w:rsid w:val="005937CE"/>
    <w:rPr>
      <w:vertAlign w:val="superscript"/>
    </w:rPr>
  </w:style>
  <w:style w:type="character" w:styleId="a6">
    <w:name w:val="Hyperlink"/>
    <w:basedOn w:val="a0"/>
    <w:uiPriority w:val="99"/>
    <w:unhideWhenUsed/>
    <w:rsid w:val="005937CE"/>
    <w:rPr>
      <w:color w:val="0563C1" w:themeColor="hyperlink"/>
      <w:u w:val="single"/>
    </w:rPr>
  </w:style>
  <w:style w:type="character" w:customStyle="1" w:styleId="1">
    <w:name w:val="Неразрешенное упоминание1"/>
    <w:basedOn w:val="a0"/>
    <w:uiPriority w:val="99"/>
    <w:semiHidden/>
    <w:unhideWhenUsed/>
    <w:rsid w:val="005937CE"/>
    <w:rPr>
      <w:color w:val="605E5C"/>
      <w:shd w:val="clear" w:color="auto" w:fill="E1DFDD"/>
    </w:rPr>
  </w:style>
  <w:style w:type="table" w:customStyle="1" w:styleId="10">
    <w:name w:val="Сетка таблицы1"/>
    <w:basedOn w:val="a1"/>
    <w:next w:val="a7"/>
    <w:uiPriority w:val="59"/>
    <w:rsid w:val="005018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50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2F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FAD"/>
    <w:rPr>
      <w:rFonts w:ascii="Tahoma" w:eastAsiaTheme="minorEastAsia" w:hAnsi="Tahoma" w:cs="Tahoma"/>
      <w:sz w:val="16"/>
      <w:szCs w:val="16"/>
    </w:rPr>
  </w:style>
  <w:style w:type="paragraph" w:styleId="aa">
    <w:name w:val="List Paragraph"/>
    <w:basedOn w:val="a"/>
    <w:uiPriority w:val="34"/>
    <w:qFormat/>
    <w:rsid w:val="0071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44007">
      <w:bodyDiv w:val="1"/>
      <w:marLeft w:val="0"/>
      <w:marRight w:val="0"/>
      <w:marTop w:val="0"/>
      <w:marBottom w:val="0"/>
      <w:divBdr>
        <w:top w:val="none" w:sz="0" w:space="0" w:color="auto"/>
        <w:left w:val="none" w:sz="0" w:space="0" w:color="auto"/>
        <w:bottom w:val="none" w:sz="0" w:space="0" w:color="auto"/>
        <w:right w:val="none" w:sz="0" w:space="0" w:color="auto"/>
      </w:divBdr>
    </w:div>
    <w:div w:id="1105416851">
      <w:bodyDiv w:val="1"/>
      <w:marLeft w:val="0"/>
      <w:marRight w:val="0"/>
      <w:marTop w:val="0"/>
      <w:marBottom w:val="0"/>
      <w:divBdr>
        <w:top w:val="none" w:sz="0" w:space="0" w:color="auto"/>
        <w:left w:val="none" w:sz="0" w:space="0" w:color="auto"/>
        <w:bottom w:val="none" w:sz="0" w:space="0" w:color="auto"/>
        <w:right w:val="none" w:sz="0" w:space="0" w:color="auto"/>
      </w:divBdr>
    </w:div>
    <w:div w:id="11328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ipri.org/databases/%20armstransfers" TargetMode="External"/><Relationship Id="rId4" Type="http://schemas.openxmlformats.org/officeDocument/2006/relationships/settings" Target="settings.xml"/><Relationship Id="rId9" Type="http://schemas.openxmlformats.org/officeDocument/2006/relationships/hyperlink" Target="https://armstrade.org/includes/periodics/analytics/2020/0301%20/130556903/detail.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416265675123943E-2"/>
          <c:y val="4.0089363829521309E-2"/>
          <c:w val="0.91454669728783899"/>
          <c:h val="0.85653105861767276"/>
        </c:manualLayout>
      </c:layout>
      <c:barChart>
        <c:barDir val="col"/>
        <c:grouping val="clustered"/>
        <c:varyColors val="0"/>
        <c:ser>
          <c:idx val="0"/>
          <c:order val="0"/>
          <c:tx>
            <c:strRef>
              <c:f>Лист1!$B$1</c:f>
              <c:strCache>
                <c:ptCount val="1"/>
                <c:pt idx="0">
                  <c:v>Ряд 1</c:v>
                </c:pt>
              </c:strCache>
            </c:strRef>
          </c:tx>
          <c:invertIfNegative val="0"/>
          <c:cat>
            <c:numRef>
              <c:f>Лист1!$A$2:$A$31</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Лист1!$B$2:$B$31</c:f>
              <c:numCache>
                <c:formatCode>General</c:formatCode>
                <c:ptCount val="30"/>
                <c:pt idx="0">
                  <c:v>30.4</c:v>
                </c:pt>
                <c:pt idx="1">
                  <c:v>28.2</c:v>
                </c:pt>
                <c:pt idx="2">
                  <c:v>24.3</c:v>
                </c:pt>
                <c:pt idx="3">
                  <c:v>25.9</c:v>
                </c:pt>
                <c:pt idx="4">
                  <c:v>23</c:v>
                </c:pt>
                <c:pt idx="5">
                  <c:v>23.03</c:v>
                </c:pt>
                <c:pt idx="6">
                  <c:v>23.9</c:v>
                </c:pt>
                <c:pt idx="7">
                  <c:v>28.9</c:v>
                </c:pt>
                <c:pt idx="8">
                  <c:v>27.8</c:v>
                </c:pt>
                <c:pt idx="9">
                  <c:v>25.2</c:v>
                </c:pt>
                <c:pt idx="10">
                  <c:v>19.34</c:v>
                </c:pt>
                <c:pt idx="11">
                  <c:v>18.7</c:v>
                </c:pt>
                <c:pt idx="12">
                  <c:v>17.899999999999999</c:v>
                </c:pt>
                <c:pt idx="13">
                  <c:v>19</c:v>
                </c:pt>
                <c:pt idx="14">
                  <c:v>21.3</c:v>
                </c:pt>
                <c:pt idx="15">
                  <c:v>21.58</c:v>
                </c:pt>
                <c:pt idx="16">
                  <c:v>24.8</c:v>
                </c:pt>
                <c:pt idx="17">
                  <c:v>26.6</c:v>
                </c:pt>
                <c:pt idx="18">
                  <c:v>24.1</c:v>
                </c:pt>
                <c:pt idx="19">
                  <c:v>24.3</c:v>
                </c:pt>
                <c:pt idx="20">
                  <c:v>25.77</c:v>
                </c:pt>
                <c:pt idx="21">
                  <c:v>30.1</c:v>
                </c:pt>
                <c:pt idx="22">
                  <c:v>28.17</c:v>
                </c:pt>
                <c:pt idx="23">
                  <c:v>27.1</c:v>
                </c:pt>
                <c:pt idx="24">
                  <c:v>27.07</c:v>
                </c:pt>
                <c:pt idx="25">
                  <c:v>28.6</c:v>
                </c:pt>
                <c:pt idx="26">
                  <c:v>31.27</c:v>
                </c:pt>
                <c:pt idx="27">
                  <c:v>31.54</c:v>
                </c:pt>
                <c:pt idx="28">
                  <c:v>27.17</c:v>
                </c:pt>
                <c:pt idx="29">
                  <c:v>27.19</c:v>
                </c:pt>
              </c:numCache>
            </c:numRef>
          </c:val>
          <c:extLst>
            <c:ext xmlns:c16="http://schemas.microsoft.com/office/drawing/2014/chart" uri="{C3380CC4-5D6E-409C-BE32-E72D297353CC}">
              <c16:uniqueId val="{00000000-A5E5-4D51-B5E0-B405BBEDA272}"/>
            </c:ext>
          </c:extLst>
        </c:ser>
        <c:ser>
          <c:idx val="1"/>
          <c:order val="1"/>
          <c:tx>
            <c:strRef>
              <c:f>Лист1!$C$1</c:f>
              <c:strCache>
                <c:ptCount val="1"/>
                <c:pt idx="0">
                  <c:v>Ряд 2</c:v>
                </c:pt>
              </c:strCache>
            </c:strRef>
          </c:tx>
          <c:invertIfNegative val="0"/>
          <c:cat>
            <c:numRef>
              <c:f>Лист1!$A$2:$A$31</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Лист1!$C$2:$C$31</c:f>
              <c:numCache>
                <c:formatCode>General</c:formatCode>
                <c:ptCount val="30"/>
              </c:numCache>
            </c:numRef>
          </c:val>
          <c:extLst>
            <c:ext xmlns:c16="http://schemas.microsoft.com/office/drawing/2014/chart" uri="{C3380CC4-5D6E-409C-BE32-E72D297353CC}">
              <c16:uniqueId val="{00000001-A5E5-4D51-B5E0-B405BBEDA272}"/>
            </c:ext>
          </c:extLst>
        </c:ser>
        <c:ser>
          <c:idx val="2"/>
          <c:order val="2"/>
          <c:tx>
            <c:strRef>
              <c:f>Лист1!$D$1</c:f>
              <c:strCache>
                <c:ptCount val="1"/>
                <c:pt idx="0">
                  <c:v>Ряд 3</c:v>
                </c:pt>
              </c:strCache>
            </c:strRef>
          </c:tx>
          <c:invertIfNegative val="0"/>
          <c:cat>
            <c:numRef>
              <c:f>Лист1!$A$2:$A$31</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Лист1!$D$2:$D$31</c:f>
              <c:numCache>
                <c:formatCode>General</c:formatCode>
                <c:ptCount val="30"/>
              </c:numCache>
            </c:numRef>
          </c:val>
          <c:extLst>
            <c:ext xmlns:c16="http://schemas.microsoft.com/office/drawing/2014/chart" uri="{C3380CC4-5D6E-409C-BE32-E72D297353CC}">
              <c16:uniqueId val="{00000002-A5E5-4D51-B5E0-B405BBEDA272}"/>
            </c:ext>
          </c:extLst>
        </c:ser>
        <c:dLbls>
          <c:showLegendKey val="0"/>
          <c:showVal val="0"/>
          <c:showCatName val="0"/>
          <c:showSerName val="0"/>
          <c:showPercent val="0"/>
          <c:showBubbleSize val="0"/>
        </c:dLbls>
        <c:gapWidth val="150"/>
        <c:axId val="211180032"/>
        <c:axId val="140112384"/>
      </c:barChart>
      <c:catAx>
        <c:axId val="211180032"/>
        <c:scaling>
          <c:orientation val="minMax"/>
        </c:scaling>
        <c:delete val="0"/>
        <c:axPos val="b"/>
        <c:numFmt formatCode="General" sourceLinked="1"/>
        <c:majorTickMark val="out"/>
        <c:minorTickMark val="none"/>
        <c:tickLblPos val="nextTo"/>
        <c:txPr>
          <a:bodyPr/>
          <a:lstStyle/>
          <a:p>
            <a:pPr>
              <a:defRPr sz="800" baseline="0"/>
            </a:pPr>
            <a:endParaRPr lang="ru-RU"/>
          </a:p>
        </c:txPr>
        <c:crossAx val="140112384"/>
        <c:crosses val="autoZero"/>
        <c:auto val="1"/>
        <c:lblAlgn val="ctr"/>
        <c:lblOffset val="100"/>
        <c:noMultiLvlLbl val="0"/>
      </c:catAx>
      <c:valAx>
        <c:axId val="140112384"/>
        <c:scaling>
          <c:orientation val="minMax"/>
        </c:scaling>
        <c:delete val="0"/>
        <c:axPos val="l"/>
        <c:majorGridlines/>
        <c:numFmt formatCode="General" sourceLinked="1"/>
        <c:majorTickMark val="out"/>
        <c:minorTickMark val="none"/>
        <c:tickLblPos val="nextTo"/>
        <c:crossAx val="2111800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42324-9253-4738-BF5D-07339004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2860</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Dengov</dc:creator>
  <cp:lastModifiedBy>Victor Dengov</cp:lastModifiedBy>
  <cp:revision>2</cp:revision>
  <dcterms:created xsi:type="dcterms:W3CDTF">2021-04-07T18:20:00Z</dcterms:created>
  <dcterms:modified xsi:type="dcterms:W3CDTF">2021-04-07T18:20:00Z</dcterms:modified>
</cp:coreProperties>
</file>