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8625D" w14:textId="5A275F78" w:rsidR="0066397A" w:rsidRDefault="00AE2457">
      <w:pPr>
        <w:spacing w:before="91" w:line="259" w:lineRule="auto"/>
        <w:ind w:left="133" w:right="1898" w:hanging="15"/>
        <w:rPr>
          <w:rFonts w:ascii="Arial" w:hAnsi="Arial"/>
          <w:b/>
          <w:sz w:val="40"/>
        </w:rPr>
      </w:pPr>
      <w:bookmarkStart w:id="0" w:name="References"/>
      <w:bookmarkStart w:id="1" w:name="OLE_LINK1"/>
      <w:bookmarkStart w:id="2" w:name="OLE_LINK2"/>
      <w:bookmarkEnd w:id="0"/>
      <w:r>
        <w:rPr>
          <w:rFonts w:ascii="Arial" w:hAnsi="Arial"/>
          <w:b/>
          <w:sz w:val="40"/>
        </w:rPr>
        <w:t xml:space="preserve">Acquisition of concrete and abstract words </w:t>
      </w:r>
      <w:r w:rsidR="00182EA5" w:rsidRPr="00C20480">
        <w:rPr>
          <w:rFonts w:ascii="Arial" w:hAnsi="Arial"/>
          <w:b/>
          <w:sz w:val="40"/>
        </w:rPr>
        <w:t xml:space="preserve">is </w:t>
      </w:r>
      <w:r>
        <w:rPr>
          <w:rFonts w:ascii="Arial" w:hAnsi="Arial"/>
          <w:b/>
          <w:sz w:val="40"/>
        </w:rPr>
        <w:t xml:space="preserve">modulated by </w:t>
      </w:r>
      <w:proofErr w:type="spellStart"/>
      <w:r>
        <w:rPr>
          <w:rFonts w:ascii="Arial" w:hAnsi="Arial"/>
          <w:b/>
          <w:sz w:val="40"/>
        </w:rPr>
        <w:t>tDCS</w:t>
      </w:r>
      <w:proofErr w:type="spellEnd"/>
      <w:r>
        <w:rPr>
          <w:rFonts w:ascii="Arial" w:hAnsi="Arial"/>
          <w:b/>
          <w:sz w:val="40"/>
        </w:rPr>
        <w:t xml:space="preserve"> of Wernicke’s area</w:t>
      </w:r>
    </w:p>
    <w:bookmarkEnd w:id="1"/>
    <w:bookmarkEnd w:id="2"/>
    <w:p w14:paraId="53223A1D" w14:textId="77777777" w:rsidR="0066397A" w:rsidRDefault="00AE2457">
      <w:pPr>
        <w:pStyle w:val="1"/>
        <w:spacing w:before="153" w:line="218" w:lineRule="auto"/>
        <w:ind w:right="79"/>
        <w:rPr>
          <w:rFonts w:ascii="Times New Roman"/>
          <w:b w:val="0"/>
          <w:sz w:val="18"/>
        </w:rPr>
      </w:pPr>
      <w:r>
        <w:t xml:space="preserve">Diana </w:t>
      </w:r>
      <w:proofErr w:type="spellStart"/>
      <w:r>
        <w:t>Kurmakaeva</w:t>
      </w:r>
      <w:proofErr w:type="spellEnd"/>
      <w:r>
        <w:rPr>
          <w:rFonts w:ascii="Times New Roman"/>
          <w:b w:val="0"/>
          <w:position w:val="9"/>
          <w:sz w:val="18"/>
        </w:rPr>
        <w:t>1,+,*</w:t>
      </w:r>
      <w:r>
        <w:t xml:space="preserve">, Evgeny </w:t>
      </w:r>
      <w:proofErr w:type="spellStart"/>
      <w:r>
        <w:t>Blagovechtchenski</w:t>
      </w:r>
      <w:proofErr w:type="spellEnd"/>
      <w:r>
        <w:rPr>
          <w:rFonts w:ascii="Times New Roman"/>
          <w:b w:val="0"/>
          <w:position w:val="9"/>
          <w:sz w:val="18"/>
        </w:rPr>
        <w:t>1,+</w:t>
      </w:r>
      <w:r>
        <w:t xml:space="preserve">, Daria </w:t>
      </w:r>
      <w:proofErr w:type="spellStart"/>
      <w:r>
        <w:t>Gnedykh</w:t>
      </w:r>
      <w:proofErr w:type="spellEnd"/>
      <w:r>
        <w:rPr>
          <w:rFonts w:ascii="Times New Roman"/>
          <w:b w:val="0"/>
          <w:position w:val="9"/>
          <w:sz w:val="18"/>
        </w:rPr>
        <w:t>1,+</w:t>
      </w:r>
      <w:r>
        <w:t>, Nadezhda Mkrtychian</w:t>
      </w:r>
      <w:r>
        <w:rPr>
          <w:rFonts w:ascii="Times New Roman"/>
          <w:b w:val="0"/>
          <w:position w:val="9"/>
          <w:sz w:val="18"/>
        </w:rPr>
        <w:t>1,+</w:t>
      </w:r>
      <w:r>
        <w:t>, Svetlana Kostromina</w:t>
      </w:r>
      <w:r>
        <w:rPr>
          <w:rFonts w:ascii="Times New Roman"/>
          <w:b w:val="0"/>
          <w:position w:val="9"/>
          <w:sz w:val="18"/>
        </w:rPr>
        <w:t>1,+</w:t>
      </w:r>
      <w:r>
        <w:t>, and Yury Shtyrov</w:t>
      </w:r>
      <w:r>
        <w:rPr>
          <w:rFonts w:ascii="Times New Roman"/>
          <w:b w:val="0"/>
          <w:position w:val="9"/>
          <w:sz w:val="18"/>
        </w:rPr>
        <w:t>1,2,+</w:t>
      </w:r>
    </w:p>
    <w:p w14:paraId="631C4A71" w14:textId="5164C404" w:rsidR="0066397A" w:rsidRDefault="00AE2457">
      <w:pPr>
        <w:pStyle w:val="a3"/>
        <w:spacing w:before="287" w:line="249" w:lineRule="auto"/>
        <w:ind w:left="133" w:right="79" w:hanging="12"/>
        <w:rPr>
          <w:rFonts w:ascii="Arial"/>
        </w:rPr>
      </w:pPr>
      <w:r>
        <w:rPr>
          <w:position w:val="7"/>
          <w:sz w:val="14"/>
        </w:rPr>
        <w:t>1</w:t>
      </w:r>
      <w:r>
        <w:rPr>
          <w:rFonts w:ascii="Arial"/>
        </w:rPr>
        <w:t xml:space="preserve">Laboratory of </w:t>
      </w:r>
      <w:proofErr w:type="spellStart"/>
      <w:r>
        <w:rPr>
          <w:rFonts w:ascii="Arial"/>
        </w:rPr>
        <w:t>Behavioural</w:t>
      </w:r>
      <w:proofErr w:type="spellEnd"/>
      <w:r>
        <w:rPr>
          <w:rFonts w:ascii="Arial"/>
        </w:rPr>
        <w:t xml:space="preserve"> </w:t>
      </w:r>
      <w:proofErr w:type="spellStart"/>
      <w:r>
        <w:rPr>
          <w:rFonts w:ascii="Arial"/>
        </w:rPr>
        <w:t>Neurodynamics</w:t>
      </w:r>
      <w:proofErr w:type="spellEnd"/>
      <w:r>
        <w:rPr>
          <w:rFonts w:ascii="Arial"/>
        </w:rPr>
        <w:t xml:space="preserve">, </w:t>
      </w:r>
      <w:r w:rsidR="00182EA5">
        <w:rPr>
          <w:rFonts w:ascii="Arial"/>
        </w:rPr>
        <w:t xml:space="preserve">Saint Petersburg </w:t>
      </w:r>
      <w:r w:rsidR="00182EA5">
        <w:rPr>
          <w:rFonts w:ascii="Arial"/>
          <w:spacing w:val="-3"/>
        </w:rPr>
        <w:t xml:space="preserve">University, </w:t>
      </w:r>
      <w:r>
        <w:rPr>
          <w:rFonts w:ascii="Arial"/>
        </w:rPr>
        <w:t>Saint Petersburg, 199004, Russian Federation</w:t>
      </w:r>
    </w:p>
    <w:p w14:paraId="4F60BE12" w14:textId="77777777" w:rsidR="0066397A" w:rsidRDefault="00AE2457">
      <w:pPr>
        <w:pStyle w:val="a3"/>
        <w:spacing w:line="230" w:lineRule="exact"/>
        <w:ind w:left="133"/>
        <w:rPr>
          <w:rFonts w:ascii="Arial"/>
        </w:rPr>
      </w:pPr>
      <w:r>
        <w:rPr>
          <w:position w:val="7"/>
          <w:sz w:val="14"/>
        </w:rPr>
        <w:t>2</w:t>
      </w:r>
      <w:r>
        <w:rPr>
          <w:rFonts w:ascii="Arial"/>
        </w:rPr>
        <w:t>Center of Functionally Integrative Neuroscience (CFIN), Aarhus University, Department of Clinical Medicine,</w:t>
      </w:r>
    </w:p>
    <w:p w14:paraId="4D689D64" w14:textId="77777777" w:rsidR="0066397A" w:rsidRDefault="00AE2457">
      <w:pPr>
        <w:pStyle w:val="a3"/>
        <w:spacing w:before="9" w:line="228" w:lineRule="exact"/>
        <w:ind w:left="127"/>
        <w:rPr>
          <w:rFonts w:ascii="Arial"/>
        </w:rPr>
      </w:pPr>
      <w:r>
        <w:rPr>
          <w:rFonts w:ascii="Arial"/>
        </w:rPr>
        <w:t>Aarhus, 8000, Denmark</w:t>
      </w:r>
    </w:p>
    <w:p w14:paraId="416AF1E6" w14:textId="77777777" w:rsidR="0066397A" w:rsidRDefault="00AE2457">
      <w:pPr>
        <w:pStyle w:val="a3"/>
        <w:spacing w:line="239" w:lineRule="exact"/>
        <w:ind w:left="119"/>
        <w:rPr>
          <w:rFonts w:ascii="Arial"/>
        </w:rPr>
      </w:pPr>
      <w:r>
        <w:rPr>
          <w:position w:val="7"/>
          <w:sz w:val="14"/>
        </w:rPr>
        <w:t>*</w:t>
      </w:r>
      <w:hyperlink r:id="rId8">
        <w:r>
          <w:rPr>
            <w:rFonts w:ascii="Arial"/>
          </w:rPr>
          <w:t>diana.s-pb@mail.ru</w:t>
        </w:r>
      </w:hyperlink>
    </w:p>
    <w:p w14:paraId="3ECEE5F6" w14:textId="77777777" w:rsidR="0066397A" w:rsidRDefault="00AE2457">
      <w:pPr>
        <w:pStyle w:val="a3"/>
        <w:spacing w:line="241" w:lineRule="exact"/>
        <w:ind w:left="113"/>
        <w:rPr>
          <w:rFonts w:ascii="Arial"/>
        </w:rPr>
      </w:pPr>
      <w:r>
        <w:rPr>
          <w:position w:val="7"/>
          <w:sz w:val="14"/>
        </w:rPr>
        <w:t>+</w:t>
      </w:r>
      <w:r>
        <w:rPr>
          <w:rFonts w:ascii="Arial"/>
        </w:rPr>
        <w:t>these authors contributed equally to this work</w:t>
      </w:r>
    </w:p>
    <w:p w14:paraId="2258ED4E" w14:textId="77777777" w:rsidR="0066397A" w:rsidRDefault="0066397A">
      <w:pPr>
        <w:pStyle w:val="a3"/>
        <w:spacing w:before="10"/>
        <w:rPr>
          <w:rFonts w:ascii="Arial"/>
          <w:sz w:val="31"/>
        </w:rPr>
      </w:pPr>
    </w:p>
    <w:p w14:paraId="48948222" w14:textId="77777777" w:rsidR="0066397A" w:rsidRDefault="00AE2457">
      <w:pPr>
        <w:pStyle w:val="1"/>
        <w:spacing w:before="1"/>
        <w:ind w:left="125"/>
      </w:pPr>
      <w:r>
        <w:t>ABSTRACT</w:t>
      </w:r>
    </w:p>
    <w:p w14:paraId="0451200E" w14:textId="77777777" w:rsidR="0066397A" w:rsidRDefault="0066397A">
      <w:pPr>
        <w:pStyle w:val="a3"/>
        <w:spacing w:before="6"/>
        <w:rPr>
          <w:rFonts w:ascii="Arial"/>
          <w:b/>
          <w:sz w:val="24"/>
        </w:rPr>
      </w:pPr>
    </w:p>
    <w:p w14:paraId="6138C4F9" w14:textId="57987C7D" w:rsidR="00017766" w:rsidRDefault="00AE2457" w:rsidP="008C6A6E">
      <w:pPr>
        <w:spacing w:line="254" w:lineRule="auto"/>
        <w:ind w:left="187" w:right="186" w:firstLine="6"/>
        <w:jc w:val="both"/>
        <w:rPr>
          <w:rFonts w:ascii="Arial" w:hAnsi="Arial"/>
          <w:sz w:val="18"/>
        </w:rPr>
      </w:pPr>
      <w:bookmarkStart w:id="3" w:name="OLE_LINK3"/>
      <w:bookmarkStart w:id="4" w:name="OLE_LINK4"/>
      <w:r>
        <w:rPr>
          <w:rFonts w:ascii="Arial" w:hAnsi="Arial"/>
          <w:sz w:val="18"/>
        </w:rPr>
        <w:t xml:space="preserve">Previous </w:t>
      </w:r>
      <w:proofErr w:type="spellStart"/>
      <w:r>
        <w:rPr>
          <w:rFonts w:ascii="Arial" w:hAnsi="Arial"/>
          <w:sz w:val="18"/>
        </w:rPr>
        <w:t>behavioural</w:t>
      </w:r>
      <w:proofErr w:type="spellEnd"/>
      <w:r>
        <w:rPr>
          <w:rFonts w:ascii="Arial" w:hAnsi="Arial"/>
          <w:sz w:val="18"/>
        </w:rPr>
        <w:t xml:space="preserve"> and neuroimaging research suggested distinct cortical systems involved in processing abstract and concrete</w:t>
      </w:r>
      <w:r>
        <w:rPr>
          <w:rFonts w:ascii="Arial" w:hAnsi="Arial"/>
          <w:spacing w:val="-12"/>
          <w:sz w:val="18"/>
        </w:rPr>
        <w:t xml:space="preserve"> </w:t>
      </w:r>
      <w:r>
        <w:rPr>
          <w:rFonts w:ascii="Arial" w:hAnsi="Arial"/>
          <w:sz w:val="18"/>
        </w:rPr>
        <w:t>semantics;</w:t>
      </w:r>
      <w:r>
        <w:rPr>
          <w:rFonts w:ascii="Arial" w:hAnsi="Arial"/>
          <w:spacing w:val="-11"/>
          <w:sz w:val="18"/>
        </w:rPr>
        <w:t xml:space="preserve"> </w:t>
      </w:r>
      <w:r>
        <w:rPr>
          <w:rFonts w:ascii="Arial" w:hAnsi="Arial"/>
          <w:spacing w:val="-4"/>
          <w:sz w:val="18"/>
        </w:rPr>
        <w:t>however,</w:t>
      </w:r>
      <w:r>
        <w:rPr>
          <w:rFonts w:ascii="Arial" w:hAnsi="Arial"/>
          <w:spacing w:val="-12"/>
          <w:sz w:val="18"/>
        </w:rPr>
        <w:t xml:space="preserve"> </w:t>
      </w:r>
      <w:r>
        <w:rPr>
          <w:rFonts w:ascii="Arial" w:hAnsi="Arial"/>
          <w:sz w:val="18"/>
        </w:rPr>
        <w:t>there</w:t>
      </w:r>
      <w:r>
        <w:rPr>
          <w:rFonts w:ascii="Arial" w:hAnsi="Arial"/>
          <w:spacing w:val="-11"/>
          <w:sz w:val="18"/>
        </w:rPr>
        <w:t xml:space="preserve"> </w:t>
      </w:r>
      <w:r>
        <w:rPr>
          <w:rFonts w:ascii="Arial" w:hAnsi="Arial"/>
          <w:sz w:val="18"/>
        </w:rPr>
        <w:t>is</w:t>
      </w:r>
      <w:r>
        <w:rPr>
          <w:rFonts w:ascii="Arial" w:hAnsi="Arial"/>
          <w:spacing w:val="-12"/>
          <w:sz w:val="18"/>
        </w:rPr>
        <w:t xml:space="preserve"> </w:t>
      </w:r>
      <w:r>
        <w:rPr>
          <w:rFonts w:ascii="Arial" w:hAnsi="Arial"/>
          <w:sz w:val="18"/>
        </w:rPr>
        <w:t>a</w:t>
      </w:r>
      <w:r>
        <w:rPr>
          <w:rFonts w:ascii="Arial" w:hAnsi="Arial"/>
          <w:spacing w:val="-11"/>
          <w:sz w:val="18"/>
        </w:rPr>
        <w:t xml:space="preserve"> </w:t>
      </w:r>
      <w:r>
        <w:rPr>
          <w:rFonts w:ascii="Arial" w:hAnsi="Arial"/>
          <w:sz w:val="18"/>
        </w:rPr>
        <w:t>dearth</w:t>
      </w:r>
      <w:r>
        <w:rPr>
          <w:rFonts w:ascii="Arial" w:hAnsi="Arial"/>
          <w:spacing w:val="-12"/>
          <w:sz w:val="18"/>
        </w:rPr>
        <w:t xml:space="preserve"> </w:t>
      </w:r>
      <w:r>
        <w:rPr>
          <w:rFonts w:ascii="Arial" w:hAnsi="Arial"/>
          <w:sz w:val="18"/>
        </w:rPr>
        <w:t>of</w:t>
      </w:r>
      <w:r>
        <w:rPr>
          <w:rFonts w:ascii="Arial" w:hAnsi="Arial"/>
          <w:spacing w:val="-11"/>
          <w:sz w:val="18"/>
        </w:rPr>
        <w:t xml:space="preserve"> </w:t>
      </w:r>
      <w:r>
        <w:rPr>
          <w:rFonts w:ascii="Arial" w:hAnsi="Arial"/>
          <w:sz w:val="18"/>
        </w:rPr>
        <w:t>causal</w:t>
      </w:r>
      <w:r>
        <w:rPr>
          <w:rFonts w:ascii="Arial" w:hAnsi="Arial"/>
          <w:spacing w:val="-12"/>
          <w:sz w:val="18"/>
        </w:rPr>
        <w:t xml:space="preserve"> </w:t>
      </w:r>
      <w:r>
        <w:rPr>
          <w:rFonts w:ascii="Arial" w:hAnsi="Arial"/>
          <w:sz w:val="18"/>
        </w:rPr>
        <w:t>evidence</w:t>
      </w:r>
      <w:r>
        <w:rPr>
          <w:rFonts w:ascii="Arial" w:hAnsi="Arial"/>
          <w:spacing w:val="-11"/>
          <w:sz w:val="18"/>
        </w:rPr>
        <w:t xml:space="preserve"> </w:t>
      </w:r>
      <w:r>
        <w:rPr>
          <w:rFonts w:ascii="Arial" w:hAnsi="Arial"/>
          <w:sz w:val="18"/>
        </w:rPr>
        <w:t>to</w:t>
      </w:r>
      <w:r>
        <w:rPr>
          <w:rFonts w:ascii="Arial" w:hAnsi="Arial"/>
          <w:spacing w:val="-12"/>
          <w:sz w:val="18"/>
        </w:rPr>
        <w:t xml:space="preserve"> </w:t>
      </w:r>
      <w:r>
        <w:rPr>
          <w:rFonts w:ascii="Arial" w:hAnsi="Arial"/>
          <w:sz w:val="18"/>
        </w:rPr>
        <w:t>support</w:t>
      </w:r>
      <w:r>
        <w:rPr>
          <w:rFonts w:ascii="Arial" w:hAnsi="Arial"/>
          <w:spacing w:val="-11"/>
          <w:sz w:val="18"/>
        </w:rPr>
        <w:t xml:space="preserve"> </w:t>
      </w:r>
      <w:r>
        <w:rPr>
          <w:rFonts w:ascii="Arial" w:hAnsi="Arial"/>
          <w:sz w:val="18"/>
        </w:rPr>
        <w:t>this.</w:t>
      </w:r>
      <w:r>
        <w:rPr>
          <w:rFonts w:ascii="Arial" w:hAnsi="Arial"/>
          <w:spacing w:val="-2"/>
          <w:sz w:val="18"/>
        </w:rPr>
        <w:t xml:space="preserve"> </w:t>
      </w:r>
      <w:r>
        <w:rPr>
          <w:rFonts w:ascii="Arial" w:hAnsi="Arial"/>
          <w:spacing w:val="-11"/>
          <w:sz w:val="18"/>
        </w:rPr>
        <w:t>To</w:t>
      </w:r>
      <w:r>
        <w:rPr>
          <w:rFonts w:ascii="Arial" w:hAnsi="Arial"/>
          <w:spacing w:val="-12"/>
          <w:sz w:val="18"/>
        </w:rPr>
        <w:t xml:space="preserve"> </w:t>
      </w:r>
      <w:r>
        <w:rPr>
          <w:rFonts w:ascii="Arial" w:hAnsi="Arial"/>
          <w:sz w:val="18"/>
        </w:rPr>
        <w:t>address</w:t>
      </w:r>
      <w:r>
        <w:rPr>
          <w:rFonts w:ascii="Arial" w:hAnsi="Arial"/>
          <w:spacing w:val="-11"/>
          <w:sz w:val="18"/>
        </w:rPr>
        <w:t xml:space="preserve"> </w:t>
      </w:r>
      <w:r>
        <w:rPr>
          <w:rFonts w:ascii="Arial" w:hAnsi="Arial"/>
          <w:sz w:val="18"/>
        </w:rPr>
        <w:t>this,</w:t>
      </w:r>
      <w:r>
        <w:rPr>
          <w:rFonts w:ascii="Arial" w:hAnsi="Arial"/>
          <w:spacing w:val="-12"/>
          <w:sz w:val="18"/>
        </w:rPr>
        <w:t xml:space="preserve"> </w:t>
      </w:r>
      <w:r>
        <w:rPr>
          <w:rFonts w:ascii="Arial" w:hAnsi="Arial"/>
          <w:sz w:val="18"/>
        </w:rPr>
        <w:t>we</w:t>
      </w:r>
      <w:r>
        <w:rPr>
          <w:rFonts w:ascii="Arial" w:hAnsi="Arial"/>
          <w:spacing w:val="-11"/>
          <w:sz w:val="18"/>
        </w:rPr>
        <w:t xml:space="preserve"> </w:t>
      </w:r>
      <w:r>
        <w:rPr>
          <w:rFonts w:ascii="Arial" w:hAnsi="Arial"/>
          <w:sz w:val="18"/>
        </w:rPr>
        <w:t>applied</w:t>
      </w:r>
      <w:r>
        <w:rPr>
          <w:rFonts w:ascii="Arial" w:hAnsi="Arial"/>
          <w:spacing w:val="-12"/>
          <w:sz w:val="18"/>
        </w:rPr>
        <w:t xml:space="preserve"> </w:t>
      </w:r>
      <w:r>
        <w:rPr>
          <w:rFonts w:ascii="Arial" w:hAnsi="Arial"/>
          <w:sz w:val="18"/>
        </w:rPr>
        <w:t>anodal,</w:t>
      </w:r>
      <w:r>
        <w:rPr>
          <w:rFonts w:ascii="Arial" w:hAnsi="Arial"/>
          <w:spacing w:val="-11"/>
          <w:sz w:val="18"/>
        </w:rPr>
        <w:t xml:space="preserve"> </w:t>
      </w:r>
      <w:r>
        <w:rPr>
          <w:rFonts w:ascii="Arial" w:hAnsi="Arial"/>
          <w:sz w:val="18"/>
        </w:rPr>
        <w:t>cathodal</w:t>
      </w:r>
      <w:r w:rsidR="00A93BF6">
        <w:rPr>
          <w:rFonts w:ascii="Arial" w:hAnsi="Arial"/>
          <w:sz w:val="18"/>
        </w:rPr>
        <w:t>,</w:t>
      </w:r>
      <w:r>
        <w:rPr>
          <w:rFonts w:ascii="Arial" w:hAnsi="Arial"/>
          <w:sz w:val="18"/>
        </w:rPr>
        <w:t xml:space="preserve"> or sham (placebo) </w:t>
      </w:r>
      <w:proofErr w:type="spellStart"/>
      <w:r>
        <w:rPr>
          <w:rFonts w:ascii="Arial" w:hAnsi="Arial"/>
          <w:sz w:val="18"/>
        </w:rPr>
        <w:t>tDCS</w:t>
      </w:r>
      <w:proofErr w:type="spellEnd"/>
      <w:r>
        <w:rPr>
          <w:rFonts w:ascii="Arial" w:hAnsi="Arial"/>
          <w:sz w:val="18"/>
        </w:rPr>
        <w:t xml:space="preserve"> over Wernicke’s area before a session of contextual learning of novel concrete and abstract words (n=10</w:t>
      </w:r>
      <w:r>
        <w:rPr>
          <w:rFonts w:ascii="Arial" w:hAnsi="Arial"/>
          <w:spacing w:val="-6"/>
          <w:sz w:val="18"/>
        </w:rPr>
        <w:t xml:space="preserve"> </w:t>
      </w:r>
      <w:r>
        <w:rPr>
          <w:rFonts w:ascii="Arial" w:hAnsi="Arial"/>
          <w:sz w:val="18"/>
        </w:rPr>
        <w:t>each),</w:t>
      </w:r>
      <w:r>
        <w:rPr>
          <w:rFonts w:ascii="Arial" w:hAnsi="Arial"/>
          <w:spacing w:val="-4"/>
          <w:sz w:val="18"/>
        </w:rPr>
        <w:t xml:space="preserve"> </w:t>
      </w:r>
      <w:r>
        <w:rPr>
          <w:rFonts w:ascii="Arial" w:hAnsi="Arial"/>
          <w:sz w:val="18"/>
        </w:rPr>
        <w:t>presented</w:t>
      </w:r>
      <w:r>
        <w:rPr>
          <w:rFonts w:ascii="Arial" w:hAnsi="Arial"/>
          <w:spacing w:val="-5"/>
          <w:sz w:val="18"/>
        </w:rPr>
        <w:t xml:space="preserve"> </w:t>
      </w:r>
      <w:r>
        <w:rPr>
          <w:rFonts w:ascii="Arial" w:hAnsi="Arial"/>
          <w:sz w:val="18"/>
        </w:rPr>
        <w:t>five</w:t>
      </w:r>
      <w:r>
        <w:rPr>
          <w:rFonts w:ascii="Arial" w:hAnsi="Arial"/>
          <w:spacing w:val="-4"/>
          <w:sz w:val="18"/>
        </w:rPr>
        <w:t xml:space="preserve"> </w:t>
      </w:r>
      <w:r>
        <w:rPr>
          <w:rFonts w:ascii="Arial" w:hAnsi="Arial"/>
          <w:sz w:val="18"/>
        </w:rPr>
        <w:t>times</w:t>
      </w:r>
      <w:r>
        <w:rPr>
          <w:rFonts w:ascii="Arial" w:hAnsi="Arial"/>
          <w:spacing w:val="-5"/>
          <w:sz w:val="18"/>
        </w:rPr>
        <w:t xml:space="preserve"> </w:t>
      </w:r>
      <w:r>
        <w:rPr>
          <w:rFonts w:ascii="Arial" w:hAnsi="Arial"/>
          <w:sz w:val="18"/>
        </w:rPr>
        <w:t>in</w:t>
      </w:r>
      <w:r>
        <w:rPr>
          <w:rFonts w:ascii="Arial" w:hAnsi="Arial"/>
          <w:spacing w:val="-5"/>
          <w:sz w:val="18"/>
        </w:rPr>
        <w:t xml:space="preserve"> </w:t>
      </w:r>
      <w:r>
        <w:rPr>
          <w:rFonts w:ascii="Arial" w:hAnsi="Arial"/>
          <w:sz w:val="18"/>
        </w:rPr>
        <w:t>short</w:t>
      </w:r>
      <w:r>
        <w:rPr>
          <w:rFonts w:ascii="Arial" w:hAnsi="Arial"/>
          <w:spacing w:val="-4"/>
          <w:sz w:val="18"/>
        </w:rPr>
        <w:t xml:space="preserve"> </w:t>
      </w:r>
      <w:r>
        <w:rPr>
          <w:rFonts w:ascii="Arial" w:hAnsi="Arial"/>
          <w:sz w:val="18"/>
        </w:rPr>
        <w:t>stories.</w:t>
      </w:r>
      <w:r>
        <w:rPr>
          <w:rFonts w:ascii="Arial" w:hAnsi="Arial"/>
          <w:spacing w:val="7"/>
          <w:sz w:val="18"/>
        </w:rPr>
        <w:t xml:space="preserve"> </w:t>
      </w:r>
      <w:r>
        <w:rPr>
          <w:rFonts w:ascii="Arial" w:hAnsi="Arial"/>
          <w:sz w:val="18"/>
        </w:rPr>
        <w:t>Learning</w:t>
      </w:r>
      <w:r>
        <w:rPr>
          <w:rFonts w:ascii="Arial" w:hAnsi="Arial"/>
          <w:spacing w:val="-5"/>
          <w:sz w:val="18"/>
        </w:rPr>
        <w:t xml:space="preserve"> </w:t>
      </w:r>
      <w:r>
        <w:rPr>
          <w:rFonts w:ascii="Arial" w:hAnsi="Arial"/>
          <w:sz w:val="18"/>
        </w:rPr>
        <w:t>effects</w:t>
      </w:r>
      <w:r>
        <w:rPr>
          <w:rFonts w:ascii="Arial" w:hAnsi="Arial"/>
          <w:spacing w:val="-4"/>
          <w:sz w:val="18"/>
        </w:rPr>
        <w:t xml:space="preserve"> </w:t>
      </w:r>
      <w:r>
        <w:rPr>
          <w:rFonts w:ascii="Arial" w:hAnsi="Arial"/>
          <w:sz w:val="18"/>
        </w:rPr>
        <w:t>were</w:t>
      </w:r>
      <w:r>
        <w:rPr>
          <w:rFonts w:ascii="Arial" w:hAnsi="Arial"/>
          <w:spacing w:val="-4"/>
          <w:sz w:val="18"/>
        </w:rPr>
        <w:t xml:space="preserve"> </w:t>
      </w:r>
      <w:r>
        <w:rPr>
          <w:rFonts w:ascii="Arial" w:hAnsi="Arial"/>
          <w:sz w:val="18"/>
        </w:rPr>
        <w:t>assessed</w:t>
      </w:r>
      <w:r>
        <w:rPr>
          <w:rFonts w:ascii="Arial" w:hAnsi="Arial"/>
          <w:spacing w:val="-5"/>
          <w:sz w:val="18"/>
        </w:rPr>
        <w:t xml:space="preserve"> </w:t>
      </w:r>
      <w:r>
        <w:rPr>
          <w:rFonts w:ascii="Arial" w:hAnsi="Arial"/>
          <w:sz w:val="18"/>
        </w:rPr>
        <w:t>at</w:t>
      </w:r>
      <w:r>
        <w:rPr>
          <w:rFonts w:ascii="Arial" w:hAnsi="Arial"/>
          <w:spacing w:val="-4"/>
          <w:sz w:val="18"/>
        </w:rPr>
        <w:t xml:space="preserve"> </w:t>
      </w:r>
      <w:r>
        <w:rPr>
          <w:rFonts w:ascii="Arial" w:hAnsi="Arial"/>
          <w:sz w:val="18"/>
        </w:rPr>
        <w:t>lexical</w:t>
      </w:r>
      <w:r>
        <w:rPr>
          <w:rFonts w:ascii="Arial" w:hAnsi="Arial"/>
          <w:spacing w:val="-5"/>
          <w:sz w:val="18"/>
        </w:rPr>
        <w:t xml:space="preserve"> </w:t>
      </w:r>
      <w:r>
        <w:rPr>
          <w:rFonts w:ascii="Arial" w:hAnsi="Arial"/>
          <w:sz w:val="18"/>
        </w:rPr>
        <w:t>and</w:t>
      </w:r>
      <w:r>
        <w:rPr>
          <w:rFonts w:ascii="Arial" w:hAnsi="Arial"/>
          <w:spacing w:val="-5"/>
          <w:sz w:val="18"/>
        </w:rPr>
        <w:t xml:space="preserve"> </w:t>
      </w:r>
      <w:r>
        <w:rPr>
          <w:rFonts w:ascii="Arial" w:hAnsi="Arial"/>
          <w:sz w:val="18"/>
        </w:rPr>
        <w:t>semantic</w:t>
      </w:r>
      <w:r>
        <w:rPr>
          <w:rFonts w:ascii="Arial" w:hAnsi="Arial"/>
          <w:spacing w:val="-4"/>
          <w:sz w:val="18"/>
        </w:rPr>
        <w:t xml:space="preserve"> </w:t>
      </w:r>
      <w:r>
        <w:rPr>
          <w:rFonts w:ascii="Arial" w:hAnsi="Arial"/>
          <w:sz w:val="18"/>
        </w:rPr>
        <w:t>levels</w:t>
      </w:r>
      <w:r>
        <w:rPr>
          <w:rFonts w:ascii="Arial" w:hAnsi="Arial"/>
          <w:spacing w:val="-4"/>
          <w:sz w:val="18"/>
        </w:rPr>
        <w:t xml:space="preserve"> </w:t>
      </w:r>
      <w:r>
        <w:rPr>
          <w:rFonts w:ascii="Arial" w:hAnsi="Arial"/>
          <w:sz w:val="18"/>
        </w:rPr>
        <w:t>immediately after the training and</w:t>
      </w:r>
      <w:r w:rsidR="00641BDB" w:rsidRPr="00BE0254">
        <w:rPr>
          <w:rFonts w:ascii="Arial" w:hAnsi="Arial"/>
          <w:spacing w:val="-6"/>
          <w:sz w:val="18"/>
          <w:u w:val="single"/>
        </w:rPr>
        <w:t xml:space="preserve">, </w:t>
      </w:r>
      <w:r w:rsidR="00641BDB" w:rsidRPr="00BE0254">
        <w:rPr>
          <w:rFonts w:ascii="Arial" w:hAnsi="Arial"/>
          <w:sz w:val="18"/>
          <w:u w:val="single"/>
        </w:rPr>
        <w:t>to attest any consolidation effects of overnight sleep</w:t>
      </w:r>
      <w:r w:rsidR="00641BDB">
        <w:rPr>
          <w:rFonts w:ascii="Arial" w:hAnsi="Arial"/>
          <w:sz w:val="18"/>
        </w:rPr>
        <w:t>,</w:t>
      </w:r>
      <w:r>
        <w:rPr>
          <w:rFonts w:ascii="Arial" w:hAnsi="Arial"/>
          <w:sz w:val="18"/>
        </w:rPr>
        <w:t xml:space="preserve"> on the next </w:t>
      </w:r>
      <w:r>
        <w:rPr>
          <w:rFonts w:ascii="Arial" w:hAnsi="Arial"/>
          <w:spacing w:val="-6"/>
          <w:sz w:val="18"/>
        </w:rPr>
        <w:t>day</w:t>
      </w:r>
      <w:r>
        <w:rPr>
          <w:rFonts w:ascii="Arial" w:hAnsi="Arial"/>
          <w:sz w:val="18"/>
        </w:rPr>
        <w:t xml:space="preserve">. </w:t>
      </w:r>
      <w:r>
        <w:rPr>
          <w:rFonts w:ascii="Arial" w:hAnsi="Arial"/>
          <w:spacing w:val="-3"/>
          <w:sz w:val="18"/>
        </w:rPr>
        <w:t xml:space="preserve">We </w:t>
      </w:r>
      <w:r>
        <w:rPr>
          <w:rFonts w:ascii="Arial" w:hAnsi="Arial"/>
          <w:sz w:val="18"/>
        </w:rPr>
        <w:t xml:space="preserve">observed successful learning of all items immediately after the session, with decreased performance </w:t>
      </w:r>
      <w:r w:rsidR="00641BDB">
        <w:rPr>
          <w:rFonts w:ascii="Arial" w:hAnsi="Arial"/>
          <w:sz w:val="18"/>
        </w:rPr>
        <w:t>i</w:t>
      </w:r>
      <w:r>
        <w:rPr>
          <w:rFonts w:ascii="Arial" w:hAnsi="Arial"/>
          <w:sz w:val="18"/>
        </w:rPr>
        <w:t xml:space="preserve">n </w:t>
      </w:r>
      <w:r w:rsidR="006D1767" w:rsidRPr="00BE0254">
        <w:rPr>
          <w:rFonts w:ascii="Arial" w:hAnsi="Arial"/>
          <w:spacing w:val="-6"/>
          <w:sz w:val="18"/>
          <w:u w:val="single"/>
        </w:rPr>
        <w:t>Day 2</w:t>
      </w:r>
      <w:r w:rsidR="00641BDB">
        <w:rPr>
          <w:rFonts w:ascii="Arial" w:hAnsi="Arial"/>
          <w:sz w:val="18"/>
        </w:rPr>
        <w:t xml:space="preserve"> </w:t>
      </w:r>
      <w:r>
        <w:rPr>
          <w:rFonts w:ascii="Arial" w:hAnsi="Arial"/>
          <w:sz w:val="18"/>
        </w:rPr>
        <w:t>assessment</w:t>
      </w:r>
      <w:r>
        <w:rPr>
          <w:rFonts w:ascii="Arial" w:hAnsi="Arial"/>
          <w:spacing w:val="-6"/>
          <w:sz w:val="18"/>
        </w:rPr>
        <w:t xml:space="preserve">. </w:t>
      </w:r>
      <w:r>
        <w:rPr>
          <w:rFonts w:ascii="Arial" w:hAnsi="Arial"/>
          <w:sz w:val="18"/>
        </w:rPr>
        <w:t xml:space="preserve">Importantly, the results differed between stimulation conditions and tasks. Whereas </w:t>
      </w:r>
      <w:r w:rsidR="00A93BF6" w:rsidRPr="00A93BF6">
        <w:rPr>
          <w:rFonts w:ascii="Arial" w:hAnsi="Arial"/>
          <w:sz w:val="18"/>
          <w:u w:val="single"/>
        </w:rPr>
        <w:t>the</w:t>
      </w:r>
      <w:r w:rsidR="00A93BF6">
        <w:rPr>
          <w:rFonts w:ascii="Arial" w:hAnsi="Arial"/>
          <w:sz w:val="18"/>
        </w:rPr>
        <w:t xml:space="preserve"> </w:t>
      </w:r>
      <w:r w:rsidR="006D1767" w:rsidRPr="00BE0254">
        <w:rPr>
          <w:rFonts w:ascii="Arial" w:hAnsi="Arial"/>
          <w:spacing w:val="-6"/>
          <w:sz w:val="18"/>
          <w:u w:val="single"/>
        </w:rPr>
        <w:t>accuracy of</w:t>
      </w:r>
      <w:r w:rsidR="006D1767">
        <w:rPr>
          <w:rFonts w:ascii="Arial" w:hAnsi="Arial"/>
          <w:sz w:val="18"/>
        </w:rPr>
        <w:t xml:space="preserve"> </w:t>
      </w:r>
      <w:r>
        <w:rPr>
          <w:rFonts w:ascii="Arial" w:hAnsi="Arial"/>
          <w:sz w:val="18"/>
        </w:rPr>
        <w:t xml:space="preserve">semantic </w:t>
      </w:r>
      <w:r w:rsidR="00276954">
        <w:rPr>
          <w:rFonts w:ascii="Arial" w:hAnsi="Arial"/>
          <w:sz w:val="18"/>
        </w:rPr>
        <w:t>judgement</w:t>
      </w:r>
      <w:r>
        <w:rPr>
          <w:rFonts w:ascii="Arial" w:hAnsi="Arial"/>
          <w:sz w:val="18"/>
        </w:rPr>
        <w:t xml:space="preserve"> for abstract</w:t>
      </w:r>
      <w:r w:rsidRPr="00BE0254">
        <w:rPr>
          <w:rFonts w:ascii="Arial" w:hAnsi="Arial"/>
          <w:spacing w:val="-6"/>
          <w:sz w:val="18"/>
          <w:u w:val="single"/>
        </w:rPr>
        <w:t xml:space="preserve"> </w:t>
      </w:r>
      <w:r w:rsidR="006D1767" w:rsidRPr="00BE0254">
        <w:rPr>
          <w:rFonts w:ascii="Arial" w:hAnsi="Arial"/>
          <w:spacing w:val="-6"/>
          <w:sz w:val="18"/>
          <w:u w:val="single"/>
        </w:rPr>
        <w:t>words</w:t>
      </w:r>
      <w:r>
        <w:rPr>
          <w:rFonts w:ascii="Arial" w:hAnsi="Arial"/>
          <w:sz w:val="18"/>
        </w:rPr>
        <w:t xml:space="preserve"> was </w:t>
      </w:r>
      <w:r w:rsidR="00641BDB" w:rsidRPr="00BE0254">
        <w:rPr>
          <w:rFonts w:ascii="Arial" w:hAnsi="Arial"/>
          <w:spacing w:val="-6"/>
          <w:sz w:val="18"/>
          <w:u w:val="single"/>
        </w:rPr>
        <w:t>significantly</w:t>
      </w:r>
      <w:r w:rsidR="00641BDB">
        <w:rPr>
          <w:rFonts w:ascii="Arial" w:hAnsi="Arial"/>
          <w:sz w:val="18"/>
        </w:rPr>
        <w:t xml:space="preserve"> </w:t>
      </w:r>
      <w:r>
        <w:rPr>
          <w:rFonts w:ascii="Arial" w:hAnsi="Arial"/>
          <w:sz w:val="18"/>
        </w:rPr>
        <w:t>lower in the sham and anodal groups on Day 2 v</w:t>
      </w:r>
      <w:r w:rsidR="006D1767">
        <w:rPr>
          <w:rFonts w:ascii="Arial" w:hAnsi="Arial"/>
          <w:sz w:val="18"/>
        </w:rPr>
        <w:t>s.</w:t>
      </w:r>
      <w:r>
        <w:rPr>
          <w:rFonts w:ascii="Arial" w:hAnsi="Arial"/>
          <w:sz w:val="18"/>
        </w:rPr>
        <w:t xml:space="preserve"> Day 1, this performance drop was not observed in the cathodal group.</w:t>
      </w:r>
      <w:r>
        <w:rPr>
          <w:rFonts w:ascii="Arial" w:hAnsi="Arial"/>
          <w:spacing w:val="-3"/>
          <w:sz w:val="18"/>
        </w:rPr>
        <w:t xml:space="preserve"> </w:t>
      </w:r>
      <w:r>
        <w:rPr>
          <w:rFonts w:ascii="Arial" w:hAnsi="Arial"/>
          <w:sz w:val="18"/>
        </w:rPr>
        <w:t>Furthermore,</w:t>
      </w:r>
      <w:r>
        <w:rPr>
          <w:rFonts w:ascii="Arial" w:hAnsi="Arial"/>
          <w:spacing w:val="-12"/>
          <w:sz w:val="18"/>
        </w:rPr>
        <w:t xml:space="preserve"> </w:t>
      </w:r>
      <w:r>
        <w:rPr>
          <w:rFonts w:ascii="Arial" w:hAnsi="Arial"/>
          <w:sz w:val="18"/>
        </w:rPr>
        <w:t>between-group</w:t>
      </w:r>
      <w:r>
        <w:rPr>
          <w:rFonts w:ascii="Arial" w:hAnsi="Arial"/>
          <w:spacing w:val="-13"/>
          <w:sz w:val="18"/>
        </w:rPr>
        <w:t xml:space="preserve"> </w:t>
      </w:r>
      <w:r>
        <w:rPr>
          <w:rFonts w:ascii="Arial" w:hAnsi="Arial"/>
          <w:sz w:val="18"/>
        </w:rPr>
        <w:t>analysis</w:t>
      </w:r>
      <w:r>
        <w:rPr>
          <w:rFonts w:ascii="Arial" w:hAnsi="Arial"/>
          <w:spacing w:val="-12"/>
          <w:sz w:val="18"/>
        </w:rPr>
        <w:t xml:space="preserve"> </w:t>
      </w:r>
      <w:r>
        <w:rPr>
          <w:rFonts w:ascii="Arial" w:hAnsi="Arial"/>
          <w:sz w:val="18"/>
        </w:rPr>
        <w:t>showed</w:t>
      </w:r>
      <w:r>
        <w:rPr>
          <w:rFonts w:ascii="Arial" w:hAnsi="Arial"/>
          <w:spacing w:val="-12"/>
          <w:sz w:val="18"/>
        </w:rPr>
        <w:t xml:space="preserve"> </w:t>
      </w:r>
      <w:r>
        <w:rPr>
          <w:rFonts w:ascii="Arial" w:hAnsi="Arial"/>
          <w:sz w:val="18"/>
        </w:rPr>
        <w:t>an</w:t>
      </w:r>
      <w:r>
        <w:rPr>
          <w:rFonts w:ascii="Arial" w:hAnsi="Arial"/>
          <w:spacing w:val="-12"/>
          <w:sz w:val="18"/>
        </w:rPr>
        <w:t xml:space="preserve"> </w:t>
      </w:r>
      <w:r>
        <w:rPr>
          <w:rFonts w:ascii="Arial" w:hAnsi="Arial"/>
          <w:sz w:val="18"/>
        </w:rPr>
        <w:t>overall</w:t>
      </w:r>
      <w:r>
        <w:rPr>
          <w:rFonts w:ascii="Arial" w:hAnsi="Arial"/>
          <w:spacing w:val="-12"/>
          <w:sz w:val="18"/>
        </w:rPr>
        <w:t xml:space="preserve"> </w:t>
      </w:r>
      <w:r>
        <w:rPr>
          <w:rFonts w:ascii="Arial" w:hAnsi="Arial"/>
          <w:sz w:val="18"/>
        </w:rPr>
        <w:t>better</w:t>
      </w:r>
      <w:r>
        <w:rPr>
          <w:rFonts w:ascii="Arial" w:hAnsi="Arial"/>
          <w:spacing w:val="-12"/>
          <w:sz w:val="18"/>
        </w:rPr>
        <w:t xml:space="preserve"> </w:t>
      </w:r>
      <w:r>
        <w:rPr>
          <w:rFonts w:ascii="Arial" w:hAnsi="Arial"/>
          <w:sz w:val="18"/>
        </w:rPr>
        <w:t>performance</w:t>
      </w:r>
      <w:r>
        <w:rPr>
          <w:rFonts w:ascii="Arial" w:hAnsi="Arial"/>
          <w:spacing w:val="-13"/>
          <w:sz w:val="18"/>
        </w:rPr>
        <w:t xml:space="preserve"> </w:t>
      </w:r>
      <w:r>
        <w:rPr>
          <w:rFonts w:ascii="Arial" w:hAnsi="Arial"/>
          <w:sz w:val="18"/>
        </w:rPr>
        <w:t>of</w:t>
      </w:r>
      <w:r>
        <w:rPr>
          <w:rFonts w:ascii="Arial" w:hAnsi="Arial"/>
          <w:spacing w:val="-12"/>
          <w:sz w:val="18"/>
        </w:rPr>
        <w:t xml:space="preserve"> </w:t>
      </w:r>
      <w:r>
        <w:rPr>
          <w:rFonts w:ascii="Arial" w:hAnsi="Arial"/>
          <w:sz w:val="18"/>
        </w:rPr>
        <w:t>both</w:t>
      </w:r>
      <w:r>
        <w:rPr>
          <w:rFonts w:ascii="Arial" w:hAnsi="Arial"/>
          <w:spacing w:val="-12"/>
          <w:sz w:val="18"/>
        </w:rPr>
        <w:t xml:space="preserve"> </w:t>
      </w:r>
      <w:proofErr w:type="spellStart"/>
      <w:r>
        <w:rPr>
          <w:rFonts w:ascii="Arial" w:hAnsi="Arial"/>
          <w:sz w:val="18"/>
        </w:rPr>
        <w:t>tDCS</w:t>
      </w:r>
      <w:proofErr w:type="spellEnd"/>
      <w:r>
        <w:rPr>
          <w:rFonts w:ascii="Arial" w:hAnsi="Arial"/>
          <w:spacing w:val="-12"/>
          <w:sz w:val="18"/>
        </w:rPr>
        <w:t xml:space="preserve"> </w:t>
      </w:r>
      <w:r>
        <w:rPr>
          <w:rFonts w:ascii="Arial" w:hAnsi="Arial"/>
          <w:sz w:val="18"/>
        </w:rPr>
        <w:t>groups</w:t>
      </w:r>
      <w:r>
        <w:rPr>
          <w:rFonts w:ascii="Arial" w:hAnsi="Arial"/>
          <w:spacing w:val="-12"/>
          <w:sz w:val="18"/>
        </w:rPr>
        <w:t xml:space="preserve"> </w:t>
      </w:r>
      <w:r>
        <w:rPr>
          <w:rFonts w:ascii="Arial" w:hAnsi="Arial"/>
          <w:sz w:val="18"/>
        </w:rPr>
        <w:t>over</w:t>
      </w:r>
      <w:r>
        <w:rPr>
          <w:rFonts w:ascii="Arial" w:hAnsi="Arial"/>
          <w:spacing w:val="-13"/>
          <w:sz w:val="18"/>
        </w:rPr>
        <w:t xml:space="preserve"> </w:t>
      </w:r>
      <w:r>
        <w:rPr>
          <w:rFonts w:ascii="Arial" w:hAnsi="Arial"/>
          <w:sz w:val="18"/>
        </w:rPr>
        <w:t>the</w:t>
      </w:r>
      <w:r>
        <w:rPr>
          <w:rFonts w:ascii="Arial" w:hAnsi="Arial"/>
          <w:spacing w:val="-12"/>
          <w:sz w:val="18"/>
        </w:rPr>
        <w:t xml:space="preserve"> </w:t>
      </w:r>
      <w:r>
        <w:rPr>
          <w:rFonts w:ascii="Arial" w:hAnsi="Arial"/>
          <w:sz w:val="18"/>
        </w:rPr>
        <w:t>sham</w:t>
      </w:r>
      <w:r>
        <w:rPr>
          <w:rFonts w:ascii="Arial" w:hAnsi="Arial"/>
          <w:spacing w:val="-12"/>
          <w:sz w:val="18"/>
        </w:rPr>
        <w:t xml:space="preserve"> </w:t>
      </w:r>
      <w:r>
        <w:rPr>
          <w:rFonts w:ascii="Arial" w:hAnsi="Arial"/>
          <w:sz w:val="18"/>
        </w:rPr>
        <w:t>group, particularly expressed for abstract semantics and cathodal stimulation. In sum, the results suggest overlapping but diverging brain</w:t>
      </w:r>
      <w:r>
        <w:rPr>
          <w:rFonts w:ascii="Arial" w:hAnsi="Arial"/>
          <w:spacing w:val="-8"/>
          <w:sz w:val="18"/>
        </w:rPr>
        <w:t xml:space="preserve"> </w:t>
      </w:r>
      <w:r>
        <w:rPr>
          <w:rFonts w:ascii="Arial" w:hAnsi="Arial"/>
          <w:sz w:val="18"/>
        </w:rPr>
        <w:t>mechanisms</w:t>
      </w:r>
      <w:r>
        <w:rPr>
          <w:rFonts w:ascii="Arial" w:hAnsi="Arial"/>
          <w:spacing w:val="-7"/>
          <w:sz w:val="18"/>
        </w:rPr>
        <w:t xml:space="preserve"> </w:t>
      </w:r>
      <w:r>
        <w:rPr>
          <w:rFonts w:ascii="Arial" w:hAnsi="Arial"/>
          <w:sz w:val="18"/>
        </w:rPr>
        <w:t>for</w:t>
      </w:r>
      <w:r>
        <w:rPr>
          <w:rFonts w:ascii="Arial" w:hAnsi="Arial"/>
          <w:spacing w:val="-7"/>
          <w:sz w:val="18"/>
        </w:rPr>
        <w:t xml:space="preserve"> </w:t>
      </w:r>
      <w:r>
        <w:rPr>
          <w:rFonts w:ascii="Arial" w:hAnsi="Arial"/>
          <w:sz w:val="18"/>
        </w:rPr>
        <w:t>concrete</w:t>
      </w:r>
      <w:r>
        <w:rPr>
          <w:rFonts w:ascii="Arial" w:hAnsi="Arial"/>
          <w:spacing w:val="-7"/>
          <w:sz w:val="18"/>
        </w:rPr>
        <w:t xml:space="preserve"> </w:t>
      </w:r>
      <w:r>
        <w:rPr>
          <w:rFonts w:ascii="Arial" w:hAnsi="Arial"/>
          <w:sz w:val="18"/>
        </w:rPr>
        <w:t>and</w:t>
      </w:r>
      <w:r>
        <w:rPr>
          <w:rFonts w:ascii="Arial" w:hAnsi="Arial"/>
          <w:spacing w:val="-8"/>
          <w:sz w:val="18"/>
        </w:rPr>
        <w:t xml:space="preserve"> </w:t>
      </w:r>
      <w:r>
        <w:rPr>
          <w:rFonts w:ascii="Arial" w:hAnsi="Arial"/>
          <w:sz w:val="18"/>
        </w:rPr>
        <w:t>abstract</w:t>
      </w:r>
      <w:r>
        <w:rPr>
          <w:rFonts w:ascii="Arial" w:hAnsi="Arial"/>
          <w:spacing w:val="-7"/>
          <w:sz w:val="18"/>
        </w:rPr>
        <w:t xml:space="preserve"> </w:t>
      </w:r>
      <w:r>
        <w:rPr>
          <w:rFonts w:ascii="Arial" w:hAnsi="Arial"/>
          <w:sz w:val="18"/>
        </w:rPr>
        <w:t>semantics</w:t>
      </w:r>
      <w:r>
        <w:rPr>
          <w:rFonts w:ascii="Arial" w:hAnsi="Arial"/>
          <w:spacing w:val="-7"/>
          <w:sz w:val="18"/>
        </w:rPr>
        <w:t xml:space="preserve"> </w:t>
      </w:r>
      <w:r>
        <w:rPr>
          <w:rFonts w:ascii="Arial" w:hAnsi="Arial"/>
          <w:sz w:val="18"/>
        </w:rPr>
        <w:t>and</w:t>
      </w:r>
      <w:r>
        <w:rPr>
          <w:rFonts w:ascii="Arial" w:hAnsi="Arial"/>
          <w:spacing w:val="-8"/>
          <w:sz w:val="18"/>
        </w:rPr>
        <w:t xml:space="preserve"> </w:t>
      </w:r>
      <w:r>
        <w:rPr>
          <w:rFonts w:ascii="Arial" w:hAnsi="Arial"/>
          <w:sz w:val="18"/>
        </w:rPr>
        <w:t>indicate</w:t>
      </w:r>
      <w:r>
        <w:rPr>
          <w:rFonts w:ascii="Arial" w:hAnsi="Arial"/>
          <w:spacing w:val="-7"/>
          <w:sz w:val="18"/>
        </w:rPr>
        <w:t xml:space="preserve"> </w:t>
      </w:r>
      <w:r>
        <w:rPr>
          <w:rFonts w:ascii="Arial" w:hAnsi="Arial"/>
          <w:sz w:val="18"/>
        </w:rPr>
        <w:t>a</w:t>
      </w:r>
      <w:r w:rsidRPr="00BE0254">
        <w:rPr>
          <w:rFonts w:ascii="Arial" w:hAnsi="Arial"/>
          <w:spacing w:val="-6"/>
          <w:sz w:val="18"/>
          <w:u w:val="single"/>
        </w:rPr>
        <w:t xml:space="preserve"> </w:t>
      </w:r>
      <w:r w:rsidR="006D1767" w:rsidRPr="00BE0254">
        <w:rPr>
          <w:rFonts w:ascii="Arial" w:hAnsi="Arial"/>
          <w:spacing w:val="-6"/>
          <w:sz w:val="18"/>
          <w:u w:val="single"/>
        </w:rPr>
        <w:t>larger degree of involvement</w:t>
      </w:r>
      <w:r>
        <w:rPr>
          <w:rFonts w:ascii="Arial" w:hAnsi="Arial"/>
          <w:spacing w:val="-7"/>
          <w:sz w:val="18"/>
        </w:rPr>
        <w:t xml:space="preserve"> </w:t>
      </w:r>
      <w:r>
        <w:rPr>
          <w:rFonts w:ascii="Arial" w:hAnsi="Arial"/>
          <w:sz w:val="18"/>
        </w:rPr>
        <w:t>of</w:t>
      </w:r>
      <w:r>
        <w:rPr>
          <w:rFonts w:ascii="Arial" w:hAnsi="Arial"/>
          <w:spacing w:val="-7"/>
          <w:sz w:val="18"/>
        </w:rPr>
        <w:t xml:space="preserve"> </w:t>
      </w:r>
      <w:r>
        <w:rPr>
          <w:rFonts w:ascii="Arial" w:hAnsi="Arial"/>
          <w:sz w:val="18"/>
        </w:rPr>
        <w:t>core</w:t>
      </w:r>
      <w:r>
        <w:rPr>
          <w:rFonts w:ascii="Arial" w:hAnsi="Arial"/>
          <w:spacing w:val="-8"/>
          <w:sz w:val="18"/>
        </w:rPr>
        <w:t xml:space="preserve"> </w:t>
      </w:r>
      <w:r>
        <w:rPr>
          <w:rFonts w:ascii="Arial" w:hAnsi="Arial"/>
          <w:sz w:val="18"/>
        </w:rPr>
        <w:t>language</w:t>
      </w:r>
      <w:r>
        <w:rPr>
          <w:rFonts w:ascii="Arial" w:hAnsi="Arial"/>
          <w:spacing w:val="-7"/>
          <w:sz w:val="18"/>
        </w:rPr>
        <w:t xml:space="preserve"> </w:t>
      </w:r>
      <w:r>
        <w:rPr>
          <w:rFonts w:ascii="Arial" w:hAnsi="Arial"/>
          <w:sz w:val="18"/>
        </w:rPr>
        <w:t>areas</w:t>
      </w:r>
      <w:r>
        <w:rPr>
          <w:rFonts w:ascii="Arial" w:hAnsi="Arial"/>
          <w:spacing w:val="-7"/>
          <w:sz w:val="18"/>
        </w:rPr>
        <w:t xml:space="preserve"> </w:t>
      </w:r>
      <w:r>
        <w:rPr>
          <w:rFonts w:ascii="Arial" w:hAnsi="Arial"/>
          <w:sz w:val="18"/>
        </w:rPr>
        <w:t>in storing abstract</w:t>
      </w:r>
      <w:r>
        <w:rPr>
          <w:rFonts w:ascii="Arial" w:hAnsi="Arial"/>
          <w:spacing w:val="-3"/>
          <w:sz w:val="18"/>
        </w:rPr>
        <w:t xml:space="preserve"> </w:t>
      </w:r>
      <w:r>
        <w:rPr>
          <w:rFonts w:ascii="Arial" w:hAnsi="Arial"/>
          <w:sz w:val="18"/>
        </w:rPr>
        <w:t>knowledge.</w:t>
      </w:r>
    </w:p>
    <w:bookmarkEnd w:id="3"/>
    <w:bookmarkEnd w:id="4"/>
    <w:p w14:paraId="65C5FEC8" w14:textId="77777777" w:rsidR="008C6A6E" w:rsidRDefault="008C6A6E" w:rsidP="008C6A6E">
      <w:pPr>
        <w:spacing w:line="254" w:lineRule="auto"/>
        <w:ind w:left="187" w:right="186" w:firstLine="6"/>
        <w:jc w:val="both"/>
        <w:rPr>
          <w:rFonts w:ascii="Arial" w:hAnsi="Arial"/>
          <w:sz w:val="18"/>
        </w:rPr>
      </w:pPr>
    </w:p>
    <w:p w14:paraId="29FE6FE2" w14:textId="77777777" w:rsidR="0053071E" w:rsidRDefault="00AE2457" w:rsidP="0053071E">
      <w:pPr>
        <w:pStyle w:val="1"/>
      </w:pPr>
      <w:r>
        <w:t>Introduction</w:t>
      </w:r>
    </w:p>
    <w:p w14:paraId="58BF4D71" w14:textId="244A03A5" w:rsidR="00F63BA5" w:rsidRPr="00F63BA5" w:rsidRDefault="00F63BA5" w:rsidP="00F63BA5">
      <w:pPr>
        <w:pStyle w:val="a3"/>
        <w:spacing w:before="102" w:line="249" w:lineRule="auto"/>
        <w:ind w:left="126" w:right="138" w:firstLine="7"/>
        <w:jc w:val="both"/>
      </w:pPr>
      <w:r w:rsidRPr="00F63BA5">
        <w:t xml:space="preserve">Most of the available </w:t>
      </w:r>
      <w:proofErr w:type="spellStart"/>
      <w:r w:rsidRPr="00F63BA5">
        <w:t>behavioural</w:t>
      </w:r>
      <w:proofErr w:type="spellEnd"/>
      <w:r w:rsidRPr="00F63BA5">
        <w:t xml:space="preserve"> and neuroimaging studies suggest distinct cognitive mechanisms underpinning encoding and storage of abstract and concrete semantics. At conceptual level, as often pointed out</w:t>
      </w:r>
      <w:r w:rsidRPr="00F63BA5">
        <w:fldChar w:fldCharType="begin" w:fldLock="1"/>
      </w:r>
      <w:r w:rsidR="00956A98">
        <w:instrText>ADDIN CSL_CITATION {"citationItems":[{"id":"ITEM-1","itemData":{"DOI":"10.1007/978-1-4614-9539-0","ISBN":"978-1-4614-9538-3","ISSN":"09226389","abstract":"How are abstract concepts and words represented in the brain? That is the central question addressed by the authors of “Words as Social Tools: An Embodied View on Abstract Concepts”. First, they focus on the difficulties in defining what abstract concepts and words are, and what they mean in psycholinguistic research. Then the authors go on to describe and critically discuss the main theories on this topic with a special emphasis on the different embodied and grounded theories proposed in cognitive psychology within the last ten years, highlighting the advantages and limitations of each of these theories. The core of this Brief consists of the presentation of a new theory developed by the authors, the WAT (Words As social Tools) view, according to which both sensorimotor (such as perception, action, emotional experiences) and linguistic experiences are at the basis of abstract concepts and of abstract word representation, processing and use. This theory assigns a major role to acquisition: one of the assumptions the authors make is that the different ways in which concrete and abstract words are acquired constrain their brain representation and their use. This view will be compared with the main existing theories on abstractness, from the theory of conceptual metaphors to the theories on multiple representation. Finally, the volume illustrates recent evidence from different areas (developmental, behavioral, cross-cultural, neuropsychological and neural) which converge with and support the authors' theory, leading to the conclusion that in order to account for representation and processing of abstract concepts and words, an extension of embodied and grounded theories is necessary.","author":[{"dropping-particle":"","family":"Borghi","given":"Anna M.","non-dropping-particle":"","parse-names":false,"suffix":""},{"dropping-particle":"","family":"Binkofski","given":"Ferdinand","non-dropping-particle":"","parse-names":false,"suffix":""}],"id":"ITEM-1","issued":{"date-parts":[["2014"]]},"title":"Words as Social Tools: An Embodied View on Abstract Concepts","type":"article-journal"},"uris":["http://www.mendeley.com/documents/?uuid=dd6aad76-51e2-3389-8c49-33105ad354da"]}],"mendeley":{"formattedCitation":"&lt;sup&gt;1&lt;/sup&gt;","plainTextFormattedCitation":"1","previouslyFormattedCitation":"&lt;sup&gt;1&lt;/sup&gt;"},"properties":{"noteIndex":0},"schema":"https://github.com/citation-style-language/schema/raw/master/csl-citation.json"}</w:instrText>
      </w:r>
      <w:r w:rsidRPr="00F63BA5">
        <w:fldChar w:fldCharType="separate"/>
      </w:r>
      <w:r w:rsidR="00956A98" w:rsidRPr="00956A98">
        <w:rPr>
          <w:noProof/>
          <w:vertAlign w:val="superscript"/>
        </w:rPr>
        <w:t>1</w:t>
      </w:r>
      <w:r w:rsidRPr="00F63BA5">
        <w:fldChar w:fldCharType="end"/>
      </w:r>
      <w:r w:rsidRPr="00F63BA5">
        <w:t xml:space="preserve">, concrete concepts are </w:t>
      </w:r>
      <w:proofErr w:type="spellStart"/>
      <w:r w:rsidRPr="00F63BA5">
        <w:t>characterised</w:t>
      </w:r>
      <w:proofErr w:type="spellEnd"/>
      <w:r w:rsidRPr="00F63BA5">
        <w:t xml:space="preserve"> by clear references to material, physical objects (e.g. </w:t>
      </w:r>
      <w:r w:rsidRPr="00F63BA5">
        <w:rPr>
          <w:i/>
          <w:iCs/>
        </w:rPr>
        <w:t>cat, car</w:t>
      </w:r>
      <w:r w:rsidRPr="00F63BA5">
        <w:t xml:space="preserve">), whereas references of abstract concepts are not physical entities, but more complex mental states (e.g. </w:t>
      </w:r>
      <w:r w:rsidRPr="00F63BA5">
        <w:rPr>
          <w:i/>
          <w:iCs/>
        </w:rPr>
        <w:t>dream, sadness</w:t>
      </w:r>
      <w:r w:rsidRPr="00F63BA5">
        <w:t>), conditions (</w:t>
      </w:r>
      <w:r w:rsidRPr="00F63BA5">
        <w:rPr>
          <w:i/>
          <w:iCs/>
        </w:rPr>
        <w:t>uncertainty</w:t>
      </w:r>
      <w:r w:rsidRPr="00F63BA5">
        <w:t>), relationships (</w:t>
      </w:r>
      <w:r w:rsidRPr="00F63BA5">
        <w:rPr>
          <w:i/>
          <w:iCs/>
        </w:rPr>
        <w:t>friendship</w:t>
      </w:r>
      <w:r w:rsidRPr="00F63BA5">
        <w:t>) or situations (</w:t>
      </w:r>
      <w:r w:rsidRPr="00F63BA5">
        <w:rPr>
          <w:i/>
          <w:iCs/>
        </w:rPr>
        <w:t>encounter</w:t>
      </w:r>
      <w:r w:rsidRPr="00F63BA5">
        <w:t>)</w:t>
      </w:r>
      <w:r w:rsidR="006D1767">
        <w:t>.</w:t>
      </w:r>
      <w:r w:rsidRPr="00F63BA5">
        <w:t xml:space="preserve"> At </w:t>
      </w:r>
      <w:proofErr w:type="spellStart"/>
      <w:r w:rsidRPr="00F63BA5">
        <w:t>behavioural</w:t>
      </w:r>
      <w:proofErr w:type="spellEnd"/>
      <w:r w:rsidRPr="00F63BA5">
        <w:t xml:space="preserve"> level, these distinctions are known to be most typically reflected in the so-called “concreteness effect”</w:t>
      </w:r>
      <w:r w:rsidRPr="00F63BA5">
        <w:fldChar w:fldCharType="begin" w:fldLock="1"/>
      </w:r>
      <w:r w:rsidR="00956A98">
        <w:instrText>ADDIN CSL_CITATION {"citationItems":[{"id":"ITEM-1","itemData":{"DOI":"10.2307/2220119","ISSN":"00318094","author":[{"dropping-particle":"","family":"Carruthers","given":"Peter","non-dropping-particle":"","parse-names":false,"suffix":""},{"dropping-particle":"","family":"Cummins","given":"Robert","non-dropping-particle":"","parse-names":false,"suffix":""}],"container-title":"The Philosophical Quarterly","id":"ITEM-1","issued":{"date-parts":[["1990"]]},"title":"Meaning and Mental Representation.","type":"article-journal"},"uris":["http://www.mendeley.com/documents/?uuid=27347d4b-c20c-4bdd-ab16-ed65c813b8ce"]},{"id":"ITEM-2","itemData":{"DOI":"10.1162/jocn.2007.19.8.1407","ISSN":"0898929X","abstract":"In some contexts, concrete words (CARROT) are recognized and remembered more readily than abstract words (TRUTH). This concreteness effect has historically been explained by two theories of semantic representation: dual-coding [Paivio, A. Dual coding theory: Retrospect and current status. Canadian Journal of Psychology, 45, 255-287, 1991] and context-availability [Schwanenflugel, P. J. Why are abstract concepts hard to understand? In P. J. Schwanenflugel (Ed.), The psychology of word meanings (pp. 223-250). Hillsdale, NJ: Erlbaum, 1991]. Past efforts to adjudicate between these theories using functional magnetic resonance imaging have produced mixed results. Using event-related functional magnetic resonance imaging, we re-examined this issue with a semantic categorization task that allowed for uniform semantic judgments of concrete and abstract words. The participants were 20 healthy adults. Functional analyses contrasted activation associated with concrete and abstract meanings of ambiguous and unambiguous words. Results showed that for both ambiguous and unambiguous words, abstract meanings were associated with more widespread cortical activation than concrete meanings in numerous regions associated with semantic processing, including temporal, parietal, and frontal cortices. These results are inconsistent with both dual-coding and context-availability theories, as these theories propose that the representations of abstract concepts are relatively impoverished. Our results suggest, instead, that semantic retrieval of abstract concepts involves a network of association areas. We argue that this finding is compatible with a theory of semantic representation such as Barsalou's [Barsalou, L. W. Perceptual symbol systems. Behavioral &amp; Brain Sciences, 22, 577-660, 1999] perceptual symbol systems, whereby concrete and abstract concepts are represented by similar mechanisms but with differences in focal content. © 2007 Massachusetts Institute of Technology.","author":[{"dropping-particle":"","family":"Pexman","given":"Penny M.","non-dropping-particle":"","parse-names":false,"suffix":""},{"dropping-particle":"","family":"Hargreaves","given":"Ian S.","non-dropping-particle":"","parse-names":false,"suffix":""},{"dropping-particle":"","family":"Edwards","given":"Jodi D.","non-dropping-particle":"","parse-names":false,"suffix":""},{"dropping-particle":"","family":"Henry","given":"Luke C.","non-dropping-particle":"","parse-names":false,"suffix":""},{"dropping-particle":"","family":"Goodyear","given":"Bradley G.","non-dropping-particle":"","parse-names":false,"suffix":""}],"container-title":"Journal of Cognitive Neuroscience","id":"ITEM-2","issued":{"date-parts":[["2007"]]},"title":"Neural correlates of concreteness in semantic categorization","type":"article-journal"},"uris":["http://www.mendeley.com/documents/?uuid=cea1a897-63e3-447e-bce7-09b853b6da0d"]}],"mendeley":{"formattedCitation":"&lt;sup&gt;2,3&lt;/sup&gt;","plainTextFormattedCitation":"2,3","previouslyFormattedCitation":"&lt;sup&gt;2,3&lt;/sup&gt;"},"properties":{"noteIndex":0},"schema":"https://github.com/citation-style-language/schema/raw/master/csl-citation.json"}</w:instrText>
      </w:r>
      <w:r w:rsidRPr="00F63BA5">
        <w:fldChar w:fldCharType="separate"/>
      </w:r>
      <w:r w:rsidR="00956A98" w:rsidRPr="00956A98">
        <w:rPr>
          <w:noProof/>
          <w:vertAlign w:val="superscript"/>
        </w:rPr>
        <w:t>2,3</w:t>
      </w:r>
      <w:r w:rsidRPr="00F63BA5">
        <w:fldChar w:fldCharType="end"/>
      </w:r>
      <w:r w:rsidRPr="00F63BA5">
        <w:t xml:space="preserve">. As demonstrated in a number of experiments, which used various </w:t>
      </w:r>
      <w:proofErr w:type="spellStart"/>
      <w:r w:rsidRPr="00F63BA5">
        <w:t>behavioural</w:t>
      </w:r>
      <w:proofErr w:type="spellEnd"/>
      <w:r w:rsidRPr="00F63BA5">
        <w:t xml:space="preserve"> tasks (such as word recognition, naming, lexical decision etc.), concrete concepts are better remembered</w:t>
      </w:r>
      <w:r w:rsidRPr="00F63BA5">
        <w:fldChar w:fldCharType="begin" w:fldLock="1"/>
      </w:r>
      <w:r w:rsidR="00956A98">
        <w:instrText>ADDIN CSL_CITATION {"citationItems":[{"id":"ITEM-1","itemData":{"DOI":"10.3758/BF03208259","ISSN":"0090502X","abstract":"Predictions of an automatic-imagery, strategic-imagery, and context-availability hypothesis of concreteness effects in free recall were examined. In each experiment, recall of abstract and concrete words controlled for rated context availability was compared with the typical situation in which context availability is confounded with imageability. In Experiment 1, a directed intentional-recall task produced concreteness effects in recall. Experiment 2 compared concreteness effects in recall following three orienting tasks: imagery rating, context-availability rating, and a directed intentional-memory task. Concreteness effects in the context-availability-controlled condition were found following the imagery-rating and the directed intentional-memory tasks, but not after the context-availability-rating task. In Experiment 3, subjects reported the strategies that they used to encode the list. Subjects reporting an imagery strategy showed concreteness effects for words controlled for rated context availability, but those not reporting it did not. These results support a strategic-imagery view of concreteness effects in free recall. © 1992 Psychonomic Society, Inc.","author":[{"dropping-particle":"","family":"Schwanenflugel","given":"Paula J.","non-dropping-particle":"","parse-names":false,"suffix":""},{"dropping-particle":"","family":"Akin","given":"Carolyn","non-dropping-particle":"","parse-names":false,"suffix":""},{"dropping-particle":"","family":"Luh","given":"Wei Ming","non-dropping-particle":"","parse-names":false,"suffix":""}],"container-title":"Memory &amp; Cognition","id":"ITEM-1","issued":{"date-parts":[["1992"]]},"title":"Context availability and the recall of abstract and concrete words","type":"article-journal"},"uris":["http://www.mendeley.com/documents/?uuid=956ac1e9-11e3-462d-8121-c682d601b6e4"]}],"mendeley":{"formattedCitation":"&lt;sup&gt;4&lt;/sup&gt;","plainTextFormattedCitation":"4","previouslyFormattedCitation":"&lt;sup&gt;4&lt;/sup&gt;"},"properties":{"noteIndex":0},"schema":"https://github.com/citation-style-language/schema/raw/master/csl-citation.json"}</w:instrText>
      </w:r>
      <w:r w:rsidRPr="00F63BA5">
        <w:fldChar w:fldCharType="separate"/>
      </w:r>
      <w:r w:rsidR="00956A98" w:rsidRPr="00956A98">
        <w:rPr>
          <w:noProof/>
          <w:vertAlign w:val="superscript"/>
        </w:rPr>
        <w:t>4</w:t>
      </w:r>
      <w:r w:rsidRPr="00F63BA5">
        <w:fldChar w:fldCharType="end"/>
      </w:r>
      <w:r w:rsidRPr="00F63BA5">
        <w:t>, recognized</w:t>
      </w:r>
      <w:r w:rsidRPr="00F63BA5">
        <w:fldChar w:fldCharType="begin" w:fldLock="1"/>
      </w:r>
      <w:r w:rsidR="00956A98">
        <w:instrText>ADDIN CSL_CITATION {"citationItems":[{"id":"ITEM-1","itemData":{"DOI":"10.1016/J.NEUROIMAGE.2006.06.007","ISSN":"1053-8119","abstract":"Concrete words that are readily imagined are better remembered than abstract words. Theoretical explanations for this effect either claim a dual coding of concrete words in the form of both a verbal and a sensory code (dual-coding theory), or a more accessible semantic network for concrete words than for abstract words (context-availability theory). However, the neural mechanisms of improved memory for concrete versus abstract words are poorly understood. Here, we investigated the processing of concrete and abstract words during encoding and retrieval in a recognition memory task using event-related functional magnetic resonance imaging (fMRI). As predicted, memory performance was significantly better for concrete words than for abstract words. Abstract words elicited stronger activations of the left inferior frontal cortex both during encoding and recognition than did concrete words. Stronger activation of this area was also associated with successful encoding for both abstract and concrete words. Concrete words elicited stronger activations bilaterally in the posterior inferior parietal lobe during recognition. The left parietal activation was associated with correct identification of old stimuli. The anterior precuneus, left cerebellar hemisphere and the posterior and anterior cingulate cortex showed activations both for successful recognition of concrete words and for online processing of concrete words during encoding. Additionally, we observed a correlation across subjects between brain activity in the left anterior fusiform gyrus and hippocampus during recognition of learned words and the strength of the concreteness effect. These findings support the idea of specific brain processes for concrete words, which are reactivated during successful recognition.","author":[{"dropping-particle":"","family":"Fliessbach","given":"K.","non-dropping-particle":"","parse-names":false,"suffix":""},{"dropping-particle":"","family":"Weis","given":"S.","non-dropping-particle":"","parse-names":false,"suffix":""},{"dropping-particle":"","family":"Klaver","given":"P.","non-dropping-particle":"","parse-names":false,"suffix":""},{"dropping-particle":"","family":"Elger","given":"C.E.","non-dropping-particle":"","parse-names":false,"suffix":""},{"dropping-particle":"","family":"Weber","given":"B.","non-dropping-particle":"","parse-names":false,"suffix":""}],"container-title":"NeuroImage","id":"ITEM-1","issue":"3","issued":{"date-parts":[["2006","9","1"]]},"page":"1413-1421","publisher":"Academic Press","title":"The effect of word concreteness on recognition memory","type":"article-journal","volume":"32"},"uris":["http://www.mendeley.com/documents/?uuid=f5cd9ddf-3f71-3bbd-8509-3d712ae19537"]}],"mendeley":{"formattedCitation":"&lt;sup&gt;5&lt;/sup&gt;","plainTextFormattedCitation":"5","previouslyFormattedCitation":"&lt;sup&gt;5&lt;/sup&gt;"},"properties":{"noteIndex":0},"schema":"https://github.com/citation-style-language/schema/raw/master/csl-citation.json"}</w:instrText>
      </w:r>
      <w:r w:rsidRPr="00F63BA5">
        <w:fldChar w:fldCharType="separate"/>
      </w:r>
      <w:r w:rsidR="00956A98" w:rsidRPr="00956A98">
        <w:rPr>
          <w:noProof/>
          <w:vertAlign w:val="superscript"/>
        </w:rPr>
        <w:t>5</w:t>
      </w:r>
      <w:r w:rsidRPr="00F63BA5">
        <w:fldChar w:fldCharType="end"/>
      </w:r>
      <w:r w:rsidRPr="00F63BA5">
        <w:t>, faster read and comprehended</w:t>
      </w:r>
      <w:r w:rsidRPr="00F63BA5">
        <w:fldChar w:fldCharType="begin" w:fldLock="1"/>
      </w:r>
      <w:r w:rsidR="00956A98">
        <w:instrText>ADDIN CSL_CITATION {"citationItems":[{"id":"ITEM-1","itemData":{"DOI":"10.1037/0278-7393.9.1.82","ISBN":"0278-7393","ISSN":"02787393","abstract":"Concreteness effects in terms of differential availability pf context during comprehension for abstract and concrete materials.","author":[{"dropping-particle":"","family":"Schwanenflugel","given":"Paula J.","non-dropping-particle":"","parse-names":false,"suffix":""},{"dropping-particle":"","family":"Shoben","given":"Edward J.","non-dropping-particle":"","parse-names":false,"suffix":""}],"container-title":"Journal of Experimental Psychology: Learning, Memory, and Cognition","id":"ITEM-1","issue":"1","issued":{"date-parts":[["1983"]]},"page":"82-102","title":"Differential context effects in the comprehension of abstract and concrete verbal materials","type":"article-journal","volume":"9"},"uris":["http://www.mendeley.com/documents/?uuid=d5f3cc4a-c991-4164-9212-86c09dc17279"]}],"mendeley":{"formattedCitation":"&lt;sup&gt;6&lt;/sup&gt;","plainTextFormattedCitation":"6","previouslyFormattedCitation":"&lt;sup&gt;6&lt;/sup&gt;"},"properties":{"noteIndex":0},"schema":"https://github.com/citation-style-language/schema/raw/master/csl-citation.json"}</w:instrText>
      </w:r>
      <w:r w:rsidRPr="00F63BA5">
        <w:fldChar w:fldCharType="separate"/>
      </w:r>
      <w:r w:rsidR="00956A98" w:rsidRPr="00956A98">
        <w:rPr>
          <w:noProof/>
          <w:vertAlign w:val="superscript"/>
        </w:rPr>
        <w:t>6</w:t>
      </w:r>
      <w:r w:rsidRPr="00F63BA5">
        <w:fldChar w:fldCharType="end"/>
      </w:r>
      <w:r w:rsidRPr="00F63BA5">
        <w:t>, and faster learnt</w:t>
      </w:r>
      <w:r w:rsidRPr="00F63BA5">
        <w:fldChar w:fldCharType="begin" w:fldLock="1"/>
      </w:r>
      <w:r w:rsidR="00956A98">
        <w:instrText>ADDIN CSL_CITATION {"citationItems":[{"id":"ITEM-1","itemData":{"DOI":"10.1177/0267658313512668","ISSN":"0267-6583","abstract":"In three experiments, we examine the effects of semantic context and word concreteness on the mapping of existing meanings to new words. We developed a new-word-learning paradigm in which participants were required to discover the meaning of a new-word form from a specific verbal context. The stimulus materials were manipulated according to word concreteness, context availability and semantic congruency across contexts. Overall, participants successfully learned the meaning of the new word whether it was a concrete or an abstract word. Concrete word meanings were discovered and learned faster than abstract word meanings even when matched on context availability. The present results are discussed considering the various hypotheses that have been used to try to explain the ‘concreteness effect’. We conclude that the present investigation provides new evidence that the concreteness effect observed in learning is due to the different organization of abstract and concrete conceptual information in semantic memory.","author":[{"dropping-particle":"","family":"Mestres-Missé","given":"Anna","non-dropping-particle":"","parse-names":false,"suffix":""},{"dropping-particle":"","family":"Münte","given":"Thomas F","non-dropping-particle":"","parse-names":false,"suffix":""},{"dropping-particle":"","family":"Rodriguez-Fornells","given":"Antoni","non-dropping-particle":"","parse-names":false,"suffix":""}],"container-title":"Second Language Research","id":"ITEM-1","issue":"2","issued":{"date-parts":[["2014","4","15"]]},"page":"191-223","publisher":"SAGE PublicationsSage UK: London, England","title":"Mapping concrete and abstract meanings to new words using verbal contexts","type":"article-journal","volume":"30"},"uris":["http://www.mendeley.com/documents/?uuid=54401753-0805-320b-bae2-255f91043809"]}],"mendeley":{"formattedCitation":"&lt;sup&gt;7&lt;/sup&gt;","plainTextFormattedCitation":"7","previouslyFormattedCitation":"&lt;sup&gt;7&lt;/sup&gt;"},"properties":{"noteIndex":0},"schema":"https://github.com/citation-style-language/schema/raw/master/csl-citation.json"}</w:instrText>
      </w:r>
      <w:r w:rsidRPr="00F63BA5">
        <w:fldChar w:fldCharType="separate"/>
      </w:r>
      <w:r w:rsidR="00956A98" w:rsidRPr="00956A98">
        <w:rPr>
          <w:noProof/>
          <w:vertAlign w:val="superscript"/>
        </w:rPr>
        <w:t>7</w:t>
      </w:r>
      <w:r w:rsidRPr="00F63BA5">
        <w:fldChar w:fldCharType="end"/>
      </w:r>
      <w:r w:rsidRPr="00F63BA5">
        <w:t>, as opposed to abstract ones. Numerous attempts at explaining these differences have been made, enlisting various approaches in different fields, from purely theoretical linguistic and cognitive frameworks to neuroimaging experiments. Various theoretical approaches place emphasis on different features of concept perception; among the most influential are dual coding</w:t>
      </w:r>
      <w:r w:rsidRPr="00F63BA5">
        <w:fldChar w:fldCharType="begin" w:fldLock="1"/>
      </w:r>
      <w:r w:rsidR="00956A98">
        <w:instrText>ADDIN CSL_CITATION {"citationItems":[{"id":"ITEM-1","itemData":{"ISBN":"0195362004","abstract":"\"\"Contents\"\"; \"\"1. Meta-theoretical Issues and Perspectives\"\"; \"\"2. The Concept of Representation\"\"; \"\"3. Attitudes and Approaches to Representation\"\"; \"\"4. Dual Coding Theory\"\"; \"\"5. Development of Representational Systems\"\"; \"\"6. Individual Differences\"\"; \"\"7. Meaning and Semantic Memory\"\"; \"\"8. Episodic Memory\"\"; \"\"9. Manipulation and Use of Representational Information\"\"; \"\"10. Language Comprehension and Production\"\"; \"\"11. Bilingual Cognitive Representation\"\"; \"\"12. Neuropsychological Evidence\"\"; \"\"References\"\"; \"\"Author Index\"\"; \"\"A\"\"; \"\"B\"\"; \"\"C\"\"; \"\"D\"\"; \"\"E\"\"; \"\"F\"\"; \"\"G\"\"; \"\"H\"\" \"\"I\"\"\"\"J\"\"; \"\"K\"\"; \"\"L\"\"; \"\"M\"\"; \"\"N\"\"; \"\"O\"\"; \"\"P\"\"; \"\"R\"\"; \"\"S\"\"; \"\"T\"\"; \"\"U\"\"; \"\"V\"\"; \"\"W\"\"; \"\"Y\"\"; \"\"Z\"\"; \"\"Subject Index\"\"; \"\"A\"\"; \"\"B\"\"; \"\"C\"\"; \"\"D\"\"; \"\"E\"\"; \"\"F\"\"; \"\"G\"\"; \"\"H\"\"; \"\"I\"\"; \"\"K\"\"; \"\"L\"\"; \"\"M\"\"; \"\"N\"\"; \"\"O\"\"; \"\"P\"\"; \"\"R\"\"; \"\"S\"\"; \"\"T\"\"; \"\"U\"\"; \"\"V\"\"; \"\"W\"\"","author":[{"dropping-particle":"","family":"Paivio","given":"Allan.","non-dropping-particle":"","parse-names":false,"suffix":""}],"id":"ITEM-1","issued":{"date-parts":[["1990"]]},"number-of-pages":"335","publisher":"Oxford University Press, Incorporated","title":"Mental Representations : a Dual Coding Approach.","type":"book"},"uris":["http://www.mendeley.com/documents/?uuid=1fc06bb2-4229-3ba4-a16e-83e87b736841"]}],"mendeley":{"formattedCitation":"&lt;sup&gt;8&lt;/sup&gt;","plainTextFormattedCitation":"8","previouslyFormattedCitation":"&lt;sup&gt;8&lt;/sup&gt;"},"properties":{"noteIndex":0},"schema":"https://github.com/citation-style-language/schema/raw/master/csl-citation.json"}</w:instrText>
      </w:r>
      <w:r w:rsidRPr="00F63BA5">
        <w:fldChar w:fldCharType="separate"/>
      </w:r>
      <w:r w:rsidR="00956A98" w:rsidRPr="00956A98">
        <w:rPr>
          <w:noProof/>
          <w:vertAlign w:val="superscript"/>
        </w:rPr>
        <w:t>8</w:t>
      </w:r>
      <w:r w:rsidRPr="00F63BA5">
        <w:fldChar w:fldCharType="end"/>
      </w:r>
      <w:r w:rsidRPr="00F63BA5">
        <w:t>, context availability</w:t>
      </w:r>
      <w:r w:rsidRPr="00F63BA5">
        <w:fldChar w:fldCharType="begin" w:fldLock="1"/>
      </w:r>
      <w:r w:rsidR="00956A98">
        <w:instrText>ADDIN CSL_CITATION {"citationItems":[{"id":"ITEM-1","itemData":{"DOI":"10.1037/0278-7393.9.1.82","ISBN":"0278-7393","ISSN":"02787393","abstract":"Concreteness effects in terms of differential availability pf context during comprehension for abstract and concrete materials.","author":[{"dropping-particle":"","family":"Schwanenflugel","given":"Paula J.","non-dropping-particle":"","parse-names":false,"suffix":""},{"dropping-particle":"","family":"Shoben","given":"Edward J.","non-dropping-particle":"","parse-names":false,"suffix":""}],"container-title":"Journal of Experimental Psychology: Learning, Memory, and Cognition","id":"ITEM-1","issue":"1","issued":{"date-parts":[["1983"]]},"page":"82-102","title":"Differential context effects in the comprehension of abstract and concrete verbal materials","type":"article-journal","volume":"9"},"uris":["http://www.mendeley.com/documents/?uuid=d5f3cc4a-c991-4164-9212-86c09dc17279"]}],"mendeley":{"formattedCitation":"&lt;sup&gt;6&lt;/sup&gt;","plainTextFormattedCitation":"6","previouslyFormattedCitation":"&lt;sup&gt;6&lt;/sup&gt;"},"properties":{"noteIndex":0},"schema":"https://github.com/citation-style-language/schema/raw/master/csl-citation.json"}</w:instrText>
      </w:r>
      <w:r w:rsidRPr="00F63BA5">
        <w:fldChar w:fldCharType="separate"/>
      </w:r>
      <w:r w:rsidR="00956A98" w:rsidRPr="00956A98">
        <w:rPr>
          <w:noProof/>
          <w:vertAlign w:val="superscript"/>
        </w:rPr>
        <w:t>6</w:t>
      </w:r>
      <w:r w:rsidRPr="00F63BA5">
        <w:fldChar w:fldCharType="end"/>
      </w:r>
      <w:r w:rsidRPr="00F63BA5">
        <w:t>, hierarchical and associative information processing</w:t>
      </w:r>
      <w:r w:rsidRPr="00F63BA5">
        <w:fldChar w:fldCharType="begin" w:fldLock="1"/>
      </w:r>
      <w:r w:rsidR="00956A98">
        <w:instrText>ADDIN CSL_CITATION {"citationItems":[{"id":"ITEM-1","itemData":{"DOI":"10.1080/13554790500507172","ISSN":"13554794","PMID":"16714241","abstract":"This paper presents an investigation of the hypothesis that conceptual knowledge for abstract and concrete items is underpinned by qualitatively different representational frameworks (Crutch and Warrington, 2005a). A re-analysis of the semantic reading errors of four deep dyslexic patients is presented, examining the incidence of semantically associated and semantically similar errors in response to abstract and concrete target words. The results demonstrate that abstract target words elicit a greater proportion of associative than similar errors, while concrete words show the reverse pattern. These findings provide evidence which converges with that previously documented for a semantic refractory access dysphasic to suggest that abstract concepts are represented in an associative network while concrete concepts are represented in a categorical framework.","author":[{"dropping-particle":"","family":"Crutch","given":"Sebastian J.","non-dropping-particle":"","parse-names":false,"suffix":""}],"container-title":"Neurocase","id":"ITEM-1","issue":"2","issued":{"date-parts":[["2006"]]},"page":"91-97","title":"Qualitatively different semantic representations for abstract and concrete words: Further evidence from the semantic reading errors of deep dyslexic patients","type":"article-journal","volume":"12"},"uris":["http://www.mendeley.com/documents/?uuid=348b8dc6-98ad-4f46-8180-9a08aa9f8e8f"]}],"mendeley":{"formattedCitation":"&lt;sup&gt;9&lt;/sup&gt;","plainTextFormattedCitation":"9","previouslyFormattedCitation":"&lt;sup&gt;9&lt;/sup&gt;"},"properties":{"noteIndex":0},"schema":"https://github.com/citation-style-language/schema/raw/master/csl-citation.json"}</w:instrText>
      </w:r>
      <w:r w:rsidRPr="00F63BA5">
        <w:fldChar w:fldCharType="separate"/>
      </w:r>
      <w:r w:rsidR="00956A98" w:rsidRPr="00956A98">
        <w:rPr>
          <w:noProof/>
          <w:vertAlign w:val="superscript"/>
        </w:rPr>
        <w:t>9</w:t>
      </w:r>
      <w:r w:rsidRPr="00F63BA5">
        <w:fldChar w:fldCharType="end"/>
      </w:r>
      <w:r w:rsidRPr="00F63BA5">
        <w:t xml:space="preserve"> theories, and some others</w:t>
      </w:r>
      <w:r w:rsidRPr="00F63BA5">
        <w:fldChar w:fldCharType="begin" w:fldLock="1"/>
      </w:r>
      <w:r w:rsidR="00956A98">
        <w:instrText>ADDIN CSL_CITATION {"citationItems":[{"id":"ITEM-1","itemData":{"DOI":"10.3389/fnhum.2019.00267","ISSN":"16625161","abstract":"The nature of abstract and concrete semantics and differences between them have remained a debated issue in psycholinguistic and cognitive studies for decades. Most of the available behavioral and neuroimaging studies reveal distinctions between these two types of semantics, typically associated with a so-called “concreteness effect.” Many attempts have been made to explain these differences using various approaches, from purely theoretical linguistic and cognitive frameworks to neuroimaging experiments. In this brief overview, we will try to provide a snapshot of these diverse views and relationships between them and highlight the crucial issues preventing this problem from being solved. We will argue that one potentially beneficial way forward is to identify the neural mechanisms underpinning acquisition of the different types of semantics (e.g., by using neurostimulation techniques to establish causal relationships), which may help explain the distinctions found between the processing of concrete and abstract semantics.","author":[{"dropping-particle":"","family":"Mkrtychian","given":"Nadezhda","non-dropping-particle":"","parse-names":false,"suffix":""},{"dropping-particle":"","family":"Blagovechtchenski","given":"Evgeny","non-dropping-particle":"","parse-names":false,"suffix":""},{"dropping-particle":"","family":"Kurmakaeva","given":"Diana","non-dropping-particle":"","parse-names":false,"suffix":""},{"dropping-particle":"","family":"Gnedykh","given":"Daria","non-dropping-particle":"","parse-names":false,"suffix":""},{"dropping-particle":"","family":"Kostromina","given":"Svetlana","non-dropping-particle":"","parse-names":false,"suffix":""},{"dropping-particle":"","family":"Shtyrov","given":"Yury","non-dropping-particle":"","parse-names":false,"suffix":""}],"container-title":"Frontiers in Human Neuroscience","id":"ITEM-1","issued":{"date-parts":[["2019"]]},"title":"Concrete vs. Abstract Semantics: From Mental Representations to Functional Brain Mapping","type":"article"},"uris":["http://www.mendeley.com/documents/?uuid=4f0dfa99-89a4-41dd-998a-2e6c8eb49345"]}],"mendeley":{"formattedCitation":"&lt;sup&gt;10&lt;/sup&gt;","plainTextFormattedCitation":"10","previouslyFormattedCitation":"&lt;sup&gt;10&lt;/sup&gt;"},"properties":{"noteIndex":0},"schema":"https://github.com/citation-style-language/schema/raw/master/csl-citation.json"}</w:instrText>
      </w:r>
      <w:r w:rsidRPr="00F63BA5">
        <w:fldChar w:fldCharType="separate"/>
      </w:r>
      <w:r w:rsidR="00956A98" w:rsidRPr="00956A98">
        <w:rPr>
          <w:noProof/>
          <w:vertAlign w:val="superscript"/>
        </w:rPr>
        <w:t>10</w:t>
      </w:r>
      <w:r w:rsidRPr="00F63BA5">
        <w:fldChar w:fldCharType="end"/>
      </w:r>
      <w:r w:rsidRPr="00F63BA5">
        <w:t>.</w:t>
      </w:r>
    </w:p>
    <w:p w14:paraId="3E0ACF14" w14:textId="57E4F22E" w:rsidR="00F63BA5" w:rsidRPr="00F63BA5" w:rsidRDefault="00F63BA5" w:rsidP="00F63BA5">
      <w:pPr>
        <w:pStyle w:val="a3"/>
        <w:spacing w:before="102" w:line="249" w:lineRule="auto"/>
        <w:ind w:left="126" w:right="138" w:firstLine="7"/>
        <w:jc w:val="both"/>
      </w:pPr>
      <w:r w:rsidRPr="00F63BA5">
        <w:t>Investigation of differences between the processing of abstract and concrete semantics is of interest not only for theoretical studies of language but also for understanding how complex cognitive phenomena are implemented at the neural level. Neuroimaging data seem to indicate that the processing of concrete and abstract words involves different brain areas, at least in part, as demonstrated in EEG</w:t>
      </w:r>
      <w:r w:rsidRPr="00F63BA5">
        <w:fldChar w:fldCharType="begin" w:fldLock="1"/>
      </w:r>
      <w:r w:rsidR="00956A98">
        <w:instrText>ADDIN CSL_CITATION {"citationItems":[{"id":"ITEM-1","itemData":{"ISSN":"0278-7393","PMID":"10368929","abstract":"Event-related potentials were recorded in 2 experiments while participants read sentences in a word-by-word congruency judgment task. Sentence final words were either congruent, semantically anomalous (Experiments 1 and 2), or neutral (Experiment 2) with respect to sentence context. Half of all final words referred to concrete and half to abstract concepts. A different scalp distribution of the N400 to concrete and abstract final words was found for anomalous and neutral, but not congruent sentences. Although the interaction of context and concreteness is consistent with the context-availability model, the differential scalp distribution of effects for concrete and abstract words, as well as larger context effects for concrete words, was interpreted as being more consistent with an extended dual-code account of semantic processing.","author":[{"dropping-particle":"","family":"Holcomb","given":"P J","non-dropping-particle":"","parse-names":false,"suffix":""},{"dropping-particle":"","family":"Kounios","given":"J","non-dropping-particle":"","parse-names":false,"suffix":""},{"dropping-particle":"","family":"Anderson","given":"J E","non-dropping-particle":"","parse-names":false,"suffix":""},{"dropping-particle":"","family":"West","given":"W C","non-dropping-particle":"","parse-names":false,"suffix":""}],"container-title":"Journal of experimental psychology. Learning, memory, and cognition","id":"ITEM-1","issue":"3","issued":{"date-parts":[["1999","5"]]},"page":"721-42","title":"Dual-coding, context-availability, and concreteness effects in sentence comprehension: an electrophysiological investigation.","type":"article-journal","volume":"25"},"uris":["http://www.mendeley.com/documents/?uuid=f87e7212-e7f4-303e-a6f5-50a9d8aac8d9"]},{"id":"ITEM-2","itemData":{"DOI":"10.1038/s41598-018-25723-y","ISSN":"20452322","abstract":"The processing of word associations in sentence context depends on several factors. EEG studies have shown that when the expectation of the upcoming word is high (high semantic constraint), the within-sentence word association plays a negligible role, whereas in the opposite case, when there is no expectation (as in pseudo-sentences), the role of word association becomes more pronounced. However, what happens when the expectations are not high (mild to moderate semantic constraint) is not yet clear. By adopting a cross-factorial design, crossing sentence congruity with within-sentence word association, our EEG recordings show that association comes into play during semantic processing of the word only when the sentence is meaningless. We also performed an exploratory source localization analysis of our EEG recordings to chart the brain regions putatively implicated in processing the said factors and showed its complementarity to EEG temporal analysis. This study furthers our knowledge on sentence processing and the brain networks involved in it.","author":[{"dropping-particle":"","family":"Khachatryan","given":"Elvira","non-dropping-particle":"","parse-names":false,"suffix":""},{"dropping-particle":"","family":"Hnazaee","given":"Mansoureh Fahimi","non-dropping-particle":"","parse-names":false,"suffix":""},{"dropping-particle":"","family":"Hulle","given":"Marc M.","non-dropping-particle":"Van","parse-names":false,"suffix":""}],"container-title":"Scientific Reports","id":"ITEM-2","issued":{"date-parts":[["2018"]]},"title":"Effect of word association on linguistic event-related potentials in moderately to mildly constraining sentences","type":"article-journal"},"uris":["http://www.mendeley.com/documents/?uuid=73934335-c4a7-4770-a287-1e12d3920a7c"]}],"mendeley":{"formattedCitation":"&lt;sup&gt;11,12&lt;/sup&gt;","plainTextFormattedCitation":"11,12","previouslyFormattedCitation":"&lt;sup&gt;11,12&lt;/sup&gt;"},"properties":{"noteIndex":0},"schema":"https://github.com/citation-style-language/schema/raw/master/csl-citation.json"}</w:instrText>
      </w:r>
      <w:r w:rsidRPr="00F63BA5">
        <w:fldChar w:fldCharType="separate"/>
      </w:r>
      <w:r w:rsidR="00956A98" w:rsidRPr="00956A98">
        <w:rPr>
          <w:noProof/>
          <w:vertAlign w:val="superscript"/>
        </w:rPr>
        <w:t>11,12</w:t>
      </w:r>
      <w:r w:rsidRPr="00F63BA5">
        <w:fldChar w:fldCharType="end"/>
      </w:r>
      <w:r w:rsidRPr="00F63BA5">
        <w:t xml:space="preserve"> and fMRI</w:t>
      </w:r>
      <w:r w:rsidRPr="00F63BA5">
        <w:fldChar w:fldCharType="begin" w:fldLock="1"/>
      </w:r>
      <w:r w:rsidR="00956A98">
        <w:instrText>ADDIN CSL_CITATION {"citationItems":[{"id":"ITEM-1","itemData":{"DOI":"10.1016/j.neuroimage.2018.04.021","ISSN":"10959572","abstract":"Evidence from both neuropsychology and neuroimaging suggests that different types of information are necessary for representing and processing concrete and abstract word meanings. Both abstract and concrete concepts, however, conjointly rely on perceptual, verbal and contextual knowledge, with abstract concepts characterized by low values of imageability (IMG) (low sensory-motor grounding) and low context availability (CA) (more difficult to contextualize). Imaging studies supporting differences between abstract and concrete concepts show a greater recruitment of the left inferior frontal gyrus (LIFG) for abstract concepts, which has been attributed either to the representation of abstract-specific semantic knowledge or to the request for more executive control than in the case of concrete concepts. We conducted an fMRI study on 27 participants, using a lexical decision task involving both abstract and concrete words, whose IMG and CA values were explicitly modelled in separate parametric analyses. The LIFG was significantly more activated for abstract than for concrete words, and a conjunction analysis showed a common activation for words with low IMG or low CA only in the LIFG, in the same area reported for abstract words. A regional template map of brain activations was then traced for words with low IMG or low CA, and BOLD regional time-series were extracted and correlated with the specific LIFG neural activity elicited for abstract words. The regions associated to low IMG, which were functionally correlated with LIFG, were mainly in the left hemisphere, while those associated with low CA were in the right hemisphere. Finally, in order to reveal which LIFG-related network increased its connectivity with decreases of IMG or CA, we conducted generalized psychophysiological interaction analyses. The connectivity strength values extracted from each region connected with the LIFG were correlated with specific LIFG neural activity for abstract words, and a regression analysis was conducted to highlight which areas recruited by low IMG or low CA predicted the greater activation of the IFG for abstract concepts. Only the left middle temporal gyrus/angular gyrus, known to be involved in semantic processing, was a significant predictor of LIFG activity differentiating abstract from concrete words. The results show that the abstract conceptual processing requires the interplay of multiple brain regions, necessary for both the intrinsic and extrinsic properties…","author":[{"dropping-particle":"","family":"Rosa","given":"Pasquale Anthony","non-dropping-particle":"Della","parse-names":false,"suffix":""},{"dropping-particle":"","family":"Catricalà","given":"Eleonora","non-dropping-particle":"","parse-names":false,"suffix":""},{"dropping-particle":"","family":"Canini","given":"Matteo","non-dropping-particle":"","parse-names":false,"suffix":""},{"dropping-particle":"","family":"Vigliocco","given":"Gabriella","non-dropping-particle":"","parse-names":false,"suffix":""},{"dropping-particle":"","family":"Cappa","given":"Stefano F.","non-dropping-particle":"","parse-names":false,"suffix":""}],"container-title":"NeuroImage","id":"ITEM-1","issued":{"date-parts":[["2018"]]},"title":"The left inferior frontal gyrus: A neural crossroads between abstract and concrete knowledge","type":"article-journal"},"uris":["http://www.mendeley.com/documents/?uuid=8436c23f-eabc-4f79-8e01-13aba562089f"]},{"id":"ITEM-2","itemData":{"DOI":"10.1016/j.bandl.2014.03.001","ISSN":"10902155","abstract":"Noun/verb dissociations in the literature defy interpretation due to the confound between lexical category and semantic meaning; nouns and verbs typically describe concrete objects and actions. Abstract words, pertaining to neither, are a critical test case: dissociations along lexical-grammatical lines would support models purporting lexical category as the principle governing brain organisation, whilst semantic models predict dissociation between concrete words but not abstract items. During fMRI scanning, participants read orthogonalised word categories of nouns and verbs, with or without concrete, sensorimotor meaning. Analysis of inferior frontal/insula, precentral and central areas revealed an interaction between lexical class and semantic factors with clear category differences between concrete nouns and verbs but not abstract ones. Though the brain stores the combinatorial and lexical-grammatical properties of words, our data show that topographical differences in brain activation, especially in the motor system and inferior frontal cortex, are driven by semantics and not by lexical class. © 2014 The Authors.","author":[{"dropping-particle":"","family":"Moseley","given":"Rachel L.","non-dropping-particle":"","parse-names":false,"suffix":""},{"dropping-particle":"","family":"Pulvermüller","given":"Friedemann","non-dropping-particle":"","parse-names":false,"suffix":""}],"container-title":"Brain and Language","id":"ITEM-2","issued":{"date-parts":[["2014"]]},"title":"Nouns, verbs, objects, actions, and abstractions: Local fMRI activity indexes semantics, not lexical categories","type":"article-journal"},"uris":["http://www.mendeley.com/documents/?uuid=9f0189f0-8ee8-4b5b-889b-d2563c765abe"]},{"id":"ITEM-3","itemData":{"DOI":"10.1016/j.cortex.2017.10.021","ISSN":"19738102","abstract":"Previous research showed that modality-preferential sensorimotor areas are relevant for processing concrete words used to speak about actions. However, whether modality-preferential areas also play a role for abstract words is still under debate. Whereas recent functional magnetic resonance imaging (fMRI) studies suggest an involvement of motor cortex in processing the meaning of abstract emotion words as, for example, ‘love’, other non-emotional abstract words, in particular ‘mental words’, such as ‘thought’ or ‘logic’, are believed to engage ‘amodal’ semantic systems only. In the present event-related fMRI experiment, subjects passively read abstract emotional and mental nouns along with concrete action related words. Contrary to expectation, the results indicate a specific involvement of face motor areas in the processing of mental nouns, resembling that seen for face related action words. This result was confirmed when subject-specific regions of interest (ROIs) defined by motor localizers were used. We conclude that a role of motor systems in semantic processing is not restricted to concrete words but extends to at least some abstract mental symbols previously thought to be entirely ‘disembodied’ and divorced from semantically related sensorimotor processing. Implications for neurocognitive theories of semantics and clinical applications will be highlighted, paying specific attention to the role of brain activations as indexes of cognitive processes and their relationships to ‘causal’ studies addressing lesion and transcranial magnetic stimulation (TMS) effects. Possible implications for clinical practice, in particular speech language therapy, are discussed in closing.","author":[{"dropping-particle":"","family":"Dreyer","given":"Felix R.","non-dropping-particle":"","parse-names":false,"suffix":""},{"dropping-particle":"","family":"Pulvermüller","given":"Friedemann","non-dropping-particle":"","parse-names":false,"suffix":""}],"container-title":"Cortex","id":"ITEM-3","issued":{"date-parts":[["2018"]]},"title":"Abstract semantics in the motor system? – An event-related fMRI study on passive reading of semantic word categories carrying abstract emotional and mental meaning","type":"article-journal"},"uris":["http://www.mendeley.com/documents/?uuid=aad226a8-3e9d-4c96-a5fb-ec486664f708"]}],"mendeley":{"formattedCitation":"&lt;sup&gt;13–15&lt;/sup&gt;","plainTextFormattedCitation":"13–15","previouslyFormattedCitation":"&lt;sup&gt;13–15&lt;/sup&gt;"},"properties":{"noteIndex":0},"schema":"https://github.com/citation-style-language/schema/raw/master/csl-citation.json"}</w:instrText>
      </w:r>
      <w:r w:rsidRPr="00F63BA5">
        <w:fldChar w:fldCharType="separate"/>
      </w:r>
      <w:r w:rsidR="00956A98" w:rsidRPr="00956A98">
        <w:rPr>
          <w:noProof/>
          <w:vertAlign w:val="superscript"/>
        </w:rPr>
        <w:t>13–15</w:t>
      </w:r>
      <w:r w:rsidRPr="00F63BA5">
        <w:fldChar w:fldCharType="end"/>
      </w:r>
      <w:r w:rsidRPr="00F63BA5">
        <w:t xml:space="preserve"> studies</w:t>
      </w:r>
      <w:r w:rsidR="00FB6382">
        <w:t xml:space="preserve"> </w:t>
      </w:r>
      <w:r w:rsidR="00FB6382" w:rsidRPr="004F692B">
        <w:rPr>
          <w:u w:val="single"/>
        </w:rPr>
        <w:t>supporting</w:t>
      </w:r>
      <w:r w:rsidR="004335DC" w:rsidRPr="004F692B">
        <w:rPr>
          <w:u w:val="single"/>
        </w:rPr>
        <w:t xml:space="preserve"> </w:t>
      </w:r>
      <w:r w:rsidR="00FB6382" w:rsidRPr="004F692B">
        <w:rPr>
          <w:u w:val="single"/>
        </w:rPr>
        <w:t xml:space="preserve">the </w:t>
      </w:r>
      <w:r w:rsidR="004335DC" w:rsidRPr="004F692B">
        <w:rPr>
          <w:u w:val="single"/>
        </w:rPr>
        <w:t>extended</w:t>
      </w:r>
      <w:r w:rsidR="004335DC" w:rsidRPr="00BE0254">
        <w:rPr>
          <w:u w:val="single"/>
        </w:rPr>
        <w:t xml:space="preserve"> dual-coding theory</w:t>
      </w:r>
      <w:r w:rsidR="00F95DDC">
        <w:rPr>
          <w:u w:val="single"/>
        </w:rPr>
        <w:fldChar w:fldCharType="begin" w:fldLock="1"/>
      </w:r>
      <w:r w:rsidR="00356A19">
        <w:rPr>
          <w:u w:val="single"/>
        </w:rPr>
        <w:instrText>ADDIN CSL_CITATION {"citationItems":[{"id":"ITEM-1","itemData":{"ISSN":"0278-7393","PMID":"10368929","abstract":"Event-related potentials were recorded in 2 experiments while participants read sentences in a word-by-word congruency judgment task. Sentence final words were either congruent, semantically anomalous (Experiments 1 and 2), or neutral (Experiment 2) with respect to sentence context. Half of all final words referred to concrete and half to abstract concepts. A different scalp distribution of the N400 to concrete and abstract final words was found for anomalous and neutral, but not congruent sentences. Although the interaction of context and concreteness is consistent with the context-availability model, the differential scalp distribution of effects for concrete and abstract words, as well as larger context effects for concrete words, was interpreted as being more consistent with an extended dual-code account of semantic processing.","author":[{"dropping-particle":"","family":"Holcomb","given":"P J","non-dropping-particle":"","parse-names":false,"suffix":""},{"dropping-particle":"","family":"Kounios","given":"J","non-dropping-particle":"","parse-names":false,"suffix":""},{"dropping-particle":"","family":"Anderson","given":"J E","non-dropping-particle":"","parse-names":false,"suffix":""},{"dropping-particle":"","family":"West","given":"W C","non-dropping-particle":"","parse-names":false,"suffix":""}],"container-title":"Journal of experimental psychology. Learning, memory, and cognition","id":"ITEM-1","issue":"3","issued":{"date-parts":[["1999","5"]]},"page":"721-42","title":"Dual-coding, context-availability, and concreteness effects in sentence comprehension: an electrophysiological investigation.","type":"article-journal","volume":"25"},"uris":["http://www.mendeley.com/documents/?uuid=f87e7212-e7f4-303e-a6f5-50a9d8aac8d9"]}],"mendeley":{"formattedCitation":"&lt;sup&gt;11&lt;/sup&gt;","plainTextFormattedCitation":"11","previouslyFormattedCitation":"&lt;sup&gt;11&lt;/sup&gt;"},"properties":{"noteIndex":0},"schema":"https://github.com/citation-style-language/schema/raw/master/csl-citation.json"}</w:instrText>
      </w:r>
      <w:r w:rsidR="00F95DDC">
        <w:rPr>
          <w:u w:val="single"/>
        </w:rPr>
        <w:fldChar w:fldCharType="separate"/>
      </w:r>
      <w:r w:rsidR="00F95DDC" w:rsidRPr="00F95DDC">
        <w:rPr>
          <w:noProof/>
          <w:vertAlign w:val="superscript"/>
        </w:rPr>
        <w:t>11</w:t>
      </w:r>
      <w:r w:rsidR="00F95DDC">
        <w:rPr>
          <w:u w:val="single"/>
        </w:rPr>
        <w:fldChar w:fldCharType="end"/>
      </w:r>
      <w:r w:rsidRPr="00BE0254">
        <w:rPr>
          <w:u w:val="single"/>
        </w:rPr>
        <w:t xml:space="preserve">. </w:t>
      </w:r>
      <w:r w:rsidR="006D1767" w:rsidRPr="00BE0254">
        <w:rPr>
          <w:rFonts w:cstheme="minorHAnsi"/>
          <w:u w:val="single"/>
          <w:lang w:val="en-GB"/>
        </w:rPr>
        <w:t>The available neuroscience-based theoretical accounts suggest that, whereas concrete word representations are more distributed and involve</w:t>
      </w:r>
      <w:r w:rsidR="00A75EAA" w:rsidRPr="00BE0254">
        <w:rPr>
          <w:rFonts w:cstheme="minorHAnsi"/>
          <w:u w:val="single"/>
          <w:lang w:val="en-GB"/>
        </w:rPr>
        <w:t>,</w:t>
      </w:r>
      <w:r w:rsidR="006D1767" w:rsidRPr="00BE0254">
        <w:rPr>
          <w:rFonts w:cstheme="minorHAnsi"/>
          <w:u w:val="single"/>
          <w:lang w:val="en-GB"/>
        </w:rPr>
        <w:t xml:space="preserve"> </w:t>
      </w:r>
      <w:r w:rsidR="00A75EAA" w:rsidRPr="00BE0254">
        <w:rPr>
          <w:rFonts w:cstheme="minorHAnsi"/>
          <w:u w:val="single"/>
          <w:lang w:val="en-GB"/>
        </w:rPr>
        <w:t xml:space="preserve">depending on </w:t>
      </w:r>
      <w:r w:rsidR="009E4DE5">
        <w:rPr>
          <w:rFonts w:cstheme="minorHAnsi"/>
          <w:u w:val="single"/>
          <w:lang w:val="en-GB"/>
        </w:rPr>
        <w:t xml:space="preserve">the </w:t>
      </w:r>
      <w:r w:rsidR="00A75EAA" w:rsidRPr="00BE0254">
        <w:rPr>
          <w:rFonts w:cstheme="minorHAnsi"/>
          <w:u w:val="single"/>
          <w:lang w:val="en-GB"/>
        </w:rPr>
        <w:t xml:space="preserve">exact semantic reference, different </w:t>
      </w:r>
      <w:r w:rsidR="006D1767" w:rsidRPr="00BE0254">
        <w:rPr>
          <w:rFonts w:cstheme="minorHAnsi"/>
          <w:u w:val="single"/>
          <w:lang w:val="en-GB"/>
        </w:rPr>
        <w:t>modality-specif</w:t>
      </w:r>
      <w:r w:rsidR="00A75EAA" w:rsidRPr="00BE0254">
        <w:rPr>
          <w:rFonts w:cstheme="minorHAnsi"/>
          <w:u w:val="single"/>
          <w:lang w:val="en-GB"/>
        </w:rPr>
        <w:t>i</w:t>
      </w:r>
      <w:r w:rsidR="006D1767" w:rsidRPr="00BE0254">
        <w:rPr>
          <w:rFonts w:cstheme="minorHAnsi"/>
          <w:u w:val="single"/>
          <w:lang w:val="en-GB"/>
        </w:rPr>
        <w:t>c areas, the abstract semantics relies more on the core language areas of the left hemisphere</w:t>
      </w:r>
      <w:r w:rsidR="00A75EAA" w:rsidRPr="00BE0254">
        <w:rPr>
          <w:rFonts w:cstheme="minorHAnsi"/>
          <w:u w:val="single"/>
          <w:lang w:val="en-GB"/>
        </w:rPr>
        <w:t>,</w:t>
      </w:r>
      <w:r w:rsidR="006D1767" w:rsidRPr="00BE0254">
        <w:rPr>
          <w:rFonts w:cstheme="minorHAnsi"/>
          <w:u w:val="single"/>
          <w:lang w:val="en-GB"/>
        </w:rPr>
        <w:t xml:space="preserve"> i.e. temporo-parietal and inferior-frontal neocortex</w:t>
      </w:r>
      <w:r w:rsidR="00356A19">
        <w:rPr>
          <w:rFonts w:cstheme="minorHAnsi"/>
          <w:u w:val="single"/>
          <w:lang w:val="en-GB"/>
        </w:rPr>
        <w:fldChar w:fldCharType="begin" w:fldLock="1"/>
      </w:r>
      <w:r w:rsidR="00F86F06">
        <w:rPr>
          <w:rFonts w:cstheme="minorHAnsi"/>
          <w:u w:val="single"/>
          <w:lang w:val="en-GB"/>
        </w:rPr>
        <w:instrText>ADDIN CSL_CITATION {"citationItems":[{"id":"ITEM-1","itemData":{"DOI":"10.1162/0898929054021102","ISSN":"0898929X","PMID":"16021798","abstract":"Behavioral and neurophysiological effects of word imageability and concreteness remain a topic of central interest in cognitive neuroscicnce and could provide essential clues for understanding how the brain processes conceptual knowledge. We examined these effects using event-related functional magnetic resonance imaging while participants identified concrete and abstract words. Relative to nonwords, concrete and abstract words both activated a left-lateralized network of multimodal association areas previously linked with verbal semantic processing. Areas in the left lateral temporal lobe were equally activated by both word types, whereas bilateral regions including the angular gyrus and the dorsal prefrontal cortex were more strongly engaged by concrete words. Relative to concrete words, abstract words activated left inferior frontal regions previously linked with phonological and verbal working memory processes. The results show overlapping but partly distinct neural systems for processing concrete and abstract concepts, with greater involvement of bilateral association areas during concrete word processing, and processing of abstract concepts almost exclusively by the left hemisphere. © 2005 Massachusetts Institute of Technology.","author":[{"dropping-particle":"","family":"Binder","given":"Jeffrey R.","non-dropping-particle":"","parse-names":false,"suffix":""},{"dropping-particle":"","family":"Westbury","given":"C. F.","non-dropping-particle":"","parse-names":false,"suffix":""},{"dropping-particle":"","family":"McKiernan","given":"K. A.","non-dropping-particle":"","parse-names":false,"suffix":""},{"dropping-particle":"","family":"Possing","given":"E. T.","non-dropping-particle":"","parse-names":false,"suffix":""},{"dropping-particle":"","family":"Medler","given":"D. A.","non-dropping-particle":"","parse-names":false,"suffix":""}],"container-title":"Journal of Cognitive Neuroscience","id":"ITEM-1","issued":{"date-parts":[["2005"]]},"title":"Distinct brain systems for processing concrete and abstract concepts","type":"article-journal"},"uris":["http://www.mendeley.com/documents/?uuid=5e44ad8e-33cd-4614-b195-e0f848ce4029"]},{"id":"ITEM-2","itemData":{"DOI":"10.1016/J.NEUROIMAGE.2006.06.007","ISSN":"1053-8119","abstract":"Concrete words that are readily imagined are better remembered than abstract words. Theoretical explanations for this effect either claim a dual coding of concrete words in the form of both a verbal and a sensory code (dual-coding theory), or a more accessible semantic network for concrete words than for abstract words (context-availability theory). However, the neural mechanisms of improved memory for concrete versus abstract words are poorly understood. Here, we investigated the processing of concrete and abstract words during encoding and retrieval in a recognition memory task using event-related functional magnetic resonance imaging (fMRI). As predicted, memory performance was significantly better for concrete words than for abstract words. Abstract words elicited stronger activations of the left inferior frontal cortex both during encoding and recognition than did concrete words. Stronger activation of this area was also associated with successful encoding for both abstract and concrete words. Concrete words elicited stronger activations bilaterally in the posterior inferior parietal lobe during recognition. The left parietal activation was associated with correct identification of old stimuli. The anterior precuneus, left cerebellar hemisphere and the posterior and anterior cingulate cortex showed activations both for successful recognition of concrete words and for online processing of concrete words during encoding. Additionally, we observed a correlation across subjects between brain activity in the left anterior fusiform gyrus and hippocampus during recognition of learned words and the strength of the concreteness effect. These findings support the idea of specific brain processes for concrete words, which are reactivated during successful recognition.","author":[{"dropping-particle":"","family":"Fliessbach","given":"K.","non-dropping-particle":"","parse-names":false,"suffix":""},{"dropping-particle":"","family":"Weis","given":"S.","non-dropping-particle":"","parse-names":false,"suffix":""},{"dropping-particle":"","family":"Klaver","given":"P.","non-dropping-particle":"","parse-names":false,"suffix":""},{"dropping-particle":"","family":"Elger","given":"C.E.","non-dropping-particle":"","parse-names":false,"suffix":""},{"dropping-particle":"","family":"Weber","given":"B.","non-dropping-particle":"","parse-names":false,"suffix":""}],"container-title":"NeuroImage","id":"ITEM-2","issue":"3","issued":{"date-parts":[["2006","9","1"]]},"page":"1413-1421","publisher":"Academic Press","title":"The effect of word concreteness on recognition memory","type":"article-journal","volume":"32"},"uris":["http://www.mendeley.com/documents/?uuid=f5cd9ddf-3f71-3bbd-8509-3d712ae19537"]},{"id":"ITEM-3","itemData":{"DOI":"10.1162/jocn.2007.19.8.1407","ISSN":"0898929X","abstract":"In some contexts, concrete words (CARROT) are recognized and remembered more readily than abstract words (TRUTH). This concreteness effect has historically been explained by two theories of semantic representation: dual-coding [Paivio, A. Dual coding theory: Retrospect and current status. Canadian Journal of Psychology, 45, 255-287, 1991] and context-availability [Schwanenflugel, P. J. Why are abstract concepts hard to understand? In P. J. Schwanenflugel (Ed.), The psychology of word meanings (pp. 223-250). Hillsdale, NJ: Erlbaum, 1991]. Past efforts to adjudicate between these theories using functional magnetic resonance imaging have produced mixed results. Using event-related functional magnetic resonance imaging, we re-examined this issue with a semantic categorization task that allowed for uniform semantic judgments of concrete and abstract words. The participants were 20 healthy adults. Functional analyses contrasted activation associated with concrete and abstract meanings of ambiguous and unambiguous words. Results showed that for both ambiguous and unambiguous words, abstract meanings were associated with more widespread cortical activation than concrete meanings in numerous regions associated with semantic processing, including temporal, parietal, and frontal cortices. These results are inconsistent with both dual-coding and context-availability theories, as these theories propose that the representations of abstract concepts are relatively impoverished. Our results suggest, instead, that semantic retrieval of abstract concepts involves a network of association areas. We argue that this finding is compatible with a theory of semantic representation such as Barsalou's [Barsalou, L. W. Perceptual symbol systems. Behavioral &amp; Brain Sciences, 22, 577-660, 1999] perceptual symbol systems, whereby concrete and abstract concepts are represented by similar mechanisms but with differences in focal content. © 2007 Massachusetts Institute of Technology.","author":[{"dropping-particle":"","family":"Pexman","given":"Penny M.","non-dropping-particle":"","parse-names":false,"suffix":""},{"dropping-particle":"","family":"Hargreaves","given":"Ian S.","non-dropping-particle":"","parse-names":false,"suffix":""},{"dropping-particle":"","family":"Edwards","given":"Jodi D.","non-dropping-particle":"","parse-names":false,"suffix":""},{"dropping-particle":"","family":"Henry","given":"Luke C.","non-dropping-particle":"","parse-names":false,"suffix":""},{"dropping-particle":"","family":"Goodyear","given":"Bradley G.","non-dropping-particle":"","parse-names":false,"suffix":""}],"container-title":"Journal of Cognitive Neuroscience","id":"ITEM-3","issued":{"date-parts":[["2007"]]},"title":"Neural correlates of concreteness in semantic categorization","type":"article-journal"},"uris":["http://www.mendeley.com/documents/?uuid=cea1a897-63e3-447e-bce7-09b853b6da0d"]}],"mendeley":{"formattedCitation":"&lt;sup&gt;3,5,16&lt;/sup&gt;","plainTextFormattedCitation":"3,5,16","previouslyFormattedCitation":"&lt;sup&gt;3,5,16&lt;/sup&gt;"},"properties":{"noteIndex":0},"schema":"https://github.com/citation-style-language/schema/raw/master/csl-citation.json"}</w:instrText>
      </w:r>
      <w:r w:rsidR="00356A19">
        <w:rPr>
          <w:rFonts w:cstheme="minorHAnsi"/>
          <w:u w:val="single"/>
          <w:lang w:val="en-GB"/>
        </w:rPr>
        <w:fldChar w:fldCharType="separate"/>
      </w:r>
      <w:r w:rsidR="00356A19" w:rsidRPr="00356A19">
        <w:rPr>
          <w:rFonts w:cstheme="minorHAnsi"/>
          <w:noProof/>
          <w:vertAlign w:val="superscript"/>
          <w:lang w:val="en-GB"/>
        </w:rPr>
        <w:t>3,5,16</w:t>
      </w:r>
      <w:r w:rsidR="00356A19">
        <w:rPr>
          <w:rFonts w:cstheme="minorHAnsi"/>
          <w:u w:val="single"/>
          <w:lang w:val="en-GB"/>
        </w:rPr>
        <w:fldChar w:fldCharType="end"/>
      </w:r>
      <w:r w:rsidR="006D1767" w:rsidRPr="00BE0254">
        <w:rPr>
          <w:rFonts w:cstheme="minorHAnsi"/>
          <w:u w:val="single"/>
          <w:lang w:val="en-GB"/>
        </w:rPr>
        <w:t>.</w:t>
      </w:r>
      <w:r w:rsidR="006D1767" w:rsidRPr="00A81BC1">
        <w:rPr>
          <w:rFonts w:cstheme="minorHAnsi"/>
          <w:lang w:val="en-GB"/>
        </w:rPr>
        <w:t xml:space="preserve"> </w:t>
      </w:r>
      <w:r w:rsidRPr="00F63BA5">
        <w:t>However, brain activation patterns as such do not necessarily indicate that a particular area is necessary for coding certain information, and the differences in activations may be due to secondary phenomena rather than the key underlying mechanisms</w:t>
      </w:r>
      <w:r w:rsidRPr="00F63BA5">
        <w:fldChar w:fldCharType="begin" w:fldLock="1"/>
      </w:r>
      <w:r w:rsidR="00F86F06">
        <w:instrText>ADDIN CSL_CITATION {"citationItems":[{"id":"ITEM-1","itemData":{"DOI":"10.1371/journal.pcbi.1005799","ISSN":"15537358","abstract":"When we perform a cognitive task, multiple brain regions are engaged. Understanding how these regions interact is a fundamental step to uncover the neural bases of behavior. Most research on the interactions between brain regions has focused on the univariate responses in the regions. However, fine grained patterns of response encode important information, as shown by multivariate pattern analysis. In the present article, we introduce and apply multivariate pattern dependence (MVPD): a technique to study the statistical dependence between brain regions in humans in terms of the multivariate relations between their patterns of responses. MVPD characterizes the responses in each brain region as trajectories in region-specific multidimensional spaces, and models the multivariate relationship between these trajectories. We applied MVPD to the posterior superior temporal sulcus (pSTS) and to the fusiform face area (FFA), using a searchlight approach to reveal interactions between these seed regions and the rest of the brain. Across two different experiments, MVPD identified significant statistical dependence not detected by standard functional connectivity. Additionally, MVPD outperformed univariate connectivity in its ability to explain independent variance in the responses of individual voxels. In the end, MVPD uncovered different connectivity profiles associated with different representational subspaces of FFA: the first principal component of FFA shows differential connectivity with occipital and parietal regions implicated in the processing of low-level properties of faces, while the second and third components show differential connectivity with anterior temporal regions implicated in the processing of invariant representations of face identity.","author":[{"dropping-particle":"","family":"Anzellotti","given":"Stefano","non-dropping-particle":"","parse-names":false,"suffix":""},{"dropping-particle":"","family":"Caramazza","given":"Alfonso","non-dropping-particle":"","parse-names":false,"suffix":""},{"dropping-particle":"","family":"Saxe","given":"Rebecca","non-dropping-particle":"","parse-names":false,"suffix":""}],"container-title":"PLoS Computational Biology","id":"ITEM-1","issued":{"date-parts":[["2017"]]},"title":"Multivariate pattern dependence","type":"article-journal"},"uris":["http://www.mendeley.com/documents/?uuid=e18953eb-2f5e-459d-862e-e8366cf286c6"]}],"mendeley":{"formattedCitation":"&lt;sup&gt;17&lt;/sup&gt;","plainTextFormattedCitation":"17","previouslyFormattedCitation":"&lt;sup&gt;17&lt;/sup&gt;"},"properties":{"noteIndex":0},"schema":"https://github.com/citation-style-language/schema/raw/master/csl-citation.json"}</w:instrText>
      </w:r>
      <w:r w:rsidRPr="00F63BA5">
        <w:fldChar w:fldCharType="separate"/>
      </w:r>
      <w:r w:rsidR="00356A19" w:rsidRPr="00356A19">
        <w:rPr>
          <w:noProof/>
          <w:vertAlign w:val="superscript"/>
        </w:rPr>
        <w:t>17</w:t>
      </w:r>
      <w:r w:rsidRPr="00F63BA5">
        <w:fldChar w:fldCharType="end"/>
      </w:r>
      <w:r w:rsidRPr="00F63BA5">
        <w:t>. This would require methods that can help establish causality. Neurostimulation techniques (such as transcranial magnetic or direct-current stimulation, TMS/</w:t>
      </w:r>
      <w:proofErr w:type="spellStart"/>
      <w:r w:rsidRPr="00F63BA5">
        <w:t>tDCS</w:t>
      </w:r>
      <w:proofErr w:type="spellEnd"/>
      <w:r w:rsidRPr="00F63BA5">
        <w:t xml:space="preserve">) may provide an opportunity to assess causally the involvement of particular brain regions in specific cognitive functions. At this time, there is </w:t>
      </w:r>
      <w:r w:rsidR="006D1767">
        <w:t xml:space="preserve">a </w:t>
      </w:r>
      <w:r w:rsidRPr="00F63BA5">
        <w:t>dearth of TMS/</w:t>
      </w:r>
      <w:proofErr w:type="spellStart"/>
      <w:r w:rsidRPr="00F63BA5">
        <w:t>tDCS</w:t>
      </w:r>
      <w:proofErr w:type="spellEnd"/>
      <w:r w:rsidRPr="00F63BA5">
        <w:t xml:space="preserve"> experiments addressing the concrete-abstract </w:t>
      </w:r>
      <w:r w:rsidRPr="00F63BA5">
        <w:lastRenderedPageBreak/>
        <w:t xml:space="preserve">semantic distinction. Furthermore, even existing studies have not been always able to show any differential influence of stimulation on concrete and abstract word processing. For instance, it was shown that anodal </w:t>
      </w:r>
      <w:proofErr w:type="spellStart"/>
      <w:r w:rsidRPr="00F63BA5">
        <w:t>tDCS</w:t>
      </w:r>
      <w:proofErr w:type="spellEnd"/>
      <w:r w:rsidRPr="00F63BA5">
        <w:t xml:space="preserve"> over dorsolateral prefrontal cortex (DLPFC) or parietal cortex facilitated the retrieval of both semantic types equally</w:t>
      </w:r>
      <w:r w:rsidRPr="00F63BA5">
        <w:fldChar w:fldCharType="begin" w:fldLock="1"/>
      </w:r>
      <w:r w:rsidR="00F86F06">
        <w:instrText>ADDIN CSL_CITATION {"citationItems":[{"id":"ITEM-1","itemData":{"DOI":"10.3389/fnagi.2013.00049","ISSN":"16634365","abstract":"Memory is the capacity to store, maintain, and retrieve events or information from the mind. Difficulties in verbal episodic memory commonly occur in healthy aging. In this paper, we assess the hypothesis that anodal transcranial direct current stimulation (tDCS) applied over the dorsolateral prefrontal cortex (DLPFC) or over the parietal cortex (PARC) could facilitate verbal episodic memory in a group of 32 healthy older adults and in a group of 32 young subjects relative to a sham stimulation using a single-blind randomized controlled design. Each participant underwent two sessions of anodal tDCS (left and right) and one session of sham stimulation. Overall, our results demonstrated that, in young and in older subjects, anodal tDCS applied during the retrieval phase facilitates verbal episodic memory. In particular, we found that tDCS applied over the left and right regions (DLPFC and PARC) induced better performance in young participants; only tDCS applied over the left regions (DLPFC and PARC) increased retrieval in older subjects. These results suggest that anodal tDCS can be a relevant tool to modulate the long-term episodic memory capacities of young and older subjects. © 2013 Manenti, Brambilla, Petesi, Ferrari and Cotelli.","author":[{"dropping-particle":"","family":"Manenti","given":"Rosa","non-dropping-particle":"","parse-names":false,"suffix":""},{"dropping-particle":"","family":"Brambilla","given":"Michela","non-dropping-particle":"","parse-names":false,"suffix":""},{"dropping-particle":"","family":"Petesi","given":"Michela","non-dropping-particle":"","parse-names":false,"suffix":""},{"dropping-particle":"","family":"Ferrari","given":"Clarissa","non-dropping-particle":"","parse-names":false,"suffix":""},{"dropping-particle":"","family":"Cotelli","given":"Maria","non-dropping-particle":"","parse-names":false,"suffix":""}],"container-title":"Frontiers in Aging Neuroscience","id":"ITEM-1","issued":{"date-parts":[["2013"]]},"title":"Enhancing verbal episodic memory in older and young subjects after non-invasive brain stimulation","type":"article-journal"},"uris":["http://www.mendeley.com/documents/?uuid=1d9700f3-99fd-4dda-a6ef-540ef5fd58ed"]}],"mendeley":{"formattedCitation":"&lt;sup&gt;18&lt;/sup&gt;","plainTextFormattedCitation":"18","previouslyFormattedCitation":"&lt;sup&gt;18&lt;/sup&gt;"},"properties":{"noteIndex":0},"schema":"https://github.com/citation-style-language/schema/raw/master/csl-citation.json"}</w:instrText>
      </w:r>
      <w:r w:rsidRPr="00F63BA5">
        <w:fldChar w:fldCharType="separate"/>
      </w:r>
      <w:r w:rsidR="00356A19" w:rsidRPr="00356A19">
        <w:rPr>
          <w:noProof/>
          <w:vertAlign w:val="superscript"/>
        </w:rPr>
        <w:t>18</w:t>
      </w:r>
      <w:r w:rsidRPr="00F63BA5">
        <w:fldChar w:fldCharType="end"/>
      </w:r>
      <w:r w:rsidR="007A0945">
        <w:t xml:space="preserve">. On the other hand, </w:t>
      </w:r>
      <w:proofErr w:type="spellStart"/>
      <w:r w:rsidRPr="00F63BA5">
        <w:t>Vukovic</w:t>
      </w:r>
      <w:proofErr w:type="spellEnd"/>
      <w:r w:rsidRPr="00F63BA5">
        <w:t xml:space="preserve"> et al.</w:t>
      </w:r>
      <w:r w:rsidRPr="00F63BA5">
        <w:fldChar w:fldCharType="begin" w:fldLock="1"/>
      </w:r>
      <w:r w:rsidR="00F86F06">
        <w:instrText>ADDIN CSL_CITATION {"citationItems":[{"id":"ITEM-1","itemData":{"DOI":"10.1016/j.neuropsychologia.2017.01.025","ISSN":"18733514","abstract":"Among various questions pertinent to grounding human cognitive functions in a neurobiological substrate, the association between language and motor brain structures is a particularly debated one in neuroscience and psychology. While many studies support a broadly distributed model of language and semantics grounded, among other things, in the general modality-specific systems, theories disagree as to whether motor and sensory cortex activity observed during language processing is functional or epiphenomenal. Here, we assessed the role of motor areas in linguistic processing by investigating the responses of 28 healthy volunteers to different word types in semantic and lexical decision tasks, following repetitive transcranial magnetic stimulation (rTMS) of primary motor cortex. We found that early rTMS (delivered within 200 ms of word onset) produces a left-lateralised and meaning-specific change in reaction speed, slowing down behavioural responses to action-related words, and facilitating abstract words – an effect present only during semantic, but not lexical, decision. We interpret these data in light of action-perception theory of language, bolstering the claim that motor cortical areas play a functional role in language comprehension.","author":[{"dropping-particle":"","family":"Vukovic","given":"Nikola","non-dropping-particle":"","parse-names":false,"suffix":""},{"dropping-particle":"","family":"Feurra","given":"Matteo","non-dropping-particle":"","parse-names":false,"suffix":""},{"dropping-particle":"","family":"Shpektor","given":"Anna","non-dropping-particle":"","parse-names":false,"suffix":""},{"dropping-particle":"","family":"Myachykov","given":"Andriy","non-dropping-particle":"","parse-names":false,"suffix":""},{"dropping-particle":"","family":"Shtyrov","given":"Yury","non-dropping-particle":"","parse-names":false,"suffix":""}],"container-title":"Neuropsychologia","id":"ITEM-1","issued":{"date-parts":[["2017"]]},"title":"Primary motor cortex functionally contributes to language comprehension: An online rTMS study","type":"article-journal"},"uris":["http://www.mendeley.com/documents/?uuid=7c4185dd-e8af-493c-9aef-831f24f19b14"]}],"mendeley":{"formattedCitation":"&lt;sup&gt;19&lt;/sup&gt;","plainTextFormattedCitation":"19","previouslyFormattedCitation":"&lt;sup&gt;19&lt;/sup&gt;"},"properties":{"noteIndex":0},"schema":"https://github.com/citation-style-language/schema/raw/master/csl-citation.json"}</w:instrText>
      </w:r>
      <w:r w:rsidRPr="00F63BA5">
        <w:fldChar w:fldCharType="separate"/>
      </w:r>
      <w:r w:rsidR="00356A19" w:rsidRPr="00356A19">
        <w:rPr>
          <w:noProof/>
          <w:vertAlign w:val="superscript"/>
        </w:rPr>
        <w:t>19</w:t>
      </w:r>
      <w:r w:rsidRPr="00F63BA5">
        <w:fldChar w:fldCharType="end"/>
      </w:r>
      <w:r w:rsidRPr="00F63BA5">
        <w:t xml:space="preserve">, using TMS, suggested prefrontal and premotor areas to take part in abstract word comprehension; that study, however, did not explore areas outside the frontal lobe, being mainly </w:t>
      </w:r>
      <w:r w:rsidR="004D7C9F" w:rsidRPr="00F63BA5">
        <w:t>focused</w:t>
      </w:r>
      <w:r w:rsidRPr="00F63BA5">
        <w:t xml:space="preserve"> on action semantics. Similarly, other TMS studies have shown that abstract and concrete phrases processing differentially modulate motor cortex and cortico-spinal excitability</w:t>
      </w:r>
      <w:r w:rsidRPr="00F63BA5">
        <w:fldChar w:fldCharType="begin" w:fldLock="1"/>
      </w:r>
      <w:r w:rsidR="00F86F06">
        <w:instrText>ADDIN CSL_CITATION {"citationItems":[{"id":"ITEM-1","itemData":{"DOI":"10.1016/j.brainres.2012.10.004","ISSN":"00068993","abstract":"An important challenge of embodied theories is to explain the comprehension of abstract sentences. The aim of the present study was to scrutinize the role of the motor cortex in this process. We developed a new paradigm to study the abstract-concrete dimension by combining concrete (i.e.; action-related) and abstract (i.e.; non-action-related) verbs with nouns of graspable and non-graspable objects. Using these verb-noun combinations we performed a Transcranial Magnetic Stimulation (TMS) on the left primary motor cortex while participants performed a sentence sensibility task. Single-TMS pulses were delivered 250 ms after verb or noun presentation in each of four combinations of abstract and concrete verbs and nouns. To evaluate cortico-spinal excitability we registered the electromyographic activity of the right first dorsal interosseous muscle. As to verb-noun integration, analysis of motor evoked potentials (MEPs) after TMS pulse during noun presentation revealed greater peak-to-peak amplitude in phrases containing abstract rather than concrete verbs. Response times were also collected and showed that compatible (Concrete-Concrete and Abstract-Abstract) combinations were processed faster than mixed ones; moreover in combinations containing concrete verbs, participants were faster when the pulse was delivered on the first word (verb) than on the second one (noun). Results support previous findings showing early activation of hand-related areas after concrete verbs processing. The prolonged or delayed activation of the same areas by abstract verbs will be discussed in the framework of recent embodied theories based on multiple types of representation, particularly theories emphasizing the role of different acquisition mechanisms for concrete and abstract words (Borghi and Cimatti, 2009,2012). © 2012 Elsevier B.V.","author":[{"dropping-particle":"","family":"Scorolli","given":"Claudia","non-dropping-particle":"","parse-names":false,"suffix":""},{"dropping-particle":"","family":"Jacquet","given":"Pierre O.","non-dropping-particle":"","parse-names":false,"suffix":""},{"dropping-particle":"","family":"Binkofski","given":"Ferdinand","non-dropping-particle":"","parse-names":false,"suffix":""},{"dropping-particle":"","family":"Nicoletti","given":"Roberto","non-dropping-particle":"","parse-names":false,"suffix":""},{"dropping-particle":"","family":"Tessari","given":"Alessia","non-dropping-particle":"","parse-names":false,"suffix":""},{"dropping-particle":"","family":"Borghi","given":"Anna M.","non-dropping-particle":"","parse-names":false,"suffix":""}],"container-title":"Brain Research","id":"ITEM-1","issued":{"date-parts":[["2012"]]},"title":"Abstract and concrete phrases processing differentially modulates cortico-spinal excitability","type":"article-journal"},"uris":["http://www.mendeley.com/documents/?uuid=2e0582c4-a74a-4708-941c-14ed437ea905"]},{"id":"ITEM-2","itemData":{"DOI":"10.1523/JNEUROSCI.3783-10.2010","ISSN":"02706474","PMID":"21084601","abstract":"Neuroimaging studies reliably reveal ventrolateral prefrontal cortex (VLPFC) activation for processing of abstract relative to concrete words, but the cause of this effect is unclear. Here, in a convergent neuropsychological and repetitive transcranial magnetic stimulation (rTMS) investigation, we tested the hypothesis that abstract words require VLPFC because they depend heavily on the semantic-executive control processes mediated by this region. Specifically, we hypothesized that accessing the meanings of abstract words require more executive regulation because they have variable, context-dependent meanings. In the neuropsychology component of the study, aphasic patients with multimodal semantic deficits following VLPFC lesions had impaired comprehension of abstract words, but this deficit was ameliorated by providing a sentence cue that placed the word in a specific context. Concrete words were better comprehended and showed more limited benefit from the cues. In the second part of the study, rTMS applied to left VLPFC in healthy subjects slowed reaction times to abstract but not concrete words, but only when words were presented out of context. TMS had no effect when words were preceded by a contextual cue. These converging results indicate that VLPFC plays an executive regulation role in the processing of abstract words. This role is less critical when words are presented with a context that guides the system toward a particular meaning or interpretation. Regulation is less important for concrete words because their meanings are constrained by their physical referents and do not tend to vary with context. Copyright © 2010 the authors.","author":[{"dropping-particle":"","family":"Hoffman","given":"Paul","non-dropping-particle":"","parse-names":false,"suffix":""},{"dropping-particle":"","family":"Jefferies","given":"Elizabeth","non-dropping-particle":"","parse-names":false,"suffix":""},{"dropping-particle":"","family":"Lambon Ralph","given":"Matthew A.","non-dropping-particle":"","parse-names":false,"suffix":""}],"container-title":"Journal of Neuroscience","id":"ITEM-2","issued":{"date-parts":[["2010"]]},"title":"Ventrolateral prefrontal cortex plays an executive regulation role in comprehension of abstract words: Convergent neuropsychological and repetitive TMS evidence","type":"article-journal"},"uris":["http://www.mendeley.com/documents/?uuid=b63ce2a0-b553-4951-85a6-3ec91a946c5a"]}],"mendeley":{"formattedCitation":"&lt;sup&gt;20,21&lt;/sup&gt;","plainTextFormattedCitation":"20,21","previouslyFormattedCitation":"&lt;sup&gt;20,21&lt;/sup&gt;"},"properties":{"noteIndex":0},"schema":"https://github.com/citation-style-language/schema/raw/master/csl-citation.json"}</w:instrText>
      </w:r>
      <w:r w:rsidRPr="00F63BA5">
        <w:fldChar w:fldCharType="separate"/>
      </w:r>
      <w:r w:rsidR="00356A19" w:rsidRPr="00356A19">
        <w:rPr>
          <w:noProof/>
          <w:vertAlign w:val="superscript"/>
        </w:rPr>
        <w:t>20,21</w:t>
      </w:r>
      <w:r w:rsidRPr="00F63BA5">
        <w:fldChar w:fldCharType="end"/>
      </w:r>
      <w:r w:rsidRPr="00F63BA5">
        <w:t>. Neither of these have addressed the core language systems. This has recently been done using direct electrical stimulation (DES) during awake surgery, showing that DES applied over the left BA44, which is a part of Broca’s area and inferior frontal gyrus (IFG), decreases the accuracy of semantic judgement task for abstract words, whereas for concrete words similar results were observed when left BA38 in the temporal lobe was stimulated</w:t>
      </w:r>
      <w:r w:rsidRPr="00F63BA5">
        <w:fldChar w:fldCharType="begin" w:fldLock="1"/>
      </w:r>
      <w:r w:rsidR="00F86F06">
        <w:instrText>ADDIN CSL_CITATION {"citationItems":[{"id":"ITEM-1","itemData":{"DOI":"10.1080/02643294.2018.1477748","ISSN":"14640627","abstract":"Neuropsychological, neuroimaging and electrophysiological studies demonstrate that abstract and concrete word processing relies not only on the activity of a common bilateral network but also on dedicated networks. The neuropsychological literature has shown that a selective sparing of abstract relative to concrete words can be documented in lesions of the left anterior temporal regions. We investigated concrete and abstract word processing in 10 patients undergoing direct electrical stimulation (DES) for brain mapping during awake surgery in the left hemisphere. A lexical decision and a concreteness judgment task were added to the neuropsychological assessment during intra-operative monitoring. On the concreteness judgment, DES delivered over the inferior frontal gyrus significantly decreased abstract word accuracy while accuracy for concrete words decreased when the anterior temporal cortex was stimulated. These results are consistent with a lexical–semantic model that distinguishes between concrete and abstract words related to different neural substrates in the left hemisphere.","author":[{"dropping-particle":"","family":"Orena","given":"E. F.","non-dropping-particle":"","parse-names":false,"suffix":""},{"dropping-particle":"","family":"Caldiroli","given":"D.","non-dropping-particle":"","parse-names":false,"suffix":""},{"dropping-particle":"","family":"Acerbi","given":"F.","non-dropping-particle":"","parse-names":false,"suffix":""},{"dropping-particle":"","family":"Barazzetta","given":"I.","non-dropping-particle":"","parse-names":false,"suffix":""},{"dropping-particle":"","family":"Papagno","given":"C.","non-dropping-particle":"","parse-names":false,"suffix":""}],"container-title":"Cognitive Neuropsychology","id":"ITEM-1","issued":{"date-parts":[["2019"]]},"title":"Investigating the functional neuroanatomy of concrete and abstract word processing through direct electric stimulation (DES) during awake surgery","type":"article-journal"},"uris":["http://www.mendeley.com/documents/?uuid=ec646097-c00d-4749-ad74-f0cbd61d1d45"]}],"mendeley":{"formattedCitation":"&lt;sup&gt;22&lt;/sup&gt;","plainTextFormattedCitation":"22","previouslyFormattedCitation":"&lt;sup&gt;22&lt;/sup&gt;"},"properties":{"noteIndex":0},"schema":"https://github.com/citation-style-language/schema/raw/master/csl-citation.json"}</w:instrText>
      </w:r>
      <w:r w:rsidRPr="00F63BA5">
        <w:fldChar w:fldCharType="separate"/>
      </w:r>
      <w:r w:rsidR="00356A19" w:rsidRPr="00356A19">
        <w:rPr>
          <w:noProof/>
          <w:vertAlign w:val="superscript"/>
        </w:rPr>
        <w:t>22</w:t>
      </w:r>
      <w:r w:rsidRPr="00F63BA5">
        <w:fldChar w:fldCharType="end"/>
      </w:r>
      <w:r w:rsidRPr="00F63BA5">
        <w:t xml:space="preserve">. This is an important finding, although one has to be cautious </w:t>
      </w:r>
      <w:proofErr w:type="spellStart"/>
      <w:r w:rsidR="00B36475" w:rsidRPr="00B36475">
        <w:t>generali</w:t>
      </w:r>
      <w:r w:rsidR="00041461">
        <w:t>s</w:t>
      </w:r>
      <w:r w:rsidRPr="00B36475">
        <w:t>ing</w:t>
      </w:r>
      <w:proofErr w:type="spellEnd"/>
      <w:r w:rsidRPr="00F63BA5">
        <w:t xml:space="preserve"> results obtained surgically in neurological patients to healthy population.</w:t>
      </w:r>
    </w:p>
    <w:p w14:paraId="5EDB58B2" w14:textId="1C606EEE" w:rsidR="00474B2A" w:rsidRPr="00F63BA5" w:rsidRDefault="00B87E30" w:rsidP="00474B2A">
      <w:pPr>
        <w:pStyle w:val="a3"/>
        <w:spacing w:before="102" w:line="249" w:lineRule="auto"/>
        <w:ind w:left="126" w:right="138" w:firstLine="7"/>
        <w:jc w:val="both"/>
      </w:pPr>
      <w:r w:rsidRPr="00F63BA5">
        <w:t xml:space="preserve">Another important issue is that, when evaluating the mechanisms responsible for different semantic processes, most studies deal with pre-existing representations of native words. When, however, </w:t>
      </w:r>
      <w:r w:rsidRPr="005D7BD2">
        <w:rPr>
          <w:u w:val="single"/>
        </w:rPr>
        <w:t xml:space="preserve">existing </w:t>
      </w:r>
      <w:r w:rsidR="00720A35" w:rsidRPr="005D7BD2">
        <w:rPr>
          <w:u w:val="single"/>
        </w:rPr>
        <w:t xml:space="preserve">concrete and abstract </w:t>
      </w:r>
      <w:r w:rsidRPr="005D7BD2">
        <w:rPr>
          <w:u w:val="single"/>
        </w:rPr>
        <w:t>words</w:t>
      </w:r>
      <w:r w:rsidR="00542FC0" w:rsidRPr="005D7BD2">
        <w:rPr>
          <w:u w:val="single"/>
        </w:rPr>
        <w:t xml:space="preserve"> are</w:t>
      </w:r>
      <w:r w:rsidRPr="005D7BD2">
        <w:rPr>
          <w:u w:val="single"/>
        </w:rPr>
        <w:t xml:space="preserve"> compared</w:t>
      </w:r>
      <w:r w:rsidRPr="00F63BA5">
        <w:t>, the results are confounded by their physical (e.g. duration), psycholinguistic (frequency), phonological/orthographic properties</w:t>
      </w:r>
      <w:r w:rsidR="009E4DE5">
        <w:t>,</w:t>
      </w:r>
      <w:r w:rsidRPr="00F63BA5">
        <w:t xml:space="preserve"> and individual learning trajectories. For instance, </w:t>
      </w:r>
      <w:r w:rsidRPr="004F692B">
        <w:rPr>
          <w:u w:val="single"/>
        </w:rPr>
        <w:t xml:space="preserve">abstract nouns in English are </w:t>
      </w:r>
      <w:r w:rsidR="006D1767" w:rsidRPr="004F692B">
        <w:rPr>
          <w:u w:val="single"/>
        </w:rPr>
        <w:t xml:space="preserve">typically </w:t>
      </w:r>
      <w:r w:rsidRPr="004F692B">
        <w:rPr>
          <w:u w:val="single"/>
        </w:rPr>
        <w:t>longer than concrete ones</w:t>
      </w:r>
      <w:r w:rsidR="00DF6BE9" w:rsidRPr="004F692B">
        <w:rPr>
          <w:u w:val="single"/>
        </w:rPr>
        <w:fldChar w:fldCharType="begin" w:fldLock="1"/>
      </w:r>
      <w:r w:rsidR="00F86F06">
        <w:rPr>
          <w:u w:val="single"/>
        </w:rPr>
        <w:instrText>ADDIN CSL_CITATION {"citationItems":[{"id":"ITEM-1","itemData":{"DOI":"10.1080/03640210709336988","ISSN":"03640213","abstract":"Words associated with perceptually salient, highly imageable concepts are learned earlier in life, more accurately recalled, and more rapidly named than abstract words (R. W. Brown, 1976; Walker &amp; Hulme, 1999). Theories accounting for this concreteness effect have focused exclusively on semantic properties of word referents. A novel possibility is that word structure may also contribute to the effect. We report a corpus-based analysis of the phonological and morphological structures of a large set of nouns with imageability ratings (N = 2,023). High- and low-imageability nouns differed by length, etymology, prosody, affixation, phonological neighborhood density, and rates of consonant clustering. On average, nouns denoting abstract concepts were longer, more derivationally complex, and emerged in English from a different distribution of languages than did concrete nouns. We address implications for interactivity of word form and meaning as pertain to theories of word concreteness, lexical acquisition, and word processing. Copyright © 2007 Cognitive Science Society, Inc. All rights reserved.","author":[{"dropping-particle":"","family":"Reilly","given":"Jamie","non-dropping-particle":"","parse-names":false,"suffix":""},{"dropping-particle":"","family":"Kean","given":"Jacob","non-dropping-particle":"","parse-names":false,"suffix":""}],"container-title":"Cognitive Science","id":"ITEM-1","issued":{"date-parts":[["2007"]]},"title":"Formal distinctiveness of high- and low-imageability nouns: Analyses and theoretical implications","type":"article-journal"},"uris":["http://www.mendeley.com/documents/?uuid=6f088ea6-ee36-4bd3-ae74-25a1c800adfd"]}],"mendeley":{"formattedCitation":"&lt;sup&gt;23&lt;/sup&gt;","plainTextFormattedCitation":"23","previouslyFormattedCitation":"&lt;sup&gt;23&lt;/sup&gt;"},"properties":{"noteIndex":0},"schema":"https://github.com/citation-style-language/schema/raw/master/csl-citation.json"}</w:instrText>
      </w:r>
      <w:r w:rsidR="00DF6BE9" w:rsidRPr="004F692B">
        <w:rPr>
          <w:u w:val="single"/>
        </w:rPr>
        <w:fldChar w:fldCharType="separate"/>
      </w:r>
      <w:r w:rsidR="00356A19" w:rsidRPr="00356A19">
        <w:rPr>
          <w:noProof/>
          <w:vertAlign w:val="superscript"/>
        </w:rPr>
        <w:t>23</w:t>
      </w:r>
      <w:r w:rsidR="00DF6BE9" w:rsidRPr="004F692B">
        <w:rPr>
          <w:u w:val="single"/>
        </w:rPr>
        <w:fldChar w:fldCharType="end"/>
      </w:r>
      <w:r w:rsidR="006B5ADC" w:rsidRPr="004F692B">
        <w:rPr>
          <w:u w:val="single"/>
        </w:rPr>
        <w:t>.</w:t>
      </w:r>
      <w:r w:rsidRPr="004F692B">
        <w:rPr>
          <w:u w:val="single"/>
        </w:rPr>
        <w:t xml:space="preserve"> </w:t>
      </w:r>
      <w:r w:rsidR="006D1767" w:rsidRPr="004F692B">
        <w:rPr>
          <w:u w:val="single"/>
        </w:rPr>
        <w:t xml:space="preserve">Could it </w:t>
      </w:r>
      <w:r w:rsidR="005D7BD2">
        <w:rPr>
          <w:u w:val="single"/>
        </w:rPr>
        <w:t xml:space="preserve">be </w:t>
      </w:r>
      <w:r w:rsidR="006D1767" w:rsidRPr="004F692B">
        <w:rPr>
          <w:u w:val="single"/>
        </w:rPr>
        <w:t>this physical, rather than semantic</w:t>
      </w:r>
      <w:r w:rsidR="002E67D5" w:rsidRPr="004F692B">
        <w:rPr>
          <w:u w:val="single"/>
        </w:rPr>
        <w:t>,</w:t>
      </w:r>
      <w:r w:rsidR="006D1767" w:rsidRPr="004F692B">
        <w:rPr>
          <w:u w:val="single"/>
        </w:rPr>
        <w:t xml:space="preserve"> difference </w:t>
      </w:r>
      <w:r w:rsidR="005D7BD2">
        <w:rPr>
          <w:u w:val="single"/>
        </w:rPr>
        <w:t xml:space="preserve">that </w:t>
      </w:r>
      <w:r w:rsidR="006D1767" w:rsidRPr="004F692B">
        <w:rPr>
          <w:u w:val="single"/>
        </w:rPr>
        <w:t>affect</w:t>
      </w:r>
      <w:r w:rsidR="005D7BD2">
        <w:rPr>
          <w:u w:val="single"/>
        </w:rPr>
        <w:t>s</w:t>
      </w:r>
      <w:r w:rsidRPr="004F692B">
        <w:rPr>
          <w:u w:val="single"/>
        </w:rPr>
        <w:t xml:space="preserve"> the acquisition </w:t>
      </w:r>
      <w:r w:rsidR="005D7BD2">
        <w:rPr>
          <w:u w:val="single"/>
        </w:rPr>
        <w:t xml:space="preserve">and processing </w:t>
      </w:r>
      <w:r w:rsidRPr="004F692B">
        <w:rPr>
          <w:u w:val="single"/>
        </w:rPr>
        <w:t>of abstract and concrete semantic</w:t>
      </w:r>
      <w:r w:rsidR="002E67D5" w:rsidRPr="004F692B">
        <w:rPr>
          <w:u w:val="single"/>
        </w:rPr>
        <w:t xml:space="preserve">, e.g. </w:t>
      </w:r>
      <w:proofErr w:type="spellStart"/>
      <w:r w:rsidR="002E67D5" w:rsidRPr="004F692B">
        <w:rPr>
          <w:u w:val="single"/>
        </w:rPr>
        <w:t>penalising</w:t>
      </w:r>
      <w:proofErr w:type="spellEnd"/>
      <w:r w:rsidR="002E67D5" w:rsidRPr="004F692B">
        <w:rPr>
          <w:u w:val="single"/>
        </w:rPr>
        <w:t xml:space="preserve"> longer words</w:t>
      </w:r>
      <w:r w:rsidRPr="004F692B">
        <w:rPr>
          <w:u w:val="single"/>
        </w:rPr>
        <w:t>? As</w:t>
      </w:r>
      <w:r w:rsidRPr="00F63BA5">
        <w:t xml:space="preserve"> abstract words are typically acquired later in life</w:t>
      </w:r>
      <w:r w:rsidRPr="00F63BA5">
        <w:fldChar w:fldCharType="begin" w:fldLock="1"/>
      </w:r>
      <w:r w:rsidR="00F86F06">
        <w:instrText>ADDIN CSL_CITATION {"citationItems":[{"id":"ITEM-1","itemData":{"DOI":"10.1111/tops.12347","ISSN":"17568765","abstract":"The paper describes two plausible hypotheses concerning the learning of abstract words and concepts. According to a first hypothesis, children would learn abstract words by extracting co-occurrences among words in linguistic input, using, for example, mechanisms as described by models of Distributional Semantics. According to a second hypothesis, children would exploit the fact that abstract words tend to have more emotional associations than concrete words to infer that they refer to internal/mental states. Each hypothesis makes specific predictions with regards to when and which abstract words are more likely to be learned; also they make different predictions concerning the impact of developmental disorders. We start by providing a review of work characterizing how abstract words and concepts are learned in development, especially between the ages of 6 and 12. Second, we review some work from our group that tests the two hypotheses above. This work investigates typically developing (TD) children and children with atypical development (developmental language disorders [DLD] and autism spectrum disorder [ASD] with and without language deficits). We conclude that the use of strategies based on emotional information, or on co-occurrences in language, may play a role at different developmental stages.","author":[{"dropping-particle":"","family":"Vigliocco","given":"Gabriella","non-dropping-particle":"","parse-names":false,"suffix":""},{"dropping-particle":"","family":"Ponari","given":"Marta","non-dropping-particle":"","parse-names":false,"suffix":""},{"dropping-particle":"","family":"Norbury","given":"Courtenay","non-dropping-particle":"","parse-names":false,"suffix":""}],"container-title":"Topics in Cognitive Science","id":"ITEM-1","issued":{"date-parts":[["2018"]]},"title":"Learning and Processing Abstract Words and Concepts: Insights From Typical and Atypical Development","type":"article-journal"},"uris":["http://www.mendeley.com/documents/?uuid=5e83ca24-1a57-4de1-b433-94753bfc4854"]}],"mendeley":{"formattedCitation":"&lt;sup&gt;24&lt;/sup&gt;","plainTextFormattedCitation":"24","previouslyFormattedCitation":"&lt;sup&gt;24&lt;/sup&gt;"},"properties":{"noteIndex":0},"schema":"https://github.com/citation-style-language/schema/raw/master/csl-citation.json"}</w:instrText>
      </w:r>
      <w:r w:rsidRPr="00F63BA5">
        <w:fldChar w:fldCharType="separate"/>
      </w:r>
      <w:r w:rsidR="00356A19" w:rsidRPr="00356A19">
        <w:rPr>
          <w:noProof/>
          <w:vertAlign w:val="superscript"/>
        </w:rPr>
        <w:t>24</w:t>
      </w:r>
      <w:r w:rsidRPr="00F63BA5">
        <w:fldChar w:fldCharType="end"/>
      </w:r>
      <w:r w:rsidRPr="00F63BA5">
        <w:t xml:space="preserve">, would any differences in </w:t>
      </w:r>
      <w:proofErr w:type="spellStart"/>
      <w:r w:rsidRPr="00F63BA5">
        <w:t>behavioural</w:t>
      </w:r>
      <w:proofErr w:type="spellEnd"/>
      <w:r w:rsidRPr="00F63BA5">
        <w:t xml:space="preserve"> and neural measures reflect their semantics per se or rather this diverging acquisition background? Similarly, as </w:t>
      </w:r>
      <w:r w:rsidRPr="005979F7">
        <w:t>concrete words are used more frequently than abstract ones</w:t>
      </w:r>
      <w:r w:rsidRPr="005979F7">
        <w:fldChar w:fldCharType="begin" w:fldLock="1"/>
      </w:r>
      <w:r w:rsidR="00D77509">
        <w:instrText>ADDIN CSL_CITATION {"citationItems":[{"id":"ITEM-1","itemData":{"DOI":"10.1037/0278-7393.2.1.21","ISSN":"00961515","abstract":"Carries out a general decision-theory analysis of the word-frequency effect in recognition memory. On the basis of the analysis and data from a forced-choice experiment with 48 undergraduates, 2 distinct causes of the frequency effect are defined. A more specific theory based on the ideas of encoding and sampling is then presented and evaluated. Several implications of the theory are considered, including implications for the resolution of the recognition-recall frequency paradox. (30 ref) (PsycINFO Database Record (c) 2006 APA, all rights reserved). © 1976 American Psychological Association.","author":[{"dropping-particle":"","family":"Glanzer","given":"Murray","non-dropping-particle":"","parse-names":false,"suffix":""},{"dropping-particle":"","family":"Bowles","given":"Nancy","non-dropping-particle":"","parse-names":false,"suffix":""}],"container-title":"Journal of Experimental Psychology: Human Learning and Memory","id":"ITEM-1","issued":{"date-parts":[["1976"]]},"title":"Analysis of the word-frequency effect in recognition memory","type":"article-journal"},"uris":["http://www.mendeley.com/documents/?uuid=0b6efad1-3cf9-4dab-87b2-276ca8430651"]},{"id":"ITEM-2","itemData":{"DOI":"10.1037/h0025327","ISSN":"00221015","PMID":"5672258","abstract":"GROUPS OF SS, 17-46 YR. OLD COLLEGE STUDENTS, WERE USED TO SCALE 925 NOUNS ON ABSTRACTNESS-CONCRETENESS (C), IMAGERY (I), AND MEANINGFULNESS (M). CONCRETENESS WAS DEFINED IN TERMS OF DIRECTNESS OF REFERENCE TO SENSE EXPERIENCE, AND I, IN TERMS OF WORD'S CAPACITY TO AROUSE NONVERBAL IMAGES; C AND I WERE RATED ON 7-POINT SCALES. MEANINGFULNESS WAS DEFINED IN TERMS OF THE MEAN NUMBER OF WRITTEN ASSOCIATIONS IN 30 SEC. THE MEAN SCALE VALUES FOR THESE VARIABLES ARE PRESENTED FOR EACH OF THE 925 NOUNS. ALSO REPORTED ARE THE INTERCORRELATIONS OF THE VARIABLES, TOGETHER WITH AN EXAMINATION OF THE WORDS FOR WHICH C, I, AND M VALUES ARE MOST CLEARLY DIFFERENTIATED; AND RELIABILITY DATA, INCLUDING COMPARISONS WITH SCALE VALUES FOR THE VARIABLES FROM OTHER STUDIES. (45 REF.) (PsycINFO Database Record (c) 2006 APA, all rights reserved). © 1968 American Psychological Association.","author":[{"dropping-particle":"","family":"Paivio","given":"Allan","non-dropping-particle":"","parse-names":false,"suffix":""},{"dropping-particle":"","family":"Yuille","given":"John C.","non-dropping-particle":"","parse-names":false,"suffix":""},{"dropping-particle":"","family":"Madigan","given":"Stephen A.","non-dropping-particle":"","parse-names":false,"suffix":""}],"container-title":"Journal of Experimental Psychology","id":"ITEM-2","issue":"1 PART 2","issued":{"date-parts":[["1968"]]},"page":"1-25","title":"Concreteness, Imagery, and Meaningfulness Values for 925 Nouns","type":"article-journal","volume":"76"},"uris":["http://www.mendeley.com/documents/?uuid=009a15dd-4a3a-4162-ba93-b7f3f5c5ef09"]}],"mendeley":{"formattedCitation":"&lt;sup&gt;25,26&lt;/sup&gt;","plainTextFormattedCitation":"25,26","previouslyFormattedCitation":"&lt;sup&gt;25,26&lt;/sup&gt;"},"properties":{"noteIndex":0},"schema":"https://github.com/citation-style-language/schema/raw/master/csl-citation.json"}</w:instrText>
      </w:r>
      <w:r w:rsidRPr="005979F7">
        <w:fldChar w:fldCharType="separate"/>
      </w:r>
      <w:r w:rsidR="00356A19" w:rsidRPr="00356A19">
        <w:rPr>
          <w:noProof/>
          <w:vertAlign w:val="superscript"/>
        </w:rPr>
        <w:t>25,26</w:t>
      </w:r>
      <w:r w:rsidRPr="005979F7">
        <w:fldChar w:fldCharType="end"/>
      </w:r>
      <w:r w:rsidR="002E67D5">
        <w:t xml:space="preserve">, </w:t>
      </w:r>
      <w:r w:rsidRPr="00F63BA5">
        <w:t xml:space="preserve">would this lexical frequency difference confound any comparison between them </w:t>
      </w:r>
      <w:r w:rsidR="002E67D5" w:rsidRPr="004F692B">
        <w:rPr>
          <w:u w:val="single"/>
        </w:rPr>
        <w:t>(b</w:t>
      </w:r>
      <w:r w:rsidRPr="004F692B">
        <w:rPr>
          <w:u w:val="single"/>
        </w:rPr>
        <w:t xml:space="preserve">ut </w:t>
      </w:r>
      <w:r w:rsidR="002E67D5" w:rsidRPr="004F692B">
        <w:rPr>
          <w:u w:val="single"/>
        </w:rPr>
        <w:t>note</w:t>
      </w:r>
      <w:r w:rsidRPr="004F692B">
        <w:rPr>
          <w:u w:val="single"/>
        </w:rPr>
        <w:t xml:space="preserve"> also </w:t>
      </w:r>
      <w:r w:rsidR="009E4DE5">
        <w:rPr>
          <w:u w:val="single"/>
        </w:rPr>
        <w:t xml:space="preserve">an </w:t>
      </w:r>
      <w:r w:rsidRPr="004F692B">
        <w:rPr>
          <w:u w:val="single"/>
        </w:rPr>
        <w:t xml:space="preserve">alternative </w:t>
      </w:r>
      <w:r w:rsidR="002E67D5" w:rsidRPr="004F692B">
        <w:rPr>
          <w:u w:val="single"/>
        </w:rPr>
        <w:t>account of</w:t>
      </w:r>
      <w:r w:rsidRPr="004F692B">
        <w:rPr>
          <w:u w:val="single"/>
        </w:rPr>
        <w:t xml:space="preserve"> frequency norms in </w:t>
      </w:r>
      <w:r w:rsidR="005D7BD2">
        <w:rPr>
          <w:u w:val="single"/>
        </w:rPr>
        <w:br/>
      </w:r>
      <w:r w:rsidRPr="004F692B">
        <w:rPr>
          <w:u w:val="single"/>
        </w:rPr>
        <w:t>English</w:t>
      </w:r>
      <w:r w:rsidR="006B5ADC" w:rsidRPr="004F692B">
        <w:rPr>
          <w:u w:val="single"/>
        </w:rPr>
        <w:fldChar w:fldCharType="begin" w:fldLock="1"/>
      </w:r>
      <w:r w:rsidR="00F86F06">
        <w:rPr>
          <w:u w:val="single"/>
        </w:rPr>
        <w:instrText>ADDIN CSL_CITATION {"citationItems":[{"id":"ITEM-1","itemData":{"DOI":"10.3758/s13428-018-1077-9","ISSN":"15543528","PMID":"29967979","abstract":"We present word prevalence data for 61,858 English words. Word prevalence refers to the number of people who know the word. The measure was obtained on the basis of an online crowdsourcing study involving over 220,000 people. Word prevalence data are useful for gauging the difficulty of words and, as such, for matching stimulus materials in experimental conditions or selecting stimulus materials for vocabulary tests. Word prevalence also predicts word processing times, over and above the effects of word frequency, word length, similarity to other words, and age of acquisition, in line with previous findings in the Dutch language.","author":[{"dropping-particle":"","family":"Brysbaert","given":"Marc","non-dropping-particle":"","parse-names":false,"suffix":""},{"dropping-particle":"","family":"Mandera","given":"Paweł","non-dropping-particle":"","parse-names":false,"suffix":""},{"dropping-particle":"","family":"McCormick","given":"Samantha F.","non-dropping-particle":"","parse-names":false,"suffix":""},{"dropping-particle":"","family":"Keuleers","given":"Emmanuel","non-dropping-particle":"","parse-names":false,"suffix":""}],"container-title":"Behavior Research Methods","id":"ITEM-1","issued":{"date-parts":[["2019"]]},"title":"Word prevalence norms for 62,000 English lemmas","type":"article-journal"},"uris":["http://www.mendeley.com/documents/?uuid=22027602-43ca-4922-9354-531365927072"]},{"id":"ITEM-2","itemData":{"DOI":"10.1080/03640210709336988","ISSN":"03640213","abstract":"Words associated with perceptually salient, highly imageable concepts are learned earlier in life, more accurately recalled, and more rapidly named than abstract words (R. W. Brown, 1976; Walker &amp; Hulme, 1999). Theories accounting for this concreteness effect have focused exclusively on semantic properties of word referents. A novel possibility is that word structure may also contribute to the effect. We report a corpus-based analysis of the phonological and morphological structures of a large set of nouns with imageability ratings (N = 2,023). High- and low-imageability nouns differed by length, etymology, prosody, affixation, phonological neighborhood density, and rates of consonant clustering. On average, nouns denoting abstract concepts were longer, more derivationally complex, and emerged in English from a different distribution of languages than did concrete nouns. We address implications for interactivity of word form and meaning as pertain to theories of word concreteness, lexical acquisition, and word processing. Copyright © 2007 Cognitive Science Society, Inc. All rights reserved.","author":[{"dropping-particle":"","family":"Reilly","given":"Jamie","non-dropping-particle":"","parse-names":false,"suffix":""},{"dropping-particle":"","family":"Kean","given":"Jacob","non-dropping-particle":"","parse-names":false,"suffix":""}],"container-title":"Cognitive Science","id":"ITEM-2","issued":{"date-parts":[["2007"]]},"title":"Formal distinctiveness of high- and low-imageability nouns: Analyses and theoretical implications","type":"article-journal"},"uris":["http://www.mendeley.com/documents/?uuid=6f088ea6-ee36-4bd3-ae74-25a1c800adfd"]}],"mendeley":{"formattedCitation":"&lt;sup&gt;23,27&lt;/sup&gt;","plainTextFormattedCitation":"23,27","previouslyFormattedCitation":"&lt;sup&gt;23,27&lt;/sup&gt;"},"properties":{"noteIndex":0},"schema":"https://github.com/citation-style-language/schema/raw/master/csl-citation.json"}</w:instrText>
      </w:r>
      <w:r w:rsidR="006B5ADC" w:rsidRPr="004F692B">
        <w:rPr>
          <w:u w:val="single"/>
        </w:rPr>
        <w:fldChar w:fldCharType="separate"/>
      </w:r>
      <w:r w:rsidR="00356A19" w:rsidRPr="00356A19">
        <w:rPr>
          <w:noProof/>
          <w:vertAlign w:val="superscript"/>
        </w:rPr>
        <w:t>23,27</w:t>
      </w:r>
      <w:r w:rsidR="006B5ADC" w:rsidRPr="004F692B">
        <w:rPr>
          <w:u w:val="single"/>
        </w:rPr>
        <w:fldChar w:fldCharType="end"/>
      </w:r>
      <w:r w:rsidR="002E67D5" w:rsidRPr="004F692B">
        <w:rPr>
          <w:u w:val="single"/>
        </w:rPr>
        <w:t>)?</w:t>
      </w:r>
      <w:r w:rsidR="006B5ADC" w:rsidRPr="004F692B">
        <w:t xml:space="preserve"> </w:t>
      </w:r>
      <w:r w:rsidRPr="00F63BA5">
        <w:t>In our view, one way to circumvent these difficulties and compare mechanisms for concrete and abstract word comprehension without confounds would be to study the formation of representations for new words in a controlled environment, balancing them for the overall physical and psycholinguistic features as well as ensuring a similar acquisition mode. This is what we aimed at in the current study.</w:t>
      </w:r>
    </w:p>
    <w:p w14:paraId="4B52A1BB" w14:textId="21A0CE44" w:rsidR="005A6B47" w:rsidRDefault="00F63BA5" w:rsidP="00F63BA5">
      <w:pPr>
        <w:pStyle w:val="a3"/>
        <w:spacing w:before="102" w:line="249" w:lineRule="auto"/>
        <w:ind w:left="126" w:right="138" w:firstLine="7"/>
        <w:jc w:val="both"/>
      </w:pPr>
      <w:r w:rsidRPr="00F63BA5">
        <w:t>Effects of non-invasive brain stimulation on learning new words have been demonstrated in healthy individuals and for language re-acquisition after stroke-induced aphasia</w:t>
      </w:r>
      <w:r w:rsidRPr="00F63BA5">
        <w:fldChar w:fldCharType="begin" w:fldLock="1"/>
      </w:r>
      <w:r w:rsidR="00F86F06">
        <w:instrText>ADDIN CSL_CITATION {"citationItems":[{"id":"ITEM-1","itemData":{"DOI":"10.1162/jocn.2008.20098","ISSN":"0898929X","abstract":"Anodal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Neuroscience","id":"ITEM-1","issued":{"date-parts":[["2008"]]},"title":"Noninvasive brain stimulation improves language learning","type":"article-journal"},"uris":["http://www.mendeley.com/documents/?uuid=f7a87da0-6860-43e4-af2f-cb3fe26c4356"]},{"id":"ITEM-2","itemData":{"DOI":"10.3389/fnagi.2017.00137","ISSN":"16634365","abstract":"Healthy aging is accompanied by a continuous decline in cognitive functions. For example, the ability to learn languages decreases with age, while the neurobiological underpinnings for the decline in learning abilities are not known exactly. Transcranial direct current stimulation (tDCS), in combination with appropriate experimental paradigms, is a well-established technique to investigate the mechanisms of learning. Based on previous results in young adults, we tested the suitability of an associative learning paradigm for the acquisition of action- and object-related words in a cohort of older participants. We applied tDCS to the motor cortex (MC) and hypothesized an involvement of the MC in learning action-related words. To test this, a cohort of 18 healthy, older participants (mean age 71) engaged in a computer-assisted associative word-learning paradigm, while tDCS stimulation (anodal, cathodal, sham) was applied to the left MC. Participants' task performance was quantified in a randomized, cross-over experimental design. Participants successfully learned novel words, correctly translating 39.22% of the words after 1 h of training under sham stimulation. Task performance correlated with scores for declarative verbal learning and logical reasoning. Overall, tDCS did not influence associative word learning, but a specific influence was observed of cathodal tDCS on learning of action-related words during the NMDA-dependent stimulation period. Successful learning of a novel lexicon with associative learning in older participants can only be achieved when the learning procedure is changed in several aspects, relative to young subjects. Learning success showed large inter-individual variance which was dependent on non-linguistic as well as linguistic cognitive functions. Intriguingly, cathodal tDCS influenced the acquisition of action-related words in the NMDA-dependent stimulation period. However, the effect was not specific for the associative learning principle, suggesting more neurobiological fragility of learning in healthy aging compared with young persons.","author":[{"dropping-particle":"","family":"Branscheidt","given":"Meret","non-dropping-particle":"","parse-names":false,"suffix":""},{"dropping-particle":"","family":"Hoppe","given":"Julia","non-dropping-particle":"","parse-names":false,"suffix":""},{"dropping-particle":"","family":"Freundlieb","given":"Nils","non-dropping-particle":"","parse-names":false,"suffix":""},{"dropping-particle":"","family":"Zwitserlood","given":"Pienie","non-dropping-particle":"","parse-names":false,"suffix":""},{"dropping-particle":"","family":"Liuzzi","given":"Gianpiero","non-dropping-particle":"","parse-names":false,"suffix":""}],"container-title":"Frontiers in Aging Neuroscience","id":"ITEM-2","issued":{"date-parts":[["2017"]]},"title":"tDCS over the motor cortex shows differential effects on action and object words in associative word learning in healthy aging","type":"article-journal"},"uris":["http://www.mendeley.com/documents/?uuid=3103d70c-b58b-4bf4-b43b-3abbfc63d5ae"]},{"id":"ITEM-3","itemData":{"DOI":"10.1016/bs.pbr.2015.06.014","ISBN":"9780444635464","ISSN":"18757855","abstract":"Noninvasive transcranial brain stimulation (NTBS) is widely used to elucidate the contribution of different brain regions to various cognitive functions. Here we present three modeling approaches that are informed by functional or structural brain mapping or behavior profiling and discuss how these approaches advance the scientific potential of NTBS as an interventional tool in cognitive neuroscience. (i) Leveraging the anatomical information provided by structural imaging, the electric field distribution in the brain can be modeled and simulated. Biophysical modeling approaches generate testable predictions regarding the impact of interindividual variations in cortical anatomy on the injected electric fields or the influence of the orientation of current flow on the physiological stimulation effects. (ii) Functional brain mapping of the spatiotemporal neural dynamics during cognitive tasks can be used to construct causal network models. These models can identify spatiotemporal changes in effective connectivity during distinct cognitive states and allow for examining how effective connectivity is shaped by NTBS. (iii) Modeling the NTBS effects based on neuroimaging can be complemented by behavior-based cognitive models that exploit variations in task performance. For instance, NTBS-induced changes in response speed and accuracy can be explicitly modeled in a cognitive framework accounting for the speed-accuracy trade-off. This enables to dissociate between behavioral NTBS effects that emerge in the context of rapid automatic responses or in the context of slow deliberate responses. We argue that these complementary modeling approaches facilitate the use of NTBS as a means of dissecting the causal architecture of cognitive systems of the human brain. © 2015 Elsevier B.V.","author":[{"dropping-particle":"","family":"Hartwigsen","given":"Gesa","non-dropping-particle":"","parse-names":false,"suffix":""},{"dropping-particle":"","family":"Bergmann","given":"Til Ole","non-dropping-particle":"","parse-names":false,"suffix":""},{"dropping-particle":"","family":"Herz","given":"Damian Marc","non-dropping-particle":"","parse-names":false,"suffix":""},{"dropping-particle":"","family":"Angstmann","given":"Steffen","non-dropping-particle":"","parse-names":false,"suffix":""},{"dropping-particle":"","family":"Karabanov","given":"Anke","non-dropping-particle":"","parse-names":false,"suffix":""},{"dropping-particle":"","family":"Raffin","given":"Estelle","non-dropping-particle":"","parse-names":false,"suffix":""},{"dropping-particle":"","family":"Thielscher","given":"Axel","non-dropping-particle":"","parse-names":false,"suffix":""},{"dropping-particle":"","family":"Siebner","given":"Hartwig Roman","non-dropping-particle":"","parse-names":false,"suffix":""}],"container-title":"Progress in Brain Research","id":"ITEM-3","issued":{"date-parts":[["2015"]]},"title":"Modeling the effects of noninvasive transcranial brain stimulation at the biophysical, network, and cognitive Level","type":"chapter"},"uris":["http://www.mendeley.com/documents/?uuid=54833675-b674-4e7d-ba5a-3468aeb46191"]}],"mendeley":{"formattedCitation":"&lt;sup&gt;28–30&lt;/sup&gt;","plainTextFormattedCitation":"28–30","previouslyFormattedCitation":"&lt;sup&gt;28–30&lt;/sup&gt;"},"properties":{"noteIndex":0},"schema":"https://github.com/citation-style-language/schema/raw/master/csl-citation.json"}</w:instrText>
      </w:r>
      <w:r w:rsidRPr="00F63BA5">
        <w:fldChar w:fldCharType="separate"/>
      </w:r>
      <w:r w:rsidR="00356A19" w:rsidRPr="00356A19">
        <w:rPr>
          <w:noProof/>
          <w:vertAlign w:val="superscript"/>
        </w:rPr>
        <w:t>28–30</w:t>
      </w:r>
      <w:r w:rsidRPr="00F63BA5">
        <w:fldChar w:fldCharType="end"/>
      </w:r>
      <w:r w:rsidRPr="00F63BA5">
        <w:t xml:space="preserve">. For instance, </w:t>
      </w:r>
      <w:proofErr w:type="spellStart"/>
      <w:r w:rsidRPr="00F63BA5">
        <w:t>tDCS</w:t>
      </w:r>
      <w:proofErr w:type="spellEnd"/>
      <w:r w:rsidRPr="00F63BA5">
        <w:t xml:space="preserve"> has been shown to enhance language learning performance</w:t>
      </w:r>
      <w:r w:rsidRPr="00F63BA5">
        <w:fldChar w:fldCharType="begin" w:fldLock="1"/>
      </w:r>
      <w:r w:rsidR="00F86F06">
        <w:instrText>ADDIN CSL_CITATION {"citationItems":[{"id":"ITEM-1","itemData":{"DOI":"10.1016/j.neurobiolaging.2011.05.007","ISSN":"01974580","abstract":"Remembering the location of objects, an integral part of everyday life, is known to decline with advancing age and early in the course of neurodegenerative dementia. Here, we aimed to test if object-location learning and its retention could be modified by noninvasive brain stimulation. In a group of 20 elderly (mean age 62.1 years) right-handed individuals, we applied transcranial direct current stimulation (tDCS; 20 minutes, 1 mA) over the right temporoparietal cortex, while subjects acquired the correct position of buildings on a street map using an associative learning paradigm. Each subject participated in a randomized and balanced order in 1 session of anodal tDCS and 1 session of sham stimulation, in a double-blind design with 2 parallel versions of the task. Outcome measures were learning success at the end of each session, and immediate as well as delayed (1 week) free recall. We found that subjects performed comparably in the learning task in the 2 conditions, but showed improved recall 1 week after learning with anodal tDCS compared with learning with sham stimulation. In conclusion, retention of object-location learning in the elderly may be modulated by noninvasive brain stimulation, a finding of potential relevance not only for normal aging but also for memory deficits in pathological aging. © 2012 Elsevier Inc..","author":[{"dropping-particle":"","family":"Flöel","given":"Agnes","non-dropping-particle":"","parse-names":false,"suffix":""},{"dropping-particle":"","family":"Suttorp","given":"Wiebke","non-dropping-particle":"","parse-names":false,"suffix":""},{"dropping-particle":"","family":"Kohl","given":"Oliver","non-dropping-particle":"","parse-names":false,"suffix":""},{"dropping-particle":"","family":"Kürten","given":"Julia","non-dropping-particle":"","parse-names":false,"suffix":""},{"dropping-particle":"","family":"Lohmann","given":"Hubertus","non-dropping-particle":"","parse-names":false,"suffix":""},{"dropping-particle":"","family":"Breitenstein","given":"Caterina","non-dropping-particle":"","parse-names":false,"suffix":""},{"dropping-particle":"","family":"Knecht","given":"Stefan","non-dropping-particle":"","parse-names":false,"suffix":""}],"container-title":"Neurobiology of Aging","id":"ITEM-1","issued":{"date-parts":[["2012"]]},"title":"Non-invasive brain stimulation improves object-location learning in the elderly","type":"article-journal"},"uris":["http://www.mendeley.com/documents/?uuid=fc8d6cd5-49aa-44f2-acde-d0ed991eaaf9"]},{"id":"ITEM-2","itemData":{"DOI":"10.1002/ana.23761","ISSN":"03645134","abstract":"Objective: Decline in cognitive functions, including impaired acquisition of novel skills, is a feature of older age that impacts activities of daily living, independence, and integration in modern societies. Methods: We tested whether the acquisition of a complex motor skill can be enhanced in old subjects by the application of transcranial direct current stimulation (tDCS) to the motor cortex. Results: The main finding was that old participants experienced substantial improvements when training was applied concurrent with tDCS, with effects lasting for at least 24 hours. Interpretation: These results suggest noninvasive brain stimulation as a promising and safe tool to potentially assist functional independence of aged individuals in daily life. Copyright © 2012 American Neurological Association.","author":[{"dropping-particle":"","family":"Zimerman","given":"Máximo","non-dropping-particle":"","parse-names":false,"suffix":""},{"dropping-particle":"","family":"Nitsch","given":"Marie","non-dropping-particle":"","parse-names":false,"suffix":""},{"dropping-particle":"","family":"Giraux","given":"Pascal","non-dropping-particle":"","parse-names":false,"suffix":""},{"dropping-particle":"","family":"Gerloff","given":"Christian","non-dropping-particle":"","parse-names":false,"suffix":""},{"dropping-particle":"","family":"Cohen","given":"Leonardo G.","non-dropping-particle":"","parse-names":false,"suffix":""},{"dropping-particle":"","family":"Hummel","given":"Friedhelm C.","non-dropping-particle":"","parse-names":false,"suffix":""}],"container-title":"Annals of Neurology","id":"ITEM-2","issued":{"date-parts":[["2013"]]},"title":"Neuroenhancement of the aging brain: Restoring skill acquisition in old subjects","type":"article-journal"},"uris":["http://www.mendeley.com/documents/?uuid=5c2902c7-af95-4f7d-9262-ea36744f0c66"]},{"id":"ITEM-3","itemData":{"DOI":"10.3791/59159","ISSN":"1940087X","abstract":"Language is a highly important yet poorly understood function of the human brain. While studies of brain activation patterns during language comprehension are abundant, what is often critically missing is causal evidence of brain areas' involvement in a particular linguistic function, not least due to the unique human nature of this ability and a shortage of neurophysiological tools to study causal relationships in the human brain noninvasively. Recent years have seen a rapid rise in the use of transcranial direct current stimulation (tDCS) of the human brain, an easy, inexpensive and safe noninvasive technique that can modulate the state of the stimulated brain area (putatively by shifting excitation/ inhibition thresholds), enabling a study of its particular contribution to specific functions. While mostly focusing on motor control, the use of tDCS is becoming more widespread in both basic and clinical research on higher cognitive functions, language included, but the procedures for its application remain variable. Here, we describe the use of tDCS in a psycholinguistic word-learning experiment. We present the techniques and procedures for application of cathodal and anodal stimulation of core language areas of Broca and Wernicke in the left hemisphere of the human brain, describe the procedures of creating balanced sets of psycholinguistic stimuli, a controlled yet naturalistic learning regime, and a comprehensive set of techniques to assess the learning outcomes and tDCS effects. As an example of tDCS application, we show that cathodal stimulation of Wernicke's area prior to a learning session can impact word learning efficiency. This impact is both present immediately after learning and, importantly, preserved over longer time after the physical effects of stimulation wear off, suggesting that tDCS can have long-term influence on linguistic storage and representations in the human brain.","author":[{"dropping-particle":"","family":"Blagovechtchenski","given":"Evgeny","non-dropping-particle":"","parse-names":false,"suffix":""},{"dropping-particle":"","family":"Gnedykh","given":"Daria","non-dropping-particle":"","parse-names":false,"suffix":""},{"dropping-particle":"","family":"Kurmakaeva","given":"Diana","non-dropping-particle":"","parse-names":false,"suffix":""},{"dropping-particle":"","family":"Mkrtychian","given":"Nadezhda","non-dropping-particle":"","parse-names":false,"suffix":""},{"dropping-particle":"","family":"Kostromina","given":"Svetlana","non-dropping-particle":"","parse-names":false,"suffix":""},{"dropping-particle":"","family":"Shtyrov","given":"Yury","non-dropping-particle":"","parse-names":false,"suffix":""}],"container-title":"Journal of Visualized Experiments","id":"ITEM-3","issued":{"date-parts":[["2019"]]},"title":"Transcranial direct current stimulation (Tdcs) of wernicke's and broca's areas in studies of language learning and word acquisition","type":"article-journal"},"uris":["http://www.mendeley.com/documents/?uuid=510a9c99-a9cd-43ad-ac2d-d43111fdaf4e"]}],"mendeley":{"formattedCitation":"&lt;sup&gt;31–33&lt;/sup&gt;","plainTextFormattedCitation":"31–33","previouslyFormattedCitation":"&lt;sup&gt;31–33&lt;/sup&gt;"},"properties":{"noteIndex":0},"schema":"https://github.com/citation-style-language/schema/raw/master/csl-citation.json"}</w:instrText>
      </w:r>
      <w:r w:rsidRPr="00F63BA5">
        <w:fldChar w:fldCharType="separate"/>
      </w:r>
      <w:r w:rsidR="00356A19" w:rsidRPr="00356A19">
        <w:rPr>
          <w:noProof/>
          <w:vertAlign w:val="superscript"/>
        </w:rPr>
        <w:t>31–33</w:t>
      </w:r>
      <w:r w:rsidRPr="00F63BA5">
        <w:fldChar w:fldCharType="end"/>
      </w:r>
      <w:r w:rsidRPr="00F63BA5">
        <w:t>. A recent neurostimulation study</w:t>
      </w:r>
      <w:r w:rsidRPr="00F63BA5">
        <w:fldChar w:fldCharType="begin" w:fldLock="1"/>
      </w:r>
      <w:r w:rsidR="00F86F06">
        <w:instrText>ADDIN CSL_CITATION {"citationItems":[{"id":"ITEM-1","itemData":{"DOI":"10.1162/jocn.2010.21579","ISSN":"0898929X","abstract":"A number of studies have shown that modulating cortical activity by means of transcranial direct current stimulation (tDCS) affects performances of both healthy and brain-damaged subjects. In this study, we investigated the potential of tDCS to enhance associative verbal learning in 10 healthy individuals and to improve word retrieval deficits in three patients with strokeinduced aphasia. In healthy individuals, tDCS (20 min, 1 mA) was applied over Wernicke's area (position CP5 of the International 10-20 EEG System) while they learned 20 new ''words'' (legal nonwords arbitrarily assigned to 20 different pictures). The healthy subjects participated in a randomized counterbalanced double-blind procedure in which they were subjected to one session of anodic tDCS over left Wernicke's area, one sham session over this location and one session of anodic tDCS stimulating the right occipito-parietal area. Each experimental session was performed during a different week (over three consecutive weeks) with 6 days of intersession interval. Over 2 weeks, three aphasic subjects participated in a randomized double-blind experiment involving intensive language training for their anomic difficulties in two tDCS conditions. Each subject participated in five consecutive daily sessions of anodic tDCS (20 min, 1 mA) and sham stimulation over Wernicke's area while they performed a picture-naming task. By the end of each week, anodic tDCS had significantly improved their accuracy on the picture-naming task. Both normal subjects and aphasic patients also had shorter naming latencies during anodic tDCS than during sham condition. At two follow-ups (1 and 3 weeks after the end of treatment), performed only in two aphasic subjects, response accuracy and reaction times were still significantly better in the anodic than in the sham condition, suggesting a long-term effect on recovery of their anomic disturbances. © 2011 Massachusetts Institute of Technology.","author":[{"dropping-particle":"","family":"Fiori","given":"Valentina","non-dropping-particle":"","parse-names":false,"suffix":""},{"dropping-particle":"","family":"Coccia","given":"Michela","non-dropping-particle":"","parse-names":false,"suffix":""},{"dropping-particle":"V.","family":"Marinelli","given":"Chiara","non-dropping-particle":"","parse-names":false,"suffix":""},{"dropping-particle":"","family":"Vecchi","given":"Veronica","non-dropping-particle":"","parse-names":false,"suffix":""},{"dropping-particle":"","family":"Bonifazi","given":"Silvia","non-dropping-particle":"","parse-names":false,"suffix":""},{"dropping-particle":"","family":"Gabriella Ceravolo","given":"M.","non-dropping-particle":"","parse-names":false,"suffix":""},{"dropping-particle":"","family":"Provinciali","given":"Leandro","non-dropping-particle":"","parse-names":false,"suffix":""},{"dropping-particle":"","family":"Tomaiuolo","given":"Francesco","non-dropping-particle":"","parse-names":false,"suffix":""},{"dropping-particle":"","family":"Marangolo","given":"Paola","non-dropping-particle":"","parse-names":false,"suffix":""}],"container-title":"Journal of Cognitive Neuroscience","id":"ITEM-1","issued":{"date-parts":[["2011"]]},"title":"Transcranial direct current stimulation improves word retrieval in healthy and nonfluent aphasic subjects","type":"article-journal"},"uris":["http://www.mendeley.com/documents/?uuid=a953d9f4-bcb5-4c87-b590-017a1a3a98eb"]}],"mendeley":{"formattedCitation":"&lt;sup&gt;34&lt;/sup&gt;","plainTextFormattedCitation":"34","previouslyFormattedCitation":"&lt;sup&gt;34&lt;/sup&gt;"},"properties":{"noteIndex":0},"schema":"https://github.com/citation-style-language/schema/raw/master/csl-citation.json"}</w:instrText>
      </w:r>
      <w:r w:rsidRPr="00F63BA5">
        <w:fldChar w:fldCharType="separate"/>
      </w:r>
      <w:r w:rsidR="00356A19" w:rsidRPr="00356A19">
        <w:rPr>
          <w:noProof/>
          <w:vertAlign w:val="superscript"/>
        </w:rPr>
        <w:t>34</w:t>
      </w:r>
      <w:r w:rsidRPr="00F63BA5">
        <w:fldChar w:fldCharType="end"/>
      </w:r>
      <w:r w:rsidRPr="00F63BA5">
        <w:t xml:space="preserve"> revealed that anodal </w:t>
      </w:r>
      <w:proofErr w:type="spellStart"/>
      <w:r w:rsidRPr="00F63BA5">
        <w:t>tDCS</w:t>
      </w:r>
      <w:proofErr w:type="spellEnd"/>
      <w:r w:rsidRPr="00F63BA5">
        <w:t xml:space="preserve"> over Wernicke's area in a word learning task significantly improved the accuracy and decreased latencies in a picture-naming task, while another experiment</w:t>
      </w:r>
      <w:r w:rsidRPr="00F63BA5">
        <w:fldChar w:fldCharType="begin" w:fldLock="1"/>
      </w:r>
      <w:r w:rsidR="00F86F06">
        <w:instrText>ADDIN CSL_CITATION {"citationItems":[{"id":"ITEM-1","itemData":{"DOI":"10.1162/jocn.2008.20098","ISSN":"0898929X","abstract":"Anodal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Neuroscience","id":"ITEM-1","issued":{"date-parts":[["2008"]]},"title":"Noninvasive brain stimulation improves language learning","type":"article-journal"},"uris":["http://www.mendeley.com/documents/?uuid=f7a87da0-6860-43e4-af2f-cb3fe26c4356"]}],"mendeley":{"formattedCitation":"&lt;sup&gt;28&lt;/sup&gt;","plainTextFormattedCitation":"28","previouslyFormattedCitation":"&lt;sup&gt;28&lt;/sup&gt;"},"properties":{"noteIndex":0},"schema":"https://github.com/citation-style-language/schema/raw/master/csl-citation.json"}</w:instrText>
      </w:r>
      <w:r w:rsidRPr="00F63BA5">
        <w:fldChar w:fldCharType="separate"/>
      </w:r>
      <w:r w:rsidR="00356A19" w:rsidRPr="00356A19">
        <w:rPr>
          <w:noProof/>
          <w:vertAlign w:val="superscript"/>
        </w:rPr>
        <w:t>28</w:t>
      </w:r>
      <w:r w:rsidRPr="00F63BA5">
        <w:fldChar w:fldCharType="end"/>
      </w:r>
      <w:r w:rsidRPr="00F63BA5">
        <w:t xml:space="preserve"> showed faster and better associative verbal learning with the anodal </w:t>
      </w:r>
      <w:proofErr w:type="spellStart"/>
      <w:r w:rsidRPr="00F63BA5">
        <w:t>tDCS</w:t>
      </w:r>
      <w:proofErr w:type="spellEnd"/>
      <w:r w:rsidRPr="00F63BA5">
        <w:t xml:space="preserve"> over the posterior part of the left </w:t>
      </w:r>
      <w:proofErr w:type="spellStart"/>
      <w:r w:rsidRPr="00F63BA5">
        <w:t>perisylvian</w:t>
      </w:r>
      <w:proofErr w:type="spellEnd"/>
      <w:r w:rsidRPr="00F63BA5">
        <w:t xml:space="preserve"> area compared to sham (placebo) condition. </w:t>
      </w:r>
    </w:p>
    <w:p w14:paraId="6AF0E9A5" w14:textId="09052230" w:rsidR="00F63BA5" w:rsidRPr="00B35060" w:rsidRDefault="00F63BA5" w:rsidP="0087648F">
      <w:pPr>
        <w:pStyle w:val="a3"/>
        <w:spacing w:before="102" w:line="249" w:lineRule="auto"/>
        <w:ind w:left="126" w:right="138"/>
        <w:jc w:val="both"/>
        <w:rPr>
          <w:strike/>
        </w:rPr>
      </w:pPr>
      <w:r w:rsidRPr="00F63BA5">
        <w:t xml:space="preserve">However, no non-invasive stimulation study has so far directly compared the learning of </w:t>
      </w:r>
      <w:r w:rsidR="00D0046F" w:rsidRPr="004F692B">
        <w:rPr>
          <w:u w:val="single"/>
        </w:rPr>
        <w:t>concrete and abstract</w:t>
      </w:r>
      <w:r w:rsidR="00D0046F">
        <w:t xml:space="preserve"> </w:t>
      </w:r>
      <w:r w:rsidRPr="00F63BA5">
        <w:t xml:space="preserve">semantics. A direct comparison of novel concrete vs. abstract word learning </w:t>
      </w:r>
      <w:r w:rsidR="00577007" w:rsidRPr="004F692B">
        <w:rPr>
          <w:u w:val="single"/>
        </w:rPr>
        <w:t xml:space="preserve">after </w:t>
      </w:r>
      <w:proofErr w:type="spellStart"/>
      <w:r w:rsidR="00577007" w:rsidRPr="004F692B">
        <w:rPr>
          <w:u w:val="single"/>
        </w:rPr>
        <w:t>tDCS</w:t>
      </w:r>
      <w:proofErr w:type="spellEnd"/>
      <w:r w:rsidR="00577007" w:rsidRPr="004F692B">
        <w:rPr>
          <w:u w:val="single"/>
        </w:rPr>
        <w:t xml:space="preserve"> of different polarities</w:t>
      </w:r>
      <w:r w:rsidR="00577007">
        <w:t xml:space="preserve"> </w:t>
      </w:r>
      <w:r w:rsidRPr="00F63BA5">
        <w:t>was the aim of the present experiment.</w:t>
      </w:r>
    </w:p>
    <w:p w14:paraId="7D5C26FC" w14:textId="09BF7DFB" w:rsidR="00A75EAA" w:rsidRPr="004F692B" w:rsidRDefault="00A75EAA" w:rsidP="00124D87">
      <w:pPr>
        <w:pStyle w:val="a3"/>
        <w:spacing w:before="102" w:line="249" w:lineRule="auto"/>
        <w:ind w:left="126" w:right="138" w:firstLine="7"/>
        <w:jc w:val="both"/>
        <w:rPr>
          <w:u w:val="single"/>
        </w:rPr>
      </w:pPr>
      <w:r w:rsidRPr="004F692B">
        <w:rPr>
          <w:rFonts w:cstheme="minorHAnsi"/>
          <w:u w:val="single"/>
          <w:lang w:val="en-GB"/>
        </w:rPr>
        <w:t xml:space="preserve">Critically, the available accounts </w:t>
      </w:r>
      <w:r w:rsidR="0049080C">
        <w:rPr>
          <w:rFonts w:cstheme="minorHAnsi"/>
          <w:u w:val="single"/>
          <w:lang w:val="en-GB"/>
        </w:rPr>
        <w:t>claim</w:t>
      </w:r>
      <w:r w:rsidRPr="004F692B">
        <w:rPr>
          <w:rFonts w:cstheme="minorHAnsi"/>
          <w:u w:val="single"/>
          <w:lang w:val="en-GB"/>
        </w:rPr>
        <w:t xml:space="preserve"> that, whereas representations of concrete word</w:t>
      </w:r>
      <w:r w:rsidR="00BF5D43" w:rsidRPr="004F692B">
        <w:rPr>
          <w:rFonts w:cstheme="minorHAnsi"/>
          <w:u w:val="single"/>
          <w:lang w:val="en-GB"/>
        </w:rPr>
        <w:t>s</w:t>
      </w:r>
      <w:r w:rsidRPr="004F692B">
        <w:rPr>
          <w:rFonts w:cstheme="minorHAnsi"/>
          <w:u w:val="single"/>
          <w:lang w:val="en-GB"/>
        </w:rPr>
        <w:t xml:space="preserve"> are distributed across different areas of the two hemispheres and involve modality-specific areas, the abstract semantics </w:t>
      </w:r>
      <w:r w:rsidR="00BF5D43" w:rsidRPr="004F692B">
        <w:rPr>
          <w:rFonts w:cstheme="minorHAnsi"/>
          <w:u w:val="single"/>
          <w:lang w:val="en-GB"/>
        </w:rPr>
        <w:t>is</w:t>
      </w:r>
      <w:r w:rsidRPr="004F692B">
        <w:rPr>
          <w:rFonts w:cstheme="minorHAnsi"/>
          <w:u w:val="single"/>
          <w:lang w:val="en-GB"/>
        </w:rPr>
        <w:t xml:space="preserve"> </w:t>
      </w:r>
      <w:r w:rsidR="00BF5D43" w:rsidRPr="004F692B">
        <w:rPr>
          <w:rFonts w:cstheme="minorHAnsi"/>
          <w:u w:val="single"/>
          <w:lang w:val="en-GB"/>
        </w:rPr>
        <w:t>predominantly represented by th</w:t>
      </w:r>
      <w:r w:rsidRPr="004F692B">
        <w:rPr>
          <w:rFonts w:cstheme="minorHAnsi"/>
          <w:u w:val="single"/>
          <w:lang w:val="en-GB"/>
        </w:rPr>
        <w:t xml:space="preserve">e </w:t>
      </w:r>
      <w:r w:rsidR="00BF5D43" w:rsidRPr="004F692B">
        <w:rPr>
          <w:rFonts w:cstheme="minorHAnsi"/>
          <w:u w:val="single"/>
          <w:lang w:val="en-GB"/>
        </w:rPr>
        <w:t xml:space="preserve">core </w:t>
      </w:r>
      <w:r w:rsidRPr="004F692B">
        <w:rPr>
          <w:rFonts w:cstheme="minorHAnsi"/>
          <w:u w:val="single"/>
          <w:lang w:val="en-GB"/>
        </w:rPr>
        <w:t xml:space="preserve">language </w:t>
      </w:r>
      <w:r w:rsidR="00BF5D43" w:rsidRPr="004F692B">
        <w:rPr>
          <w:rFonts w:cstheme="minorHAnsi"/>
          <w:u w:val="single"/>
          <w:lang w:val="en-GB"/>
        </w:rPr>
        <w:t>systems</w:t>
      </w:r>
      <w:r w:rsidRPr="004F692B">
        <w:rPr>
          <w:rFonts w:cstheme="minorHAnsi"/>
          <w:u w:val="single"/>
          <w:lang w:val="en-GB"/>
        </w:rPr>
        <w:t xml:space="preserve"> of the left hemisphere, which</w:t>
      </w:r>
      <w:r w:rsidR="00BF5D43" w:rsidRPr="004F692B">
        <w:rPr>
          <w:rFonts w:cstheme="minorHAnsi"/>
          <w:u w:val="single"/>
          <w:lang w:val="en-GB"/>
        </w:rPr>
        <w:t>, in turn,</w:t>
      </w:r>
      <w:r w:rsidRPr="004F692B">
        <w:rPr>
          <w:rFonts w:cstheme="minorHAnsi"/>
          <w:u w:val="single"/>
          <w:lang w:val="en-GB"/>
        </w:rPr>
        <w:t xml:space="preserve"> suggests</w:t>
      </w:r>
      <w:r w:rsidR="009E4DE5">
        <w:rPr>
          <w:rFonts w:cstheme="minorHAnsi"/>
          <w:u w:val="single"/>
          <w:lang w:val="en-GB"/>
        </w:rPr>
        <w:t xml:space="preserve"> </w:t>
      </w:r>
      <w:r w:rsidRPr="004F692B">
        <w:rPr>
          <w:rFonts w:cstheme="minorHAnsi"/>
          <w:u w:val="single"/>
          <w:lang w:val="en-GB"/>
        </w:rPr>
        <w:t>stronger i</w:t>
      </w:r>
      <w:r w:rsidR="005D7BD2">
        <w:rPr>
          <w:rFonts w:cstheme="minorHAnsi"/>
          <w:u w:val="single"/>
          <w:lang w:val="en-GB"/>
        </w:rPr>
        <w:t>mpact</w:t>
      </w:r>
      <w:r w:rsidRPr="004F692B">
        <w:rPr>
          <w:rFonts w:cstheme="minorHAnsi"/>
          <w:u w:val="single"/>
          <w:lang w:val="en-GB"/>
        </w:rPr>
        <w:t xml:space="preserve"> of their stimulation on abstract word acquisition. This </w:t>
      </w:r>
      <w:r w:rsidR="00BF5D43" w:rsidRPr="004F692B">
        <w:rPr>
          <w:rFonts w:cstheme="minorHAnsi"/>
          <w:u w:val="single"/>
          <w:lang w:val="en-GB"/>
        </w:rPr>
        <w:t>prediction</w:t>
      </w:r>
      <w:r w:rsidR="005D7BD2">
        <w:rPr>
          <w:rFonts w:cstheme="minorHAnsi"/>
          <w:u w:val="single"/>
          <w:lang w:val="en-GB"/>
        </w:rPr>
        <w:t>, in turn,</w:t>
      </w:r>
      <w:r w:rsidR="00BF5D43" w:rsidRPr="004F692B">
        <w:rPr>
          <w:rFonts w:cstheme="minorHAnsi"/>
          <w:u w:val="single"/>
          <w:lang w:val="en-GB"/>
        </w:rPr>
        <w:t xml:space="preserve"> points to two </w:t>
      </w:r>
      <w:r w:rsidRPr="004F692B">
        <w:rPr>
          <w:rFonts w:cstheme="minorHAnsi"/>
          <w:u w:val="single"/>
          <w:lang w:val="en-GB"/>
        </w:rPr>
        <w:t>main potential targets for</w:t>
      </w:r>
      <w:r w:rsidR="005D7BD2">
        <w:rPr>
          <w:rFonts w:cstheme="minorHAnsi"/>
          <w:u w:val="single"/>
          <w:lang w:val="en-GB"/>
        </w:rPr>
        <w:t xml:space="preserve"> such</w:t>
      </w:r>
      <w:r w:rsidRPr="004F692B">
        <w:rPr>
          <w:rFonts w:cstheme="minorHAnsi"/>
          <w:u w:val="single"/>
          <w:lang w:val="en-GB"/>
        </w:rPr>
        <w:t xml:space="preserve"> stimulation: Broca’s area in </w:t>
      </w:r>
      <w:r w:rsidR="00BF5D43" w:rsidRPr="004F692B">
        <w:rPr>
          <w:rFonts w:cstheme="minorHAnsi"/>
          <w:u w:val="single"/>
          <w:lang w:val="en-GB"/>
        </w:rPr>
        <w:t xml:space="preserve">the </w:t>
      </w:r>
      <w:r w:rsidRPr="004F692B">
        <w:rPr>
          <w:rFonts w:cstheme="minorHAnsi"/>
          <w:u w:val="single"/>
          <w:lang w:val="en-GB"/>
        </w:rPr>
        <w:t xml:space="preserve">left </w:t>
      </w:r>
      <w:proofErr w:type="spellStart"/>
      <w:r w:rsidRPr="004F692B">
        <w:rPr>
          <w:rFonts w:cstheme="minorHAnsi"/>
          <w:u w:val="single"/>
          <w:lang w:val="en-GB"/>
        </w:rPr>
        <w:t>inferio</w:t>
      </w:r>
      <w:proofErr w:type="spellEnd"/>
      <w:r w:rsidRPr="004F692B">
        <w:rPr>
          <w:rFonts w:cstheme="minorHAnsi"/>
          <w:u w:val="single"/>
          <w:lang w:val="en-GB"/>
        </w:rPr>
        <w:t xml:space="preserve">-frontal cortex or temporo-parietal </w:t>
      </w:r>
      <w:r w:rsidR="00BF5D43" w:rsidRPr="004F692B">
        <w:rPr>
          <w:rFonts w:cstheme="minorHAnsi"/>
          <w:u w:val="single"/>
          <w:lang w:val="en-GB"/>
        </w:rPr>
        <w:t>cortices</w:t>
      </w:r>
      <w:r w:rsidRPr="004F692B">
        <w:rPr>
          <w:rFonts w:cstheme="minorHAnsi"/>
          <w:u w:val="single"/>
          <w:lang w:val="en-GB"/>
        </w:rPr>
        <w:t xml:space="preserve"> </w:t>
      </w:r>
      <w:r w:rsidR="00BF5D43" w:rsidRPr="004F692B">
        <w:rPr>
          <w:rFonts w:cstheme="minorHAnsi"/>
          <w:u w:val="single"/>
          <w:lang w:val="en-GB"/>
        </w:rPr>
        <w:t xml:space="preserve">in </w:t>
      </w:r>
      <w:r w:rsidRPr="004F692B">
        <w:rPr>
          <w:rFonts w:cstheme="minorHAnsi"/>
          <w:u w:val="single"/>
          <w:lang w:val="en-GB"/>
        </w:rPr>
        <w:t>Wernicke’s are</w:t>
      </w:r>
      <w:r w:rsidR="00BF5D43" w:rsidRPr="004F692B">
        <w:rPr>
          <w:rFonts w:cstheme="minorHAnsi"/>
          <w:u w:val="single"/>
          <w:lang w:val="en-GB"/>
        </w:rPr>
        <w:t>a</w:t>
      </w:r>
      <w:r w:rsidRPr="004F692B">
        <w:rPr>
          <w:rFonts w:cstheme="minorHAnsi"/>
          <w:u w:val="single"/>
          <w:lang w:val="en-GB"/>
        </w:rPr>
        <w:t xml:space="preserve"> and its vicinity. </w:t>
      </w:r>
      <w:r w:rsidRPr="004F692B">
        <w:rPr>
          <w:u w:val="single"/>
        </w:rPr>
        <w:t xml:space="preserve">In this first study on this topic, we chose </w:t>
      </w:r>
      <w:r w:rsidR="00F63BA5" w:rsidRPr="004F692B">
        <w:rPr>
          <w:u w:val="single"/>
        </w:rPr>
        <w:t xml:space="preserve">Wernicke’s area, a key language area in </w:t>
      </w:r>
      <w:r w:rsidR="0049080C">
        <w:rPr>
          <w:u w:val="single"/>
        </w:rPr>
        <w:t>the</w:t>
      </w:r>
      <w:r w:rsidR="00F63BA5" w:rsidRPr="004F692B">
        <w:rPr>
          <w:u w:val="single"/>
        </w:rPr>
        <w:t xml:space="preserve"> neocortex, linked </w:t>
      </w:r>
      <w:r w:rsidR="0049080C">
        <w:rPr>
          <w:u w:val="single"/>
        </w:rPr>
        <w:t>with</w:t>
      </w:r>
      <w:r w:rsidR="00F63BA5" w:rsidRPr="004F692B">
        <w:rPr>
          <w:u w:val="single"/>
        </w:rPr>
        <w:t xml:space="preserve"> the </w:t>
      </w:r>
      <w:r w:rsidR="00BF5D43" w:rsidRPr="004F692B">
        <w:rPr>
          <w:u w:val="single"/>
        </w:rPr>
        <w:t xml:space="preserve">coding, </w:t>
      </w:r>
      <w:r w:rsidR="00F63BA5" w:rsidRPr="004F692B">
        <w:rPr>
          <w:u w:val="single"/>
        </w:rPr>
        <w:t>storage and comprehension of various types of semantics</w:t>
      </w:r>
      <w:r w:rsidR="00F63BA5" w:rsidRPr="004F692B">
        <w:rPr>
          <w:u w:val="single"/>
        </w:rPr>
        <w:fldChar w:fldCharType="begin" w:fldLock="1"/>
      </w:r>
      <w:r w:rsidR="00F86F06">
        <w:rPr>
          <w:u w:val="single"/>
        </w:rPr>
        <w:instrText>ADDIN CSL_CITATION {"citationItems":[{"id":"ITEM-1","itemData":{"DOI":"10.1016/j.tics.2013.06.004","ISSN":"13646613","abstract":"How brain structures and neuronal circuits mechanistically underpin symbolic meaning has recently been elucidated by neuroimaging, neuropsychological, and neurocomputational research. Modality-specific 'embodied' mechanisms anchored in sensorimotor systems appear to be relevant, as are 'disembodied' mechanisms in multimodal areas. In this paper, four semantic mechanisms are proposed and spelt out at the level of neuronal circuits: referential semantics, which establishes links between symbols and the objects and actions they are used to speak about; combinatorial semantics, which enables the learning of symbolic meaning from context; emotional-affective semantics, which establishes links between signs and internal states of the body; and abstraction mechanisms for generalizing over a range of instances of semantic meaning. Referential, combinatorial, emotional-affective, and abstract semantics are complementary mechanisms, each necessary for processing meaning in mind and brain. © 2013 Elsevier Ltd.","author":[{"dropping-particle":"","family":"Pulvermüller","given":"Friedemann","non-dropping-particle":"","parse-names":false,"suffix":""}],"container-title":"Trends in Cognitive Sciences","id":"ITEM-1","issued":{"date-parts":[["2013"]]},"title":"How neurons make meaning: Brain mechanisms for embodied and abstract-symbolic semantics","type":"article"},"uris":["http://www.mendeley.com/documents/?uuid=94d0186c-ed2d-4f2e-bdcb-5d69c84f58d4"]}],"mendeley":{"formattedCitation":"&lt;sup&gt;35&lt;/sup&gt;","plainTextFormattedCitation":"35","previouslyFormattedCitation":"&lt;sup&gt;35&lt;/sup&gt;"},"properties":{"noteIndex":0},"schema":"https://github.com/citation-style-language/schema/raw/master/csl-citation.json"}</w:instrText>
      </w:r>
      <w:r w:rsidR="00F63BA5" w:rsidRPr="004F692B">
        <w:rPr>
          <w:u w:val="single"/>
        </w:rPr>
        <w:fldChar w:fldCharType="separate"/>
      </w:r>
      <w:r w:rsidR="00356A19" w:rsidRPr="00356A19">
        <w:rPr>
          <w:noProof/>
          <w:vertAlign w:val="superscript"/>
        </w:rPr>
        <w:t>35</w:t>
      </w:r>
      <w:r w:rsidR="00F63BA5" w:rsidRPr="004F692B">
        <w:rPr>
          <w:u w:val="single"/>
        </w:rPr>
        <w:fldChar w:fldCharType="end"/>
      </w:r>
      <w:r w:rsidR="00013645">
        <w:rPr>
          <w:u w:val="single"/>
        </w:rPr>
        <w:t>,</w:t>
      </w:r>
      <w:r w:rsidR="0049080C">
        <w:rPr>
          <w:u w:val="single"/>
        </w:rPr>
        <w:t xml:space="preserve"> which</w:t>
      </w:r>
      <w:r w:rsidR="00F63BA5" w:rsidRPr="004F692B">
        <w:rPr>
          <w:u w:val="single"/>
        </w:rPr>
        <w:t xml:space="preserve"> has already been successfully modulated in word-learning experiments</w:t>
      </w:r>
      <w:r w:rsidR="00F63BA5" w:rsidRPr="004F692B">
        <w:rPr>
          <w:u w:val="single"/>
        </w:rPr>
        <w:fldChar w:fldCharType="begin" w:fldLock="1"/>
      </w:r>
      <w:r w:rsidR="00F86F06">
        <w:rPr>
          <w:u w:val="single"/>
        </w:rPr>
        <w:instrText>ADDIN CSL_CITATION {"citationItems":[{"id":"ITEM-1","itemData":{"DOI":"10.1162/jocn.2008.20098","ISSN":"0898929X","abstract":"Anodal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Neuroscience","id":"ITEM-1","issued":{"date-parts":[["2008"]]},"title":"Noninvasive brain stimulation improves language learning","type":"article-journal"},"uris":["http://www.mendeley.com/documents/?uuid=f7a87da0-6860-43e4-af2f-cb3fe26c4356"]},{"id":"ITEM-2","itemData":{"DOI":"10.1162/jocn.2010.21579","ISSN":"0898929X","abstract":"A number of studies have shown that modulating cortical activity by means of transcranial direct current stimulation (tDCS) affects performances of both healthy and brain-damaged subjects. In this study, we investigated the potential of tDCS to enhance associative verbal learning in 10 healthy individuals and to improve word retrieval deficits in three patients with strokeinduced aphasia. In healthy individuals, tDCS (20 min, 1 mA) was applied over Wernicke's area (position CP5 of the International 10-20 EEG System) while they learned 20 new ''words'' (legal nonwords arbitrarily assigned to 20 different pictures). The healthy subjects participated in a randomized counterbalanced double-blind procedure in which they were subjected to one session of anodic tDCS over left Wernicke's area, one sham session over this location and one session of anodic tDCS stimulating the right occipito-parietal area. Each experimental session was performed during a different week (over three consecutive weeks) with 6 days of intersession interval. Over 2 weeks, three aphasic subjects participated in a randomized double-blind experiment involving intensive language training for their anomic difficulties in two tDCS conditions. Each subject participated in five consecutive daily sessions of anodic tDCS (20 min, 1 mA) and sham stimulation over Wernicke's area while they performed a picture-naming task. By the end of each week, anodic tDCS had significantly improved their accuracy on the picture-naming task. Both normal subjects and aphasic patients also had shorter naming latencies during anodic tDCS than during sham condition. At two follow-ups (1 and 3 weeks after the end of treatment), performed only in two aphasic subjects, response accuracy and reaction times were still significantly better in the anodic than in the sham condition, suggesting a long-term effect on recovery of their anomic disturbances. © 2011 Massachusetts Institute of Technology.","author":[{"dropping-particle":"","family":"Fiori","given":"Valentina","non-dropping-particle":"","parse-names":false,"suffix":""},{"dropping-particle":"","family":"Coccia","given":"Michela","non-dropping-particle":"","parse-names":false,"suffix":""},{"dropping-particle":"V.","family":"Marinelli","given":"Chiara","non-dropping-particle":"","parse-names":false,"suffix":""},{"dropping-particle":"","family":"Vecchi","given":"Veronica","non-dropping-particle":"","parse-names":false,"suffix":""},{"dropping-particle":"","family":"Bonifazi","given":"Silvia","non-dropping-particle":"","parse-names":false,"suffix":""},{"dropping-particle":"","family":"Gabriella Ceravolo","given":"M.","non-dropping-particle":"","parse-names":false,"suffix":""},{"dropping-particle":"","family":"Provinciali","given":"Leandro","non-dropping-particle":"","parse-names":false,"suffix":""},{"dropping-particle":"","family":"Tomaiuolo","given":"Francesco","non-dropping-particle":"","parse-names":false,"suffix":""},{"dropping-particle":"","family":"Marangolo","given":"Paola","non-dropping-particle":"","parse-names":false,"suffix":""}],"container-title":"Journal of Cognitive Neuroscience","id":"ITEM-2","issued":{"date-parts":[["2011"]]},"title":"Transcranial direct current stimulation improves word retrieval in healthy and nonfluent aphasic subjects","type":"article-journal"},"uris":["http://www.mendeley.com/documents/?uuid=a953d9f4-bcb5-4c87-b590-017a1a3a98eb"]}],"mendeley":{"formattedCitation":"&lt;sup&gt;28,34&lt;/sup&gt;","plainTextFormattedCitation":"28,34","previouslyFormattedCitation":"&lt;sup&gt;28,34&lt;/sup&gt;"},"properties":{"noteIndex":0},"schema":"https://github.com/citation-style-language/schema/raw/master/csl-citation.json"}</w:instrText>
      </w:r>
      <w:r w:rsidR="00F63BA5" w:rsidRPr="004F692B">
        <w:rPr>
          <w:u w:val="single"/>
        </w:rPr>
        <w:fldChar w:fldCharType="separate"/>
      </w:r>
      <w:r w:rsidR="00356A19" w:rsidRPr="00356A19">
        <w:rPr>
          <w:noProof/>
          <w:vertAlign w:val="superscript"/>
        </w:rPr>
        <w:t>28,34</w:t>
      </w:r>
      <w:r w:rsidR="00F63BA5" w:rsidRPr="004F692B">
        <w:rPr>
          <w:u w:val="single"/>
        </w:rPr>
        <w:fldChar w:fldCharType="end"/>
      </w:r>
      <w:r w:rsidR="00F63BA5" w:rsidRPr="004F692B">
        <w:rPr>
          <w:u w:val="single"/>
        </w:rPr>
        <w:t xml:space="preserve">. </w:t>
      </w:r>
      <w:r w:rsidR="0049080C">
        <w:rPr>
          <w:u w:val="single"/>
        </w:rPr>
        <w:t xml:space="preserve">One reason for this choice was to </w:t>
      </w:r>
      <w:r w:rsidR="00013645">
        <w:rPr>
          <w:u w:val="single"/>
        </w:rPr>
        <w:t>avoid</w:t>
      </w:r>
      <w:r w:rsidR="0049080C">
        <w:rPr>
          <w:u w:val="single"/>
        </w:rPr>
        <w:t xml:space="preserve"> interfere</w:t>
      </w:r>
      <w:r w:rsidR="00013645">
        <w:rPr>
          <w:u w:val="single"/>
        </w:rPr>
        <w:t>nce</w:t>
      </w:r>
      <w:r w:rsidR="0049080C">
        <w:rPr>
          <w:u w:val="single"/>
        </w:rPr>
        <w:t xml:space="preserve"> with language production mediated by Broca's area and required in assessment tasks. </w:t>
      </w:r>
      <w:r w:rsidR="00BF5D43" w:rsidRPr="004F692B">
        <w:rPr>
          <w:u w:val="single"/>
        </w:rPr>
        <w:t xml:space="preserve">We expected </w:t>
      </w:r>
      <w:r w:rsidR="0049080C">
        <w:rPr>
          <w:u w:val="single"/>
        </w:rPr>
        <w:t>Wernicke</w:t>
      </w:r>
      <w:r w:rsidR="00013645">
        <w:rPr>
          <w:u w:val="single"/>
        </w:rPr>
        <w:t>’s</w:t>
      </w:r>
      <w:r w:rsidR="0049080C">
        <w:rPr>
          <w:u w:val="single"/>
        </w:rPr>
        <w:t xml:space="preserve"> area </w:t>
      </w:r>
      <w:proofErr w:type="spellStart"/>
      <w:r w:rsidR="0049080C">
        <w:rPr>
          <w:u w:val="single"/>
        </w:rPr>
        <w:t>tDCS</w:t>
      </w:r>
      <w:proofErr w:type="spellEnd"/>
      <w:r w:rsidR="00BF5D43" w:rsidRPr="004F692B">
        <w:rPr>
          <w:u w:val="single"/>
        </w:rPr>
        <w:t xml:space="preserve"> to affect </w:t>
      </w:r>
      <w:r w:rsidR="009E4DE5">
        <w:rPr>
          <w:u w:val="single"/>
        </w:rPr>
        <w:t xml:space="preserve">the </w:t>
      </w:r>
      <w:r w:rsidR="00BF5D43" w:rsidRPr="004F692B">
        <w:rPr>
          <w:u w:val="single"/>
        </w:rPr>
        <w:t>acquisition of concrete and abstract semantics, with a stronger influence for the latter.</w:t>
      </w:r>
    </w:p>
    <w:p w14:paraId="3ADC5C2A" w14:textId="1731EAD2" w:rsidR="00A75EAA" w:rsidRPr="004F692B" w:rsidRDefault="00F63BA5" w:rsidP="004F692B">
      <w:pPr>
        <w:pStyle w:val="a3"/>
        <w:spacing w:before="102" w:line="249" w:lineRule="auto"/>
        <w:ind w:left="126" w:right="138"/>
        <w:jc w:val="both"/>
        <w:rPr>
          <w:highlight w:val="green"/>
        </w:rPr>
      </w:pPr>
      <w:r w:rsidRPr="00F63BA5">
        <w:t xml:space="preserve">We used anodal and cathodal stimulation in different groups of subjects, with a further control group subjected to sham stimulation, which imitates </w:t>
      </w:r>
      <w:proofErr w:type="spellStart"/>
      <w:r w:rsidRPr="00F63BA5">
        <w:t>tDCS</w:t>
      </w:r>
      <w:proofErr w:type="spellEnd"/>
      <w:r w:rsidRPr="00F63BA5">
        <w:t xml:space="preserve"> set-up without delivering actual current to the participant’s head. </w:t>
      </w:r>
      <w:r w:rsidR="005A5E1E" w:rsidRPr="004F692B">
        <w:rPr>
          <w:u w:val="single"/>
        </w:rPr>
        <w:t>D</w:t>
      </w:r>
      <w:r w:rsidR="00A75EAA" w:rsidRPr="004F692B">
        <w:rPr>
          <w:u w:val="single"/>
        </w:rPr>
        <w:t>iver</w:t>
      </w:r>
      <w:r w:rsidR="005A5E1E" w:rsidRPr="004F692B">
        <w:rPr>
          <w:u w:val="single"/>
        </w:rPr>
        <w:t>ging</w:t>
      </w:r>
      <w:r w:rsidR="00A75EAA" w:rsidRPr="004F692B">
        <w:rPr>
          <w:u w:val="single"/>
        </w:rPr>
        <w:t xml:space="preserve"> effects of </w:t>
      </w:r>
      <w:proofErr w:type="spellStart"/>
      <w:r w:rsidR="00A75EAA" w:rsidRPr="004F692B">
        <w:rPr>
          <w:u w:val="single"/>
        </w:rPr>
        <w:t>tDCS</w:t>
      </w:r>
      <w:proofErr w:type="spellEnd"/>
      <w:r w:rsidR="005A5E1E" w:rsidRPr="004F692B">
        <w:rPr>
          <w:u w:val="single"/>
        </w:rPr>
        <w:t xml:space="preserve"> polarity</w:t>
      </w:r>
      <w:r w:rsidR="00A75EAA" w:rsidRPr="004F692B">
        <w:rPr>
          <w:u w:val="single"/>
        </w:rPr>
        <w:t xml:space="preserve"> are known from a large number of motor-system studies</w:t>
      </w:r>
      <w:r w:rsidR="00A75EAA" w:rsidRPr="004F692B">
        <w:rPr>
          <w:u w:val="single"/>
        </w:rPr>
        <w:fldChar w:fldCharType="begin" w:fldLock="1"/>
      </w:r>
      <w:r w:rsidR="00F86F06">
        <w:rPr>
          <w:u w:val="single"/>
        </w:rPr>
        <w:instrText>ADDIN CSL_CITATION {"citationItems":[{"id":"ITEM-1","itemData":{"DOI":"10.1371/journal.pone.0057425","ISSN":"19326203","abstract":"Background: Premotor cortical regions (PMC) play an important role in the orchestration of motor function, yet their role in compensatory mechanisms in a disturbed motor system is largely unclear. Previous studies are consistent in describing pronounced anatomical and functional connectivity between the PMC and the primary motor cortex (M1). Lesion studies consistently show compensatory adaptive changes in PMC neural activity following an M1 lesion. Non-invasive brain modification of PMC neural activity has shown compensatory neurophysiological aftereffects in M1. These studies have contributed to our understanding of how M1 responds to changes in PMC neural activity. Yet, the way in which the PMC responds to artificial inhibition of M1 neural activity is unclear. Here we investigate the neurophysiological consequences in the PMC and the behavioral consequences for motor performance of stimulation mediated M1 inhibition by cathodal transcranial direct current stimulation (tDCS). Purpose: The primary goal was to determine how electrophysiological measures of PMC excitability change in order to compensate for inhibited M1 neural excitability and attenuated motor performance. Hypothesis: Cathodal inhibition of M1 excitability leads to a compensatory increase of ipsilateral PMC excitability. Methods: We enrolled 16 healthy participants in this randomized, double-blind, sham-controlled, crossover design study. All participants underwent navigated transcranial magnetic stimulation (nTMS) to identify PMC and M1 corticospinal projections as well as to evaluate electrophysiological measures of cortical, intracortical and interhemispheric excitability. Cortical M1 excitability was inhibited using cathodal tDCS. Finger-tapping speeds were used to examine motor function. Results: Cathodal tDCS successfully reduced M1 excitability and motor performance speed. PMC excitability was increased for longer and was the only significant predictor of motor performance. Conclusion: The PMC compensates for attenuated M1 excitability and contributes to motor performance maintenance. © 2013 Schmidt et al.","author":[{"dropping-particle":"","family":"Schmidt","given":"Sein","non-dropping-particle":"","parse-names":false,"suffix":""},{"dropping-particle":"","family":"Fleischmann","given":"Robert","non-dropping-particle":"","parse-names":false,"suffix":""},{"dropping-particle":"","family":"Bathe-Peters","given":"Rouven","non-dropping-particle":"","parse-names":false,"suffix":""},{"dropping-particle":"","family":"Irlbacher","given":"Kerstin","non-dropping-particle":"","parse-names":false,"suffix":""},{"dropping-particle":"","family":"Brandt","given":"Stephan A.","non-dropping-particle":"","parse-names":false,"suffix":""}],"container-title":"PLoS ONE","id":"ITEM-1","issued":{"date-parts":[["2013"]]},"title":"Evolution of Premotor Cortical Excitability after Cathodal Inhibition of the Primary Motor Cortex: A Sham-Controlled Serial Navigated TMS Study","type":"article-journal"},"uris":["http://www.mendeley.com/documents/?uuid=3075ac92-5914-43b4-ac91-e3f7891fc26d"]},{"id":"ITEM-2","itemData":{"DOI":"10.1016/j.neuroimage.2013.06.076","ISSN":"10538119","abstract":"Anodal and cathodal transcranial direct current stimulations (tDCS) are both established techniques to induce cortical excitability changes. Typically, in the human motor system, such cortical modulations are inferred through changes in the amplitude of the motor evoked potentials (MEPs). However, it is now possible to directly evaluate tDCS-induced changes at the cortical level by recording the transcranial magnetic stimulation evoked potentials (TEPs) using electroencephalography (EEG).The present study investigated the modulation induced by the tDCS on the motor system. The study evaluates changes in the MEPs, in the amplitude and distribution of the TEPs, in resting state oscillatory brain activity and in behavioral performance in a simple manual response task. Both the short- and long-term tDCS effects were investigated by evaluating their time course at ~. 0 and 30. min after tDCS.Anodal tDCS over the left primary motor cortex (M1) induced an enhancement of corticospinal excitability, whereas cathodal stimulation produced a reduction. These changes in excitability were indexed by changes in MEP amplitude. More interestingly, tDCS modulated the cortical reactivity, which is the neuronal activity evoked by TMS, in a polarity-dependent and site-specific manner. Cortical reactivity increased after anodal stimulation over the left M1, whereas it decreased with cathodal stimulation. These effects were partially present also at long term evaluation.No polarity-specific effect was found either on behavioral measures or on oscillatory brain activity. The latter showed a general increase in the power density of low frequency oscillations (theta and alpha) at both stimulation polarities.Our results suggest that tDCS is able to modulate motor cortical reactivity in a polarity-specific manner, inducing a complex pattern of direct and indirect cortical activations or inhibitions of the motor system-related network, which might be related to changes in synaptic efficacy of the motor cortex. © 2013 Elsevier Inc.","author":[{"dropping-particle":"","family":"Pellicciari","given":"Maria Concetta","non-dropping-particle":"","parse-names":false,"suffix":""},{"dropping-particle":"","family":"Brignani","given":"Debora","non-dropping-particle":"","parse-names":false,"suffix":""},{"dropping-particle":"","family":"Miniussi","given":"Carlo","non-dropping-particle":"","parse-names":false,"suffix":""}],"container-title":"NeuroImage","id":"ITEM-2","issued":{"date-parts":[["2013"]]},"title":"Excitability modulation of the motor system induced by transcranial direct current stimulation: A multimodal approach","type":"article-journal"},"uris":["http://www.mendeley.com/documents/?uuid=34cc4d75-bca8-472a-813e-99a66d28b998"]},{"id":"ITEM-3","itemData":{"DOI":"10.1016/j.brs.2013.04.005","ISSN":"1935861X","abstract":"Background: Novel noninvasive brain stimulation techniques such as transcranial direct current stimulation (tDCS) have been developed in recent years. tDCS-induced corticospinal excitability changes depend on two important factors: current density and electrodes size. Despite clinical success with existing tDCS parameters; optimal protocols are still not entirely set. Objective: The current study aimed to investigate the effects of anodal tDCS (a-tDCS) with three electrode sizes on corticospinal excitability. Methods: a-tDCS was applied with three active electrode sizes of 12, 24 and 35 cm 2 with a constant current density of 0.029 mA/cm2 on twelve right handed healthy individuals (mean age: 34.5 ± 10.32 years) in different sessions at least 48 h apart. a-tDCS was applied continuously for 10 min, with a constant reference electrode size of 35 cm2. The corticospinal excitability of extensor carpi radialis muscle (ECR) was measured before and immediately after the intervention and at 10, 20 and 30 min thereafter. Results: We found that smaller electrode may produce more focal current density and could lead to more effective and localized neural modulation than the larger ones. Post hoc comparisons showed that active electrode of 12 cm2 size induces the biggest increase in the corticospinal excitability compared to bigger electrode sizes, 24 cm2 (P = 0.002) and 35 cm2 (P = 0.000). There was no significant difference between two larger electrode sizes (24 cm2 and 35 cm2) (P = 0.177). a-tDCS resulted in significant excitability enhancement lasting for 30 min after the end of stimulation in the 12 and 24 cm2 electrode size conditions (P &lt; 0.005). However, in 35 cm2 electrode size condition, the MEP amplitudes of the ECR did not differ significantly from baseline value in 20 and 30 min post stimulation (P &gt; 0.005). Conclusion: Reducing stimulation electrode size to one third of the conventional one results in spatially more focused stimulation and increases the efficacy of a-tDCS for induction of larger corticospinal excitability. This may be due to the fact that larger electrodes stimulate nearby cortical functional areas which can have inhibitory effects on primary motor cortex. © 2013 Elsevier Inc. All rights reserved.","author":[{"dropping-particle":"","family":"Bastani","given":"A.","non-dropping-particle":"","parse-names":false,"suffix":""},{"dropping-particle":"","family":"Jaberzadeh","given":"S.","non-dropping-particle":"","parse-names":false,"suffix":""}],"container-title":"Brain Stimulation","id":"ITEM-3","issue":"6","issued":{"date-parts":[["2013","11"]]},"page":"932-937","title":"A-tDCS differential modulation of corticospinal excitability: The effects of electrode size","type":"article-journal","volume":"6"},"uris":["http://www.mendeley.com/documents/?uuid=577e89f7-2123-4b5d-92ff-156a61c8c793"]}],"mendeley":{"formattedCitation":"&lt;sup&gt;36–38&lt;/sup&gt;","plainTextFormattedCitation":"36–38","previouslyFormattedCitation":"&lt;sup&gt;36–38&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36–38</w:t>
      </w:r>
      <w:r w:rsidR="00A75EAA" w:rsidRPr="004F692B">
        <w:rPr>
          <w:u w:val="single"/>
        </w:rPr>
        <w:fldChar w:fldCharType="end"/>
      </w:r>
      <w:r w:rsidR="00A75EAA" w:rsidRPr="004F692B">
        <w:rPr>
          <w:u w:val="single"/>
        </w:rPr>
        <w:t>, which demonstrated the excitat</w:t>
      </w:r>
      <w:r w:rsidR="00013645">
        <w:rPr>
          <w:u w:val="single"/>
        </w:rPr>
        <w:t>ory</w:t>
      </w:r>
      <w:r w:rsidR="00A75EAA" w:rsidRPr="004F692B">
        <w:rPr>
          <w:u w:val="single"/>
        </w:rPr>
        <w:t xml:space="preserve"> effect of anodal versus the inhibitory effect of cathodal stimulation. However, studies addressing other areas and higher cognitive functions failed to confirm this dichotomy. Whereas those studies that applied anodal </w:t>
      </w:r>
      <w:proofErr w:type="spellStart"/>
      <w:r w:rsidR="00A75EAA" w:rsidRPr="004F692B">
        <w:rPr>
          <w:u w:val="single"/>
        </w:rPr>
        <w:t>tDCS</w:t>
      </w:r>
      <w:proofErr w:type="spellEnd"/>
      <w:r w:rsidR="00A75EAA" w:rsidRPr="004F692B">
        <w:rPr>
          <w:u w:val="single"/>
        </w:rPr>
        <w:t xml:space="preserve"> still mostly found facilitatory effects</w:t>
      </w:r>
      <w:r w:rsidR="00A75EAA" w:rsidRPr="004F692B">
        <w:rPr>
          <w:u w:val="single"/>
        </w:rPr>
        <w:fldChar w:fldCharType="begin" w:fldLock="1"/>
      </w:r>
      <w:r w:rsidR="00F86F06">
        <w:rPr>
          <w:u w:val="single"/>
        </w:rPr>
        <w:instrText>ADDIN CSL_CITATION {"citationItems":[{"id":"ITEM-1","itemData":{"DOI":"10.1212/01.WNL.0000152986.07469.E9","ISSN":"00283878","abstract":"Background: Data from the human motor cortex suggest that, depending on polarity, direct current (DC) brain polarization can depress or activate cortical neurons. Activating effects on the frontal lobe might be beneficial for patients with frontal lobe disorders. This phase 1 study tested the safety of frontal DC, including its effects on frontal and other brain functions. Methods: The authors applied 20 minutes of anodal, cathodal, or sham DC to the left prefrontal cortex in three groups of right-handed subjects and looked for effects on global measures of processing and psychomotor speed, emotion, and verbal fluency, a measure of local cortical function. In one experiment (n = 30), the authors tested before and after 1 mA DC and monitored EEG in 9 subjects. In two other experiments using 1 mA (n = 43) and 2 mA (n = 30), the authors tested before and then starting 5 minutes after the onset of DC. Results: All subjects tolerated DC well. There were no significant effects on performance with 1 mA DC. At 2 mA, verbal fluency improved significantly with anodal and decreased mildly with cathodal DC. There were no clinically significant effects on the other measures. Conclusions: Limited exposure to direct current polarization of the prefrontal cortex is safe and can enhance verbal fluency selectively in healthy subjects. As such, it deserves consideration as a procedure to improve frontal lobe function in patients. Copyright © 2005 by AAN Enterprises, Inc.","author":[{"dropping-particle":"","family":"Iyer","given":"M. B.","non-dropping-particle":"","parse-names":false,"suffix":""},{"dropping-particle":"","family":"Mattu","given":"U.","non-dropping-particle":"","parse-names":false,"suffix":""},{"dropping-particle":"","family":"Grafman","given":"J.","non-dropping-particle":"","parse-names":false,"suffix":""},{"dropping-particle":"","family":"Lomarev","given":"M.","non-dropping-particle":"","parse-names":false,"suffix":""},{"dropping-particle":"","family":"Sato","given":"S.","non-dropping-particle":"","parse-names":false,"suffix":""},{"dropping-particle":"","family":"Wassermann","given":"E. M.","non-dropping-particle":"","parse-names":false,"suffix":""}],"container-title":"Neurology","id":"ITEM-1","issued":{"date-parts":[["2005"]]},"title":"Safety and cognitive effect of frontal DC brain polarization in healthy individuals","type":"article-journal"},"uris":["http://www.mendeley.com/documents/?uuid=b2c2ae3d-2149-4d24-a7a0-2d447503d3dd"]},{"id":"ITEM-2","itemData":{"DOI":"10.1016/j.neuropsychologia.2007.07.009","ISSN":"00283932","abstract":"In humans, transcranial direct current stimulation (tDCS) can be used to induce, depending on polarity, increases or decreases of cortical excitability by polarization of the underlying brain tissue. Cognitive enhancement as a result of tDCS has been reported. The purpose of this study was to test whether weak tDCS (current density, 57 μA/cm2) can be used to modify language processing. Fifteen healthy subjects performed a visual picture naming task before, during and after tDCS applied over the posterior perisylvian region (PPR), i.e. an area which includes Wernicke's area [BA 22]. Four different sessions were carried out: (1) anodal and (2) cathodal stimulation of left PPR and, for control, (3) anodal stimulation of the homologous region of the right hemisphere and (4) sham stimulation. We found that subjects responded significantly faster following anodal tDCS to the left PPR (p &lt; 0.01). No decreases in performance were detected. Our finding of a transient improvement in a language task following the application of tDCS together with previous studies which investigated the modulation of picture naming latency by transcranial magnetic stimulation (TMS) and repetitive TMS (rTMS) suggest that tDCS applied to the left PPR (including Wernicke's area [BA 22]) can be used to enhance language processing in healthy subjects. Whether this safe, low cost, and easy to use brain stimulation technique can be used to ameliorate deficits of picture naming in aphasic patients needs further investigations. © 2007 Elsevier Ltd. All rights reserved.","author":[{"dropping-particle":"","family":"Sparing","given":"Roland","non-dropping-particle":"","parse-names":false,"suffix":""},{"dropping-particle":"","family":"Dafotakis","given":"Manuel","non-dropping-particle":"","parse-names":false,"suffix":""},{"dropping-particle":"","family":"Meister","given":"Ingo G.","non-dropping-particle":"","parse-names":false,"suffix":""},{"dropping-particle":"","family":"Thirugnanasambandam","given":"Nivethida","non-dropping-particle":"","parse-names":false,"suffix":""},{"dropping-particle":"","family":"Fink","given":"Gereon R.","non-dropping-particle":"","parse-names":false,"suffix":""}],"container-title":"Neuropsychologia","id":"ITEM-2","issued":{"date-parts":[["2008"]]},"title":"Enhancing language performance with non-invasive brain stimulation-A transcranial direct current stimulation study in healthy humans","type":"article-journal"},"uris":["http://www.mendeley.com/documents/?uuid=5463a2ab-297d-4d70-9456-302657b50668"]},{"id":"ITEM-3","itemData":{"DOI":"10.1162/jocn.2008.20098","ISSN":"0898929X","abstract":"Anodal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Neuroscience","id":"ITEM-3","issued":{"date-parts":[["2008"]]},"title":"Noninvasive brain stimulation improves language learning","type":"article-journal"},"uris":["http://www.mendeley.com/documents/?uuid=f7a87da0-6860-43e4-af2f-cb3fe26c4356"]}],"mendeley":{"formattedCitation":"&lt;sup&gt;28,39,40&lt;/sup&gt;","plainTextFormattedCitation":"28,39,40","previouslyFormattedCitation":"&lt;sup&gt;28,39,40&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28,39,40</w:t>
      </w:r>
      <w:r w:rsidR="00A75EAA" w:rsidRPr="004F692B">
        <w:rPr>
          <w:u w:val="single"/>
        </w:rPr>
        <w:fldChar w:fldCharType="end"/>
      </w:r>
      <w:r w:rsidR="00A75EAA" w:rsidRPr="004F692B">
        <w:rPr>
          <w:u w:val="single"/>
        </w:rPr>
        <w:t>, for cathodal stimulation</w:t>
      </w:r>
      <w:r w:rsidR="00BF5D43" w:rsidRPr="004F692B">
        <w:rPr>
          <w:u w:val="single"/>
        </w:rPr>
        <w:t xml:space="preserve"> </w:t>
      </w:r>
      <w:r w:rsidR="00A75EAA" w:rsidRPr="004F692B">
        <w:rPr>
          <w:u w:val="single"/>
        </w:rPr>
        <w:t>the results diverg</w:t>
      </w:r>
      <w:r w:rsidR="00BF5D43" w:rsidRPr="004F692B">
        <w:rPr>
          <w:u w:val="single"/>
        </w:rPr>
        <w:t>e</w:t>
      </w:r>
      <w:r w:rsidR="00A75EAA" w:rsidRPr="004F692B">
        <w:rPr>
          <w:u w:val="single"/>
        </w:rPr>
        <w:t xml:space="preserve"> across the literature. Some of the investigations dedicated to cognitive functions showed an inhibitory effect of cathodal stimulation</w:t>
      </w:r>
      <w:r w:rsidR="00A75EAA" w:rsidRPr="004F692B">
        <w:rPr>
          <w:u w:val="single"/>
        </w:rPr>
        <w:fldChar w:fldCharType="begin" w:fldLock="1"/>
      </w:r>
      <w:r w:rsidR="00F86F06">
        <w:rPr>
          <w:u w:val="single"/>
        </w:rPr>
        <w:instrText>ADDIN CSL_CITATION {"citationItems":[{"id":"ITEM-1","itemData":{"DOI":"10.1111/j.0953-816X.2004.03450.x","ISSN":"0953816X","PMID":"15245504","abstract":"The excitability of the cerebral cortex can be modulated by various transcranial stimulation techniques. Transcranial direct current stimulation (tDCS) offers the advantage of portable equipment and could, therefore, be used for ambulatory modulation of brain excitability. However, modulation of cortical excitability by tDCS has so far mostly been shown by indirect measures. Therefore, we examined whether tDCS has a direct behavioral/perceptional effect. We compared tactile discrimination of vibratory stimuli to the left ring finger prior to, during and after tDCS applied for 7 min at 1-mA current intensity in 13 subjects. Stimulation was pseudorandomized into cathodal, anodal and sham conditions in a within-subject design. The active electrode was placed over the corresponding somatosensory cortex at C4 according to the 10-20 EEG system and the reference electrode at the forehead above the contralateral orbita. Cathodal stimulation compared with sham induced a prolonged decrease of tactile discrimination, while anodal and sham stimulation did not. Thus, cortical processing can be modulated in a behaviorally/perceptually meaningful way by weak transcranial current stimulation applied through portable technology. This finding offers a new perspective for the treatment of conditions characterized by alterations of cortical excitability.","author":[{"dropping-particle":"","family":"Rogalewski","given":"Andreas","non-dropping-particle":"","parse-names":false,"suffix":""},{"dropping-particle":"","family":"Breitenstein","given":"Caterina","non-dropping-particle":"","parse-names":false,"suffix":""},{"dropping-particle":"","family":"Nitsche","given":"Michael A.","non-dropping-particle":"","parse-names":false,"suffix":""},{"dropping-particle":"","family":"Paulus","given":"Walter","non-dropping-particle":"","parse-names":false,"suffix":""},{"dropping-particle":"","family":"Knecht","given":"Stefan","non-dropping-particle":"","parse-names":false,"suffix":""}],"container-title":"European Journal of Neuroscience","id":"ITEM-1","issue":"1","issued":{"date-parts":[["2004","7","1"]]},"page":"313-316","publisher":"John Wiley &amp; Sons, Ltd","title":"Transcranial direct current stimulation disrupts tactile perception","type":"article-journal","volume":"20"},"uris":["http://www.mendeley.com/documents/?uuid=6b944f14-59b9-398d-8520-968b3955ed3e"]},{"id":"ITEM-2","itemData":{"DOI":"10.1016/j.neulet.2010.05.087","ISSN":"03043940","abstract":"The role of the posterior parietal cortex in working memory (WM) is poorly understood. We previously found that patients with parietal lobe damage exhibited a selective WM impairment on recognition but not recall tasks. We hypothesized that this dissociation reflected strategic differences in the utilization of attention. One concern was that these findings, and our subsequent interpretation, would not generalize to normal populations because of the patients' older age, progressive disease processes, and/or possible brain reorganization following injury. To test whether our findings extended to a normal population we applied transcranial direct current stimulation (tDCS) to right inferior parietal cortex. tDCS is a technique by which low electric current applied to the scalp modulates the resting potentials of underlying neural populations and can be used to test structure-function relationships. Eleven normal young adults received cathodal, anodal, or sham stimulation over right inferior posterior parietal cortex and then performed separate blocks of an object WM task probed by recall or recognition. The results showed that cathodal stimulation selectively impaired WM on recognition trials. These data replicate and extend our previous findings of preserved WM recall and impaired WM recognition in patients with parietal lobe lesions. © 2010 Elsevier Ireland Ltd.","author":[{"dropping-particle":"","family":"Berryhill","given":"Marian E.","non-dropping-particle":"","parse-names":false,"suffix":""},{"dropping-particle":"","family":"Wencil","given":"Elaine B.","non-dropping-particle":"","parse-names":false,"suffix":""},{"dropping-particle":"","family":"Branch Coslett","given":"H.","non-dropping-particle":"","parse-names":false,"suffix":""},{"dropping-particle":"","family":"Olson","given":"Ingrid R.","non-dropping-particle":"","parse-names":false,"suffix":""}],"container-title":"Neuroscience Letters","id":"ITEM-2","issue":"3","issued":{"date-parts":[["2010","8"]]},"page":"312-316","publisher":"Neurosci Lett","title":"A selective working memory impairment after transcranial direct current stimulation to the right parietal lobe","type":"article-journal","volume":"479"},"uris":["http://www.mendeley.com/documents/?uuid=948b5f26-8685-3bc4-9449-8e8b92d51b1f"]}],"mendeley":{"formattedCitation":"&lt;sup&gt;41,42&lt;/sup&gt;","plainTextFormattedCitation":"41,42","previouslyFormattedCitation":"&lt;sup&gt;41,42&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41,42</w:t>
      </w:r>
      <w:r w:rsidR="00A75EAA" w:rsidRPr="004F692B">
        <w:rPr>
          <w:u w:val="single"/>
        </w:rPr>
        <w:fldChar w:fldCharType="end"/>
      </w:r>
      <w:r w:rsidR="00A75EAA" w:rsidRPr="004F692B">
        <w:rPr>
          <w:u w:val="single"/>
        </w:rPr>
        <w:t xml:space="preserve">, whereas others showed performance improvement </w:t>
      </w:r>
      <w:r w:rsidR="005A5E1E" w:rsidRPr="004F692B">
        <w:rPr>
          <w:u w:val="single"/>
        </w:rPr>
        <w:t>after</w:t>
      </w:r>
      <w:r w:rsidR="00A75EAA" w:rsidRPr="004F692B">
        <w:rPr>
          <w:u w:val="single"/>
        </w:rPr>
        <w:t xml:space="preserve"> cathodal tDCS</w:t>
      </w:r>
      <w:r w:rsidR="00A75EAA" w:rsidRPr="004F692B">
        <w:rPr>
          <w:u w:val="single"/>
        </w:rPr>
        <w:fldChar w:fldCharType="begin" w:fldLock="1"/>
      </w:r>
      <w:r w:rsidR="00F86F06">
        <w:rPr>
          <w:u w:val="single"/>
        </w:rPr>
        <w:instrText>ADDIN CSL_CITATION {"citationItems":[{"id":"ITEM-1","itemData":{"DOI":"10.1162/jocn_a_00248","ISSN":"0898929X","abstract":"Many previous studies reported that the hyperpolarization of cortical neurons following cathodal stimulation (in transcranial direct current stimulation) has resulted in cognitive performance degradation. Here, we challenge this assumption by showing that cathodal stimulation will not always degrade cognitive performance. We used an attentional load paradigm in which irrelevant stimuli are processed only under low but not under high attentional load. Thirty healthy participants were randomly allocated into three interventional groups with different brain stimulation parameters (active anodal posterior parietal cortex [PPC], active cathodal PPC, and sham). Cathodal but not anodal stimulation enabled flanker processing even in high-loaded scenes. A second experiment was carried out to assert whether the improved flanker processing under cathodal stimulation is because of altered attention allocation between center and surround or, alternatively, enhanced attentional resources. In this experiment, the flanker was presented centrally. The results of Experiment 2 replicated Experiment 1's finding of improved flanker processing. We interpret the results from these two experiments as evidence for the ability of cathodal stimulation to enhance attentional resources rather than simply change attention allocation between center and periphery. Cathodal stimulation in high-loaded scenes can act like a noise filter and may in fact enhance cognitive performance. This study contributes to understanding the way the PPC is engaged with attentional functions and explains the cathodal effects, which thus might lead to more efficient brain stimulation protocols. © 2012 Massachusetts Institute of Technology.","author":[{"dropping-particle":"","family":"Weiss","given":"Michal","non-dropping-particle":"","parse-names":false,"suffix":""},{"dropping-particle":"","family":"Lavidor","given":"Michal","non-dropping-particle":"","parse-names":false,"suffix":""}],"container-title":"Journal of Cognitive Neuroscience","id":"ITEM-1","issue":"9","issued":{"date-parts":[["2012","9"]]},"page":"1826-1833","title":"When less is more: Evidence for a facilitative cathodal tDCS effect in attentional abilities","type":"article-journal","volume":"24"},"uris":["http://www.mendeley.com/documents/?uuid=3ba55e85-9b92-3bf8-a2f0-9024a6f4d76f"]},{"id":"ITEM-2","itemData":{"DOI":"10.3389/fnbeh.2014.00226","ISSN":"16625153","abstract":"Cathodal transcranial direct current stimulation (c-tDCS) is usually considered an inhibitory stimulation. From a physiological perspective, c-tDCS induces hyperpolarization at the neural level. However, from a behavioral perspective, c-tDCS application does not always result in performance deterioration. In this work, we investigated the role of several important stimulation parameters (i.e., timing, presence of pauses, duration, and intensity) in shaping the behavioral effects of c-tDCS over the primary visual cortex. In Experiment 1, we applied c-tDCS at two different times (before or during an orientation discrimination task). We also studied the effects of pauses during the stimulation. In Experiments 2 and 3, we compared different durations (9 vs. 22 min) and intensities (0.75 vs. 1.5 mA) of stimulation. c-tDCS applied before task execution induced an improvement of performance, highlighting the importance of the activation state of the cortex. However, this result depended on the duration and intensity of stimulation. We suggest that the application of c-tDCS induces depression of cortical activity over a specific stimulated area; but to keep reactivity within given limits, the brain react in order to restore the equilibrium and this might result in increased sensitivity in visual performance. This is a further example of how the nervous system dynamically maintains a condition that permits adequate performance in different environments. © 2014 Pirulli, Fertonani and Miniussi.","author":[{"dropping-particle":"","family":"Pirulli","given":"Cornelia","non-dropping-particle":"","parse-names":false,"suffix":""},{"dropping-particle":"","family":"Fertonani","given":"Anna","non-dropping-particle":"","parse-names":false,"suffix":""},{"dropping-particle":"","family":"Miniussi","given":"Carlo","non-dropping-particle":"","parse-names":false,"suffix":""}],"container-title":"Frontiers in Behavioral Neuroscience","id":"ITEM-2","issue":"JUNE","issued":{"date-parts":[["2014","6","27"]]},"publisher":"Frontiers Research Foundation","title":"Is neural hyperpolarization by cathodal stimulation always detrimental at the behavioral level?","type":"article-journal","volume":"8"},"uris":["http://www.mendeley.com/documents/?uuid=e220bfe9-f1e5-3d5b-a8aa-129063df84b6"]}],"mendeley":{"formattedCitation":"&lt;sup&gt;43,44&lt;/sup&gt;","plainTextFormattedCitation":"43,44","previouslyFormattedCitation":"&lt;sup&gt;43,44&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43,44</w:t>
      </w:r>
      <w:r w:rsidR="00A75EAA" w:rsidRPr="004F692B">
        <w:rPr>
          <w:u w:val="single"/>
        </w:rPr>
        <w:fldChar w:fldCharType="end"/>
      </w:r>
      <w:r w:rsidR="00A75EAA" w:rsidRPr="004F692B">
        <w:rPr>
          <w:u w:val="single"/>
        </w:rPr>
        <w:t xml:space="preserve">. Moreover, a recent </w:t>
      </w:r>
      <w:proofErr w:type="spellStart"/>
      <w:r w:rsidR="00A75EAA" w:rsidRPr="004F692B">
        <w:rPr>
          <w:u w:val="single"/>
        </w:rPr>
        <w:t>tDCS</w:t>
      </w:r>
      <w:proofErr w:type="spellEnd"/>
      <w:r w:rsidR="00A75EAA" w:rsidRPr="004F692B">
        <w:rPr>
          <w:u w:val="single"/>
        </w:rPr>
        <w:t xml:space="preserve"> study of language processing targeting Wernicke’s area demonstrated that both anodal and cathodal stimulation improved semantic processing in the lexical decision task in comparison with the sham condition, suggesting that cathodal inhibition, common for motor studies, can not be simply assumed to apply to the language function in the same way</w:t>
      </w:r>
      <w:r w:rsidR="00A75EAA" w:rsidRPr="004F692B">
        <w:rPr>
          <w:u w:val="single"/>
        </w:rPr>
        <w:fldChar w:fldCharType="begin" w:fldLock="1"/>
      </w:r>
      <w:r w:rsidR="00F86F06">
        <w:rPr>
          <w:u w:val="single"/>
        </w:rPr>
        <w:instrText>ADDIN CSL_CITATION {"citationItems":[{"id":"ITEM-1","itemData":{"DOI":"10.1016/j.neuroscience.2016.12.015","ISSN":"18737544","abstract":"Transcranial direct current stimulation (tDCS) is a common method to modulate cortical activity. Anodal tDCS is usually associated with an enhancement of the stimulated brain area, whereas cathodal tDCS is often described as inhibitory brain stimulation method. Our aim was to investigate whether this canonical assumption derived from the motor system could be transferred to the semantic system. Three groups with 20 healthy subjects each were stimulated at Wernicke's area with either anodal, cathodal or sham tDCS. Subsequently, they performed a simple lexical decision task for a duration of about 25 min. Subjects receiving anodal tDCS revealed faster reaction times (RTs) compared to the sham group, although not reaching statistical significance. Surprisingly, in the cathodal group RTs were decreased significantly. All subjects were faster in the second half of the task, but the tDCS-induced improvement lasted for the entire duration of the task. Error rates were not influenced by tDCS, neither were RTs in a choice reaction time task. Thus, both anodal and cathodal tDCS applied to Wernicke's area improved semantic processing. Recently, a meta-analysis revealed that the canonical anodal excitation and cathodal inhibition assumption is observed rarely in cognitive studies. In particular, an inhibitory effect of cathodal tDCS on cognition is rare. Our findings thus support the speculation, that especially language functions could be somewhat ‘immune’ to cathodal inhibition.","author":[{"dropping-particle":"","family":"Brückner","given":"Sabrina","non-dropping-particle":"","parse-names":false,"suffix":""},{"dropping-particle":"","family":"Kammer","given":"Thomas","non-dropping-particle":"","parse-names":false,"suffix":""}],"container-title":"Neuroscience","id":"ITEM-1","issued":{"date-parts":[["2017"]]},"title":"Both anodal and cathodal transcranial direct current stimulation improves semantic processing","type":"article-journal"},"uris":["http://www.mendeley.com/documents/?uuid=d633bdb7-494c-462c-9999-86ec534cdc00"]}],"mendeley":{"formattedCitation":"&lt;sup&gt;45&lt;/sup&gt;","plainTextFormattedCitation":"45","previouslyFormattedCitation":"&lt;sup&gt;45&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45</w:t>
      </w:r>
      <w:r w:rsidR="00A75EAA" w:rsidRPr="004F692B">
        <w:rPr>
          <w:u w:val="single"/>
        </w:rPr>
        <w:fldChar w:fldCharType="end"/>
      </w:r>
      <w:r w:rsidR="00A75EAA" w:rsidRPr="004F692B">
        <w:rPr>
          <w:u w:val="single"/>
        </w:rPr>
        <w:t xml:space="preserve">. This effect can also be explained in terms of the hypothesis </w:t>
      </w:r>
      <w:r w:rsidR="00A75EAA" w:rsidRPr="004F692B">
        <w:rPr>
          <w:u w:val="single"/>
        </w:rPr>
        <w:lastRenderedPageBreak/>
        <w:t xml:space="preserve">that the influence of </w:t>
      </w:r>
      <w:proofErr w:type="spellStart"/>
      <w:r w:rsidR="00A75EAA" w:rsidRPr="004F692B">
        <w:rPr>
          <w:u w:val="single"/>
        </w:rPr>
        <w:t>tDCS</w:t>
      </w:r>
      <w:proofErr w:type="spellEnd"/>
      <w:r w:rsidR="00A75EAA" w:rsidRPr="004F692B">
        <w:rPr>
          <w:u w:val="single"/>
        </w:rPr>
        <w:t xml:space="preserve"> makes the neural system sensitive to other stimuli by shifting the excitation thresholds up or down, rather than causes inhibition and excitation per se</w:t>
      </w:r>
      <w:r w:rsidR="00A75EAA" w:rsidRPr="004F692B">
        <w:rPr>
          <w:u w:val="single"/>
        </w:rPr>
        <w:fldChar w:fldCharType="begin" w:fldLock="1"/>
      </w:r>
      <w:r w:rsidR="00AB1796">
        <w:rPr>
          <w:u w:val="single"/>
        </w:rPr>
        <w:instrText>ADDIN CSL_CITATION {"citationItems":[{"id":"ITEM-1","itemData":{"DOI":"10.1016/S1567-424X(09)70230-2","author":[{"dropping-particle":"","family":"Nitsche","given":"Michael A.","non-dropping-particle":"","parse-names":false,"suffix":""},{"dropping-particle":"","family":"Liebetanz","given":"David","non-dropping-particle":"","parse-names":false,"suffix":""},{"dropping-particle":"","family":"Antal","given":"Andrea","non-dropping-particle":"","parse-names":false,"suffix":""},{"dropping-particle":"","family":"Lang","given":"Nicolas","non-dropping-particle":"","parse-names":false,"suffix":""},{"dropping-particle":"","family":"Tergau","given":"Frithjof","non-dropping-particle":"","parse-names":false,"suffix":""},{"dropping-particle":"","family":"Paulus","given":"Walter","non-dropping-particle":"","parse-names":false,"suffix":""}],"container-title":"Supplements to Clinical Neurophysiology","id":"ITEM-1","issue":"C","issued":{"date-parts":[["2003","1","1"]]},"page":"255-276","title":"Chapter 27 Modulation of cortical excitability by weak direct current stimulation – technical, safety and functional aspects","type":"chapter","volume":"56"},"uris":["http://www.mendeley.com/documents/?uuid=ca24c3ce-879c-3568-be10-9fafdb3a75a3"]},{"id":"ITEM-2","itemData":{"DOI":"10.1016/S1388-2457(02)00437-6","ISSN":"13882457","PMID":"12686266","abstract":"Direct current (DC) is very effective in modulating spontaneous neuronal firing. The history of electrophysiology starts with the discovery of the biological effects of DC and as early as two centuries ago scalp DC was used to treat mental disorder. Psychophysiological investigations suggested a possible effect of scalp DC in humans. More recently several studies assessed, with motor potentials evoked by transcranial brain stimulation, the motor-cortical excitability changes induced by scalp DC. Even weak DCs pass through the scalp and influence human brain activity. DCs delivered at relatively strong intensities (1 mA) and for long periods (10 min or so), not only influence (either increase or decrease) brain excitability during their application in normal subjects, but induce persistent changes in excitability after their offset that, at least in the motor cortex, can last for almost 1 h. Scalp DC might represent a non-invasive simple and valuable potential treatment for psychiatric and neurologic diseases with changes in brain excitability or focally abnormal (increased or decreased) function. © 2003 International Federation of Clinical Neurophysiology. Published by Elsevier Science Ireland Ltd. All rights reserved.","author":[{"dropping-particle":"","family":"Priori","given":"Alberto","non-dropping-particle":"","parse-names":false,"suffix":""}],"container-title":"Clinical Neurophysiology","id":"ITEM-2","issue":"4","issued":{"date-parts":[["2003","4","1"]]},"page":"589-595","publisher":"Elsevier Ireland Ltd","title":"Brain polarization in humans: A reappraisal of an old tool for prolonged non-invasive modulation of brain excitability","type":"article","volume":"114"},"uris":["http://www.mendeley.com/documents/?uuid=50645b59-7dc3-3a07-a003-c58f18db668b"]},{"id":"ITEM-3","itemData":{"DOI":"10.3389/fnhum.2013.00888","ISSN":"1662-5161","abstract":"Stroke victims tend to prioritize speaking, writing, and walking as the three most important rehabilitation goals. Of note is that two of these goals involve communication. This underscores the significance of developing successful approaches to aphasia treatment for the several hundred thousand new aphasia patients each year and over 1 million stroke survivors with chronic aphasia in the U.S. alone. After several years of growth as a research tool, non-invasive brain stimulation (NBS) is gradually entering the arena of clinical aphasiology. In this review, we first examine the current state of knowledge of post-stroke language recovery including the contributions from the dominant and non-dominant hemispheres. Next, we briefly discuss the methods and the physiologic basis of the use of inhibitory and excitatory repetitive transcranial magnetic stimulation (rTMS) and transcranial direct current stimulation (tDCS) as research tools in patients who experience post-stroke aphasia. Finally, we provide a critical review of the most influential evidence behind the potential use of these two brain stimulation methods as clinical rehabilitative tools. © 2013 Shah, Szaflarski, Allendorferand Hamilton.","author":[{"dropping-particle":"","family":"Shah","given":"Priyanka P.","non-dropping-particle":"","parse-names":false,"suffix":""},{"dropping-particle":"","family":"Szaflarski","given":"Jerzy P.","non-dropping-particle":"","parse-names":false,"suffix":""},{"dropping-particle":"","family":"Allendorfer","given":"Jane","non-dropping-particle":"","parse-names":false,"suffix":""},{"dropping-particle":"","family":"Hamilton","given":"Roy H.","non-dropping-particle":"","parse-names":false,"suffix":""}],"container-title":"Frontiers in Human Neuroscience","id":"ITEM-3","issue":"888","issued":{"date-parts":[["2013","12","24"]]},"publisher":"Frontiers Media S. A.","title":"Induction of neuroplasticity and recovery in post-stroke aphasia by non-invasive brain stimulation","type":"article-journal","volume":"7"},"uris":["http://www.mendeley.com/documents/?uuid=db4cb1b1-b2ae-3531-a9a9-5f7a001a64ea"]},{"id":"ITEM-4","itemData":{"DOI":"10.3791/59159","ISSN":"1940087X","abstract":"Language is a highly important yet poorly understood function of the human brain. While studies of brain activation patterns during language comprehension are abundant, what is often critically missing is causal evidence of brain areas' involvement in a particular linguistic function, not least due to the unique human nature of this ability and a shortage of neurophysiological tools to study causal relationships in the human brain noninvasively. Recent years have seen a rapid rise in the use of transcranial direct current stimulation (tDCS) of the human brain, an easy, inexpensive and safe noninvasive technique that can modulate the state of the stimulated brain area (putatively by shifting excitation/ inhibition thresholds), enabling a study of its particular contribution to specific functions. While mostly focusing on motor control, the use of tDCS is becoming more widespread in both basic and clinical research on higher cognitive functions, language included, but the procedures for its application remain variable. Here, we describe the use of tDCS in a psycholinguistic word-learning experiment. We present the techniques and procedures for application of cathodal and anodal stimulation of core language areas of Broca and Wernicke in the left hemisphere of the human brain, describe the procedures of creating balanced sets of psycholinguistic stimuli, a controlled yet naturalistic learning regime, and a comprehensive set of techniques to assess the learning outcomes and tDCS effects. As an example of tDCS application, we show that cathodal stimulation of Wernicke's area prior to a learning session can impact word learning efficiency. This impact is both present immediately after learning and, importantly, preserved over longer time after the physical effects of stimulation wear off, suggesting that tDCS can have long-term influence on linguistic storage and representations in the human brain.","author":[{"dropping-particle":"","family":"Blagovechtchenski","given":"Evgeny","non-dropping-particle":"","parse-names":false,"suffix":""},{"dropping-particle":"","family":"Gnedykh","given":"Daria","non-dropping-particle":"","parse-names":false,"suffix":""},{"dropping-particle":"","family":"Kurmakaeva","given":"Diana","non-dropping-particle":"","parse-names":false,"suffix":""},{"dropping-particle":"","family":"Mkrtychian","given":"Nadezhda","non-dropping-particle":"","parse-names":false,"suffix":""},{"dropping-particle":"","family":"Kostromina","given":"Svetlana","non-dropping-particle":"","parse-names":false,"suffix":""},{"dropping-particle":"","family":"Shtyrov","given":"Yury","non-dropping-particle":"","parse-names":false,"suffix":""}],"container-title":"Journal of Visualized Experiments","id":"ITEM-4","issued":{"date-parts":[["2019"]]},"title":"Transcranial direct current stimulation (Tdcs) of wernicke's and broca's areas in studies of language learning and word acquisition","type":"article-journal"},"uris":["http://www.mendeley.com/documents/?uuid=510a9c99-a9cd-43ad-ac2d-d43111fdaf4e"]}],"mendeley":{"formattedCitation":"&lt;sup&gt;33,46–48&lt;/sup&gt;","plainTextFormattedCitation":"33,46–48","previouslyFormattedCitation":"&lt;sup&gt;33,46–48&lt;/sup&gt;"},"properties":{"noteIndex":0},"schema":"https://github.com/citation-style-language/schema/raw/master/csl-citation.json"}</w:instrText>
      </w:r>
      <w:r w:rsidR="00A75EAA" w:rsidRPr="004F692B">
        <w:rPr>
          <w:u w:val="single"/>
        </w:rPr>
        <w:fldChar w:fldCharType="separate"/>
      </w:r>
      <w:r w:rsidR="00356A19" w:rsidRPr="00356A19">
        <w:rPr>
          <w:noProof/>
          <w:vertAlign w:val="superscript"/>
        </w:rPr>
        <w:t>33,46–48</w:t>
      </w:r>
      <w:r w:rsidR="00A75EAA" w:rsidRPr="004F692B">
        <w:rPr>
          <w:u w:val="single"/>
        </w:rPr>
        <w:fldChar w:fldCharType="end"/>
      </w:r>
      <w:r w:rsidR="00A75EAA" w:rsidRPr="004F692B">
        <w:rPr>
          <w:u w:val="single"/>
        </w:rPr>
        <w:t xml:space="preserve">. That makes exact predictions for the inhibitory and facilitatory effects of cathodal and anodal stimulation difficult and instead warrants </w:t>
      </w:r>
      <w:r w:rsidR="00BF5D43" w:rsidRPr="004F692B">
        <w:rPr>
          <w:u w:val="single"/>
        </w:rPr>
        <w:t xml:space="preserve">experimental </w:t>
      </w:r>
      <w:r w:rsidR="00A75EAA" w:rsidRPr="004F692B">
        <w:rPr>
          <w:u w:val="single"/>
        </w:rPr>
        <w:t>investigation of both polarities, which is what we have attempted in the present study.</w:t>
      </w:r>
    </w:p>
    <w:p w14:paraId="374048BE" w14:textId="76C2548B" w:rsidR="00F63BA5" w:rsidRDefault="00F63BA5" w:rsidP="00124D87">
      <w:pPr>
        <w:pStyle w:val="a3"/>
        <w:spacing w:before="102" w:line="249" w:lineRule="auto"/>
        <w:ind w:left="126" w:right="138" w:firstLine="7"/>
        <w:jc w:val="both"/>
      </w:pPr>
      <w:r w:rsidRPr="00F63BA5">
        <w:t>As stimuli, we created a set of novel concrete and abstract concepts, not known to our subjects previously. Furthermore, we fully controlled the surface features of the stimuli and counterbalanced the use of different word forms for encoding concrete or abstract semantics by rotating them across participants. To mimic natural acquisition of new words in real life, we presented them in the context of short stories, enabling our participants to infer the meaning of novel semantics through this naturalistic (yet fully controlled) context. Finally, we used a comprehensive set of tasks to assess the acquisition of new words at both lexical and semantic levels. To account for both immediate effects of learning and overnight consolidation</w:t>
      </w:r>
      <w:r w:rsidRPr="00F63BA5">
        <w:fldChar w:fldCharType="begin" w:fldLock="1"/>
      </w:r>
      <w:r w:rsidR="00F86F06">
        <w:instrText>ADDIN CSL_CITATION {"citationItems":[{"id":"ITEM-1","itemData":{"DOI":"10.1016/j.cognition.2011.12.009","ISSN":"00100277","abstract":"Two experiments explored the consolidation of spoken words, and assessed whether post-sleep novel competitor effects truly reflect engagement of these novel words in competition for lexical segmentation. Two types of competitor relationships were contrasted: the onset-aligned case (such as \"frenzylk\"), where the novel word is a close variant of the existing word: they start at the same time point and overlap on most of their segments; and the fully embedding case (such as \"lir. mucktoze\"), where the existing word corresponds to a smaller embedded portion of its novel competitor and is thus less noticeable. Experiment 1 (pause detection) revealed a similar performance for both cases, with no competitor effect immediately after exposure, but significant inhibition after 24. h and seven days. Experiment 2 (word spotting) produced exactly the same pattern; however, as is the case with existing word carriers (cf. McQueen, Norris, &amp; Cutler, 1994), the inhibition was much stronger for fully embedded than for onset-aligned targets (e.g., \"lir. muckt\" vs \"frenzyl\"). Meanwhile, explicit measures of learning, i.e., free recall and recognition, improved over time. These results cannot be explained by either consolidation of episodic traces or acquisition of new phonological/dialectal variants. We argue instead that they reflect a general trait of vocabulary learning and consolidation. © 2011 Elsevier B.V.","author":[{"dropping-particle":"","family":"Dumay","given":"Nicolas","non-dropping-particle":"","parse-names":false,"suffix":""},{"dropping-particle":"","family":"Gareth Gaskell","given":"M.","non-dropping-particle":"","parse-names":false,"suffix":""}],"container-title":"Cognition","id":"ITEM-1","issued":{"date-parts":[["2012"]]},"title":"Overnight lexical consolidation revealed by speech segmentation","type":"article-journal"},"uris":["http://www.mendeley.com/documents/?uuid=a8430c15-46c3-4d47-9b91-44c95d108131"]}],"mendeley":{"formattedCitation":"&lt;sup&gt;49&lt;/sup&gt;","plainTextFormattedCitation":"49","previouslyFormattedCitation":"&lt;sup&gt;49&lt;/sup&gt;"},"properties":{"noteIndex":0},"schema":"https://github.com/citation-style-language/schema/raw/master/csl-citation.json"}</w:instrText>
      </w:r>
      <w:r w:rsidRPr="00F63BA5">
        <w:fldChar w:fldCharType="separate"/>
      </w:r>
      <w:r w:rsidR="00356A19" w:rsidRPr="00356A19">
        <w:rPr>
          <w:noProof/>
          <w:vertAlign w:val="superscript"/>
        </w:rPr>
        <w:t>49</w:t>
      </w:r>
      <w:r w:rsidRPr="00F63BA5">
        <w:fldChar w:fldCharType="end"/>
      </w:r>
      <w:r w:rsidRPr="00F63BA5">
        <w:t xml:space="preserve">, we tested the </w:t>
      </w:r>
      <w:proofErr w:type="spellStart"/>
      <w:r w:rsidRPr="00F63BA5">
        <w:t>behavioural</w:t>
      </w:r>
      <w:proofErr w:type="spellEnd"/>
      <w:r w:rsidRPr="00F63BA5">
        <w:t xml:space="preserve"> outcomes following the learning session and 24 hours later, after an overnight sleep. We expected that (1) in line with previous research, </w:t>
      </w:r>
      <w:proofErr w:type="spellStart"/>
      <w:r w:rsidRPr="00F63BA5">
        <w:t>tDCS</w:t>
      </w:r>
      <w:proofErr w:type="spellEnd"/>
      <w:r w:rsidRPr="00F63BA5">
        <w:t xml:space="preserve"> would affect the efficiency of learning, (2) these effects may diverge between the anodal and cathodal stimulation, as can be expected based on previous research suggesting suppression after cathodal and facilitation after anodal tDCS</w:t>
      </w:r>
      <w:r w:rsidRPr="00F63BA5">
        <w:fldChar w:fldCharType="begin" w:fldLock="1"/>
      </w:r>
      <w:r w:rsidR="00F86F06">
        <w:instrText>ADDIN CSL_CITATION {"citationItems":[{"id":"ITEM-1","itemData":{"DOI":"10.1371/journal.pone.0057425","ISSN":"19326203","abstract":"Background: Premotor cortical regions (PMC) play an important role in the orchestration of motor function, yet their role in compensatory mechanisms in a disturbed motor system is largely unclear. Previous studies are consistent in describing pronounced anatomical and functional connectivity between the PMC and the primary motor cortex (M1). Lesion studies consistently show compensatory adaptive changes in PMC neural activity following an M1 lesion. Non-invasive brain modification of PMC neural activity has shown compensatory neurophysiological aftereffects in M1. These studies have contributed to our understanding of how M1 responds to changes in PMC neural activity. Yet, the way in which the PMC responds to artificial inhibition of M1 neural activity is unclear. Here we investigate the neurophysiological consequences in the PMC and the behavioral consequences for motor performance of stimulation mediated M1 inhibition by cathodal transcranial direct current stimulation (tDCS). Purpose: The primary goal was to determine how electrophysiological measures of PMC excitability change in order to compensate for inhibited M1 neural excitability and attenuated motor performance. Hypothesis: Cathodal inhibition of M1 excitability leads to a compensatory increase of ipsilateral PMC excitability. Methods: We enrolled 16 healthy participants in this randomized, double-blind, sham-controlled, crossover design study. All participants underwent navigated transcranial magnetic stimulation (nTMS) to identify PMC and M1 corticospinal projections as well as to evaluate electrophysiological measures of cortical, intracortical and interhemispheric excitability. Cortical M1 excitability was inhibited using cathodal tDCS. Finger-tapping speeds were used to examine motor function. Results: Cathodal tDCS successfully reduced M1 excitability and motor performance speed. PMC excitability was increased for longer and was the only significant predictor of motor performance. Conclusion: The PMC compensates for attenuated M1 excitability and contributes to motor performance maintenance. © 2013 Schmidt et al.","author":[{"dropping-particle":"","family":"Schmidt","given":"Sein","non-dropping-particle":"","parse-names":false,"suffix":""},{"dropping-particle":"","family":"Fleischmann","given":"Robert","non-dropping-particle":"","parse-names":false,"suffix":""},{"dropping-particle":"","family":"Bathe-Peters","given":"Rouven","non-dropping-particle":"","parse-names":false,"suffix":""},{"dropping-particle":"","family":"Irlbacher","given":"Kerstin","non-dropping-particle":"","parse-names":false,"suffix":""},{"dropping-particle":"","family":"Brandt","given":"Stephan A.","non-dropping-particle":"","parse-names":false,"suffix":""}],"container-title":"PLoS ONE","id":"ITEM-1","issued":{"date-parts":[["2013"]]},"title":"Evolution of Premotor Cortical Excitability after Cathodal Inhibition of the Primary Motor Cortex: A Sham-Controlled Serial Navigated TMS Study","type":"article-journal"},"uris":["http://www.mendeley.com/documents/?uuid=3075ac92-5914-43b4-ac91-e3f7891fc26d"]},{"id":"ITEM-2","itemData":{"DOI":"10.1016/j.neuroimage.2013.06.076","ISSN":"10538119","abstract":"Anodal and cathodal transcranial direct current stimulations (tDCS) are both established techniques to induce cortical excitability changes. Typically, in the human motor system, such cortical modulations are inferred through changes in the amplitude of the motor evoked potentials (MEPs). However, it is now possible to directly evaluate tDCS-induced changes at the cortical level by recording the transcranial magnetic stimulation evoked potentials (TEPs) using electroencephalography (EEG).The present study investigated the modulation induced by the tDCS on the motor system. The study evaluates changes in the MEPs, in the amplitude and distribution of the TEPs, in resting state oscillatory brain activity and in behavioral performance in a simple manual response task. Both the short- and long-term tDCS effects were investigated by evaluating their time course at ~. 0 and 30. min after tDCS.Anodal tDCS over the left primary motor cortex (M1) induced an enhancement of corticospinal excitability, whereas cathodal stimulation produced a reduction. These changes in excitability were indexed by changes in MEP amplitude. More interestingly, tDCS modulated the cortical reactivity, which is the neuronal activity evoked by TMS, in a polarity-dependent and site-specific manner. Cortical reactivity increased after anodal stimulation over the left M1, whereas it decreased with cathodal stimulation. These effects were partially present also at long term evaluation.No polarity-specific effect was found either on behavioral measures or on oscillatory brain activity. The latter showed a general increase in the power density of low frequency oscillations (theta and alpha) at both stimulation polarities.Our results suggest that tDCS is able to modulate motor cortical reactivity in a polarity-specific manner, inducing a complex pattern of direct and indirect cortical activations or inhibitions of the motor system-related network, which might be related to changes in synaptic efficacy of the motor cortex. © 2013 Elsevier Inc.","author":[{"dropping-particle":"","family":"Pellicciari","given":"Maria Concetta","non-dropping-particle":"","parse-names":false,"suffix":""},{"dropping-particle":"","family":"Brignani","given":"Debora","non-dropping-particle":"","parse-names":false,"suffix":""},{"dropping-particle":"","family":"Miniussi","given":"Carlo","non-dropping-particle":"","parse-names":false,"suffix":""}],"container-title":"NeuroImage","id":"ITEM-2","issued":{"date-parts":[["2013"]]},"title":"Excitability modulation of the motor system induced by transcranial direct current stimulation: A multimodal approach","type":"article-journal"},"uris":["http://www.mendeley.com/documents/?uuid=34cc4d75-bca8-472a-813e-99a66d28b998"]},{"id":"ITEM-3","itemData":{"DOI":"10.1016/j.clinph.2011.08.029","ISSN":"13882457","abstract":"The primary aim of this review is to evaluate the effects of anodal transcranial direct current stimulation (a-tDCS) on corticomotor excitability and motor function in healthy individuals and subjects with stroke. The secondary aim is to find a-tDCS optimal parameters for its maximal effects. Electronic databases were searched for studies into the effect of a-tDCS when compared to no stimulation. Studies which met the inclusion criteria were assessed and methodological quality was examined using PEDro and Downs and Black (D&amp;B) assessment tools. Data from seven studies revealed increase in corticomotor excitability with a small but significant effect size (0.31 [0.14, 0.48], p=0.0003) in healthy subjects and data from two studies in subjects with stroke indicated significant results with moderate effect size (0.59 [0.24, 0.93], p=0.001) in favor of a-tDCS. Likewise, studies examining motor function demonstrated a small and non-significant effect (0.39 [-0.17, 0.94], p=0.17) in subjects with stroke and a large but non-significant effect (0.92 [-1.02, 2.87], p=0.35) in healthy subjects in favor of improvement in motor function. The results also indicate that efficacy of a-tDCS is dependent on current density and duration of application. A-tDCS increases corticomotor excitability in both healthy individuals and subjects with stroke. The results also show a trend in favor of motor function improvement following a-tDCS. A-tDCS is a non-invasive, cheap and easy-to-apply modality which could be used as a stand-alone technique or as an adds-on technique to enhance corticomotor excitability and the efficacy of motor training approaches. However, the small sample size of the included studies reduces the strength of the presented evidences and any conclusion in this regard should be considered cautiously. © 2011 International Federation of Clinical Neurophysiology.","author":[{"dropping-particle":"","family":"Bastani","given":"A.","non-dropping-particle":"","parse-names":false,"suffix":""},{"dropping-particle":"","family":"Jaberzadeh","given":"S.","non-dropping-particle":"","parse-names":false,"suffix":""}],"container-title":"Clinical Neurophysiology","id":"ITEM-3","issued":{"date-parts":[["2012"]]},"title":"Does anodal transcranial direct current stimulation enhance excitability of the motor cortex and motor function in healthy individuals and subjects with stroke: A systematic review and meta-analysis","type":"article"},"uris":["http://www.mendeley.com/documents/?uuid=f850c411-b75d-4786-94fc-9f6a8b0083d1"]}],"mendeley":{"formattedCitation":"&lt;sup&gt;36,37,50&lt;/sup&gt;","plainTextFormattedCitation":"36,37,50","previouslyFormattedCitation":"&lt;sup&gt;36,37,50&lt;/sup&gt;"},"properties":{"noteIndex":0},"schema":"https://github.com/citation-style-language/schema/raw/master/csl-citation.json"}</w:instrText>
      </w:r>
      <w:r w:rsidRPr="00F63BA5">
        <w:fldChar w:fldCharType="separate"/>
      </w:r>
      <w:r w:rsidR="00356A19" w:rsidRPr="00356A19">
        <w:rPr>
          <w:noProof/>
          <w:vertAlign w:val="superscript"/>
        </w:rPr>
        <w:t>36,37,50</w:t>
      </w:r>
      <w:r w:rsidRPr="00F63BA5">
        <w:fldChar w:fldCharType="end"/>
      </w:r>
      <w:r w:rsidR="00013645">
        <w:t xml:space="preserve"> </w:t>
      </w:r>
      <w:r w:rsidR="00013645" w:rsidRPr="00013645">
        <w:rPr>
          <w:u w:val="single"/>
        </w:rPr>
        <w:t>(but see the discussion of cathodal effects above)</w:t>
      </w:r>
      <w:r w:rsidRPr="00F63BA5">
        <w:t>, (3) the stimulation would affect abstract and concrete word acquisition to different degrees, as suggested by previous neuroimaging evidence indicating differential activation of temporo-parietal structures in the processing of these word types</w:t>
      </w:r>
      <w:r w:rsidRPr="00F63BA5">
        <w:fldChar w:fldCharType="begin" w:fldLock="1"/>
      </w:r>
      <w:r w:rsidR="00F86F06">
        <w:instrText>ADDIN CSL_CITATION {"citationItems":[{"id":"ITEM-1","itemData":{"DOI":"10.1093/cercor/bhp055","ISSN":"10473211","abstract":"Semantic memory refers to knowledge about people, objects, actions, relations, self, and culture acquired through experience. The neural systems that store and retrieve this information have been studied for many years, but a consensus regarding their identity has not been reached. Using strict inclusion criteria, we analyzed 120 functional neuroimaging studies focusing on semantic processing. Reliable areas of activation in these studies were identified using the activation likelihood estimate (ALE) technique. These activations formed a distinct, left-lateralized network comprised of 7 regions: posterior inferior parietal lobe, middle temporal gyrus, fusiform and parahippocampal gyri, dorsomedial prefrontal cortex, inferior frontal gyrus, ventromedial prefrontal cortex, and posterior cingulate gyrus. Secondary analyses showed specific subregions of this network associated with knowledge of actions, manipulable artifacts, abstract concepts, and concrete concepts. The cortical regions involved in semantic processing can be grouped into 3 broad categories: posterior multimodal and heteromodal association cortex, heteromodal prefrontal cortex, and medial limbic regions. The expansion of these regions in the human relative to the nonhuman primate brain may explain uniquely human capacities to use language productively, plan, solve problems, and create cultural and technological artifacts, all of which depend on the fluid and efficient retrieval and manipulation of semantic knowledge.","author":[{"dropping-particle":"","family":"Binder","given":"Jeffrey R.","non-dropping-particle":"","parse-names":false,"suffix":""},{"dropping-particle":"","family":"Desai","given":"Rutvik H.","non-dropping-particle":"","parse-names":false,"suffix":""},{"dropping-particle":"","family":"Graves","given":"William W.","non-dropping-particle":"","parse-names":false,"suffix":""},{"dropping-particle":"","family":"Conant","given":"Lisa L.","non-dropping-particle":"","parse-names":false,"suffix":""}],"container-title":"Cerebral Cortex","id":"ITEM-1","issued":{"date-parts":[["2009"]]},"title":"Where is the semantic system? A critical review and meta-analysis of 120 functional neuroimaging studies","type":"article-journal"},"uris":["http://www.mendeley.com/documents/?uuid=859c9af8-b539-4ffd-8cf3-b93a29049d6b"]}],"mendeley":{"formattedCitation":"&lt;sup&gt;51&lt;/sup&gt;","plainTextFormattedCitation":"51","previouslyFormattedCitation":"&lt;sup&gt;51&lt;/sup&gt;"},"properties":{"noteIndex":0},"schema":"https://github.com/citation-style-language/schema/raw/master/csl-citation.json"}</w:instrText>
      </w:r>
      <w:r w:rsidRPr="00F63BA5">
        <w:fldChar w:fldCharType="separate"/>
      </w:r>
      <w:r w:rsidR="00356A19" w:rsidRPr="00356A19">
        <w:rPr>
          <w:noProof/>
          <w:vertAlign w:val="superscript"/>
        </w:rPr>
        <w:t>51</w:t>
      </w:r>
      <w:r w:rsidRPr="00F63BA5">
        <w:fldChar w:fldCharType="end"/>
      </w:r>
      <w:r w:rsidRPr="00F63BA5">
        <w:t>.</w:t>
      </w:r>
    </w:p>
    <w:p w14:paraId="6A744000" w14:textId="77777777" w:rsidR="008C6A6E" w:rsidRPr="00F63BA5" w:rsidRDefault="008C6A6E" w:rsidP="00124D87">
      <w:pPr>
        <w:pStyle w:val="a3"/>
        <w:spacing w:before="102" w:line="249" w:lineRule="auto"/>
        <w:ind w:left="126" w:right="138" w:firstLine="7"/>
        <w:jc w:val="both"/>
      </w:pPr>
    </w:p>
    <w:p w14:paraId="29BEE880" w14:textId="77777777" w:rsidR="00B10093" w:rsidRDefault="00B10093" w:rsidP="00B10093">
      <w:pPr>
        <w:pStyle w:val="1"/>
      </w:pPr>
      <w:r>
        <w:t>Methods</w:t>
      </w:r>
    </w:p>
    <w:p w14:paraId="1BEA51D7" w14:textId="77777777" w:rsidR="00B10093" w:rsidRPr="00FB40C6" w:rsidRDefault="00B10093" w:rsidP="00B10093">
      <w:pPr>
        <w:spacing w:before="228"/>
        <w:ind w:left="133"/>
        <w:rPr>
          <w:rFonts w:ascii="Arial"/>
          <w:b/>
          <w:sz w:val="20"/>
        </w:rPr>
      </w:pPr>
      <w:r w:rsidRPr="00FB40C6">
        <w:rPr>
          <w:rFonts w:ascii="Arial"/>
          <w:b/>
          <w:sz w:val="20"/>
        </w:rPr>
        <w:t>Participants</w:t>
      </w:r>
    </w:p>
    <w:p w14:paraId="075268B2" w14:textId="248CEFF7" w:rsidR="00B10093" w:rsidRPr="00B732D4" w:rsidRDefault="00B10093" w:rsidP="00986DC9">
      <w:pPr>
        <w:pStyle w:val="a3"/>
        <w:spacing w:before="102" w:line="249" w:lineRule="auto"/>
        <w:ind w:left="126" w:right="138" w:firstLine="7"/>
        <w:jc w:val="both"/>
        <w:rPr>
          <w:u w:val="single"/>
        </w:rPr>
      </w:pPr>
      <w:r w:rsidRPr="00CE0EBA">
        <w:t xml:space="preserve">Right-handed </w:t>
      </w:r>
      <w:r w:rsidR="00BF5D43" w:rsidRPr="004F692B">
        <w:t>(handedness assessed using an abridged version of the Edinburgh Handedness Inventory</w:t>
      </w:r>
      <w:r w:rsidR="00BF5D43" w:rsidRPr="004F692B">
        <w:fldChar w:fldCharType="begin" w:fldLock="1"/>
      </w:r>
      <w:r w:rsidR="00F86F06">
        <w:instrText>ADDIN CSL_CITATION {"citationItems":[{"id":"ITEM-1","itemData":{"DOI":"10.1016/0028-3932(71)90067-4","ISSN":"00283932","PMID":"5146491","abstract":"The need for a simply applied quantitative assessment of handedness is discussed and some previous forms reviewed. An inventory of 20 items with a set of instructions and response- and computational-conventions is proposed and the results obtained from a young adult population numbering some 1100 individuals are reported. The separate items are examined from the point of view of sex, cultural and socio-economic factors which might appertain to them and also of their inter-relationship to each other and to the measure computed from them all. Criteria derived from these considerations are then applied to eliminate 10 of the original 20 items and the results recomputed to provide frequency-distribution and cumulative frequency functions and a revised item-analysis. The difference of incidence of handedness between the sexes is discussed. © 1971.","author":[{"dropping-particle":"","family":"Oldfield","given":"R. C.","non-dropping-particle":"","parse-names":false,"suffix":""}],"container-title":"Neuropsychologia","id":"ITEM-1","issued":{"date-parts":[["1971"]]},"title":"The assessment and analysis of handedness: The Edinburgh inventory","type":"article-journal"},"uris":["http://www.mendeley.com/documents/?uuid=24488e09-b6ab-4aac-bd75-7cab88dba898"]}],"mendeley":{"formattedCitation":"&lt;sup&gt;52&lt;/sup&gt;","plainTextFormattedCitation":"52","previouslyFormattedCitation":"&lt;sup&gt;52&lt;/sup&gt;"},"properties":{"noteIndex":0},"schema":"https://github.com/citation-style-language/schema/raw/master/csl-citation.json"}</w:instrText>
      </w:r>
      <w:r w:rsidR="00BF5D43" w:rsidRPr="004F692B">
        <w:fldChar w:fldCharType="separate"/>
      </w:r>
      <w:r w:rsidR="00356A19" w:rsidRPr="00356A19">
        <w:rPr>
          <w:noProof/>
          <w:vertAlign w:val="superscript"/>
        </w:rPr>
        <w:t>52</w:t>
      </w:r>
      <w:r w:rsidR="00BF5D43" w:rsidRPr="004F692B">
        <w:fldChar w:fldCharType="end"/>
      </w:r>
      <w:r w:rsidR="00BF5D43" w:rsidRPr="004F692B">
        <w:t xml:space="preserve">) </w:t>
      </w:r>
      <w:r w:rsidRPr="00CE0EBA">
        <w:t>native monolingual Russian speakers with normal or corrected to normal vision, no history of neuropsychiatric disorders, trauma or drug abuse participated in the study. The</w:t>
      </w:r>
      <w:r w:rsidRPr="009641A8">
        <w:t xml:space="preserve"> sample included 72 </w:t>
      </w:r>
      <w:r w:rsidRPr="00CE0EBA">
        <w:t>participan</w:t>
      </w:r>
      <w:r w:rsidRPr="009641A8">
        <w:t>ts randomly assigned to three groups (N = 24</w:t>
      </w:r>
      <w:r w:rsidR="002B0CF4">
        <w:t xml:space="preserve">, </w:t>
      </w:r>
      <w:r w:rsidR="002B0CF4" w:rsidRPr="004F692B">
        <w:rPr>
          <w:u w:val="single"/>
        </w:rPr>
        <w:t>4 male, 20 female in</w:t>
      </w:r>
      <w:r w:rsidRPr="004F692B">
        <w:rPr>
          <w:u w:val="single"/>
        </w:rPr>
        <w:t xml:space="preserve"> each,</w:t>
      </w:r>
      <w:r w:rsidRPr="009641A8">
        <w:t xml:space="preserve"> 17 – 35 </w:t>
      </w:r>
      <w:proofErr w:type="spellStart"/>
      <w:r w:rsidRPr="009641A8">
        <w:t>y.o</w:t>
      </w:r>
      <w:proofErr w:type="spellEnd"/>
      <w:r w:rsidRPr="009641A8">
        <w:t xml:space="preserve">.). </w:t>
      </w:r>
      <w:r w:rsidR="002B0CF4" w:rsidRPr="004F692B">
        <w:rPr>
          <w:u w:val="single"/>
        </w:rPr>
        <w:t xml:space="preserve">The </w:t>
      </w:r>
      <w:r w:rsidR="00BF5D43" w:rsidRPr="004F692B">
        <w:rPr>
          <w:u w:val="single"/>
        </w:rPr>
        <w:t xml:space="preserve">three </w:t>
      </w:r>
      <w:r w:rsidR="002B0CF4" w:rsidRPr="004F692B">
        <w:rPr>
          <w:u w:val="single"/>
        </w:rPr>
        <w:t xml:space="preserve">groups did not differ statistically </w:t>
      </w:r>
      <w:r w:rsidR="00BF5D43" w:rsidRPr="004F692B">
        <w:rPr>
          <w:u w:val="single"/>
        </w:rPr>
        <w:t xml:space="preserve">in </w:t>
      </w:r>
      <w:r w:rsidR="002B0CF4" w:rsidRPr="004F692B">
        <w:rPr>
          <w:u w:val="single"/>
        </w:rPr>
        <w:t>their age (p=</w:t>
      </w:r>
      <w:r w:rsidR="0091660F" w:rsidRPr="004F692B">
        <w:rPr>
          <w:u w:val="single"/>
        </w:rPr>
        <w:t>0.</w:t>
      </w:r>
      <w:r w:rsidR="007B219F" w:rsidRPr="004F692B">
        <w:rPr>
          <w:u w:val="single"/>
        </w:rPr>
        <w:t>23</w:t>
      </w:r>
      <w:r w:rsidR="008A0457" w:rsidRPr="004F692B">
        <w:rPr>
          <w:u w:val="single"/>
        </w:rPr>
        <w:t>1</w:t>
      </w:r>
      <w:r w:rsidR="0091660F" w:rsidRPr="004F692B">
        <w:rPr>
          <w:u w:val="single"/>
        </w:rPr>
        <w:t xml:space="preserve">, </w:t>
      </w:r>
      <w:r w:rsidR="008B1D1E" w:rsidRPr="00B732D4">
        <w:rPr>
          <w:u w:val="single"/>
        </w:rPr>
        <w:t>χ2(2)</w:t>
      </w:r>
      <w:r w:rsidR="0091660F" w:rsidRPr="004F692B">
        <w:rPr>
          <w:u w:val="single"/>
        </w:rPr>
        <w:t>=</w:t>
      </w:r>
      <w:r w:rsidR="007B219F" w:rsidRPr="004F692B">
        <w:rPr>
          <w:u w:val="single"/>
        </w:rPr>
        <w:t>2.93</w:t>
      </w:r>
      <w:r w:rsidR="008A0457" w:rsidRPr="004F692B">
        <w:rPr>
          <w:u w:val="single"/>
        </w:rPr>
        <w:t>3</w:t>
      </w:r>
      <w:r w:rsidR="0091660F" w:rsidRPr="004F692B">
        <w:rPr>
          <w:u w:val="single"/>
        </w:rPr>
        <w:t>)</w:t>
      </w:r>
      <w:r w:rsidR="002B0CF4" w:rsidRPr="004F692B">
        <w:rPr>
          <w:u w:val="single"/>
        </w:rPr>
        <w:t>, han</w:t>
      </w:r>
      <w:r w:rsidR="00F00C05" w:rsidRPr="004F692B">
        <w:rPr>
          <w:u w:val="single"/>
        </w:rPr>
        <w:t>de</w:t>
      </w:r>
      <w:r w:rsidR="002B0CF4" w:rsidRPr="004F692B">
        <w:rPr>
          <w:u w:val="single"/>
        </w:rPr>
        <w:t>dness</w:t>
      </w:r>
      <w:r w:rsidR="008A0457" w:rsidRPr="004F692B">
        <w:rPr>
          <w:u w:val="single"/>
        </w:rPr>
        <w:t xml:space="preserve"> (p=0.528, </w:t>
      </w:r>
      <w:r w:rsidR="00B732D4" w:rsidRPr="00B732D4">
        <w:rPr>
          <w:u w:val="single"/>
        </w:rPr>
        <w:t>χ2(2)</w:t>
      </w:r>
      <w:r w:rsidR="008A0457" w:rsidRPr="004F692B">
        <w:rPr>
          <w:u w:val="single"/>
        </w:rPr>
        <w:t>=1.276</w:t>
      </w:r>
      <w:r w:rsidR="007B219F" w:rsidRPr="004F692B">
        <w:rPr>
          <w:u w:val="single"/>
        </w:rPr>
        <w:t>)</w:t>
      </w:r>
      <w:r w:rsidR="002B0CF4" w:rsidRPr="004F692B">
        <w:rPr>
          <w:u w:val="single"/>
        </w:rPr>
        <w:t xml:space="preserve">, age of </w:t>
      </w:r>
      <w:r w:rsidR="009E4DE5">
        <w:rPr>
          <w:u w:val="single"/>
        </w:rPr>
        <w:t xml:space="preserve">the </w:t>
      </w:r>
      <w:r w:rsidR="002B0CF4" w:rsidRPr="004F692B">
        <w:rPr>
          <w:u w:val="single"/>
        </w:rPr>
        <w:t>first</w:t>
      </w:r>
      <w:r w:rsidR="00620241" w:rsidRPr="004F692B">
        <w:rPr>
          <w:u w:val="single"/>
        </w:rPr>
        <w:t xml:space="preserve"> experience of</w:t>
      </w:r>
      <w:r w:rsidR="002B0CF4" w:rsidRPr="004F692B">
        <w:rPr>
          <w:u w:val="single"/>
        </w:rPr>
        <w:t xml:space="preserve"> foreign language </w:t>
      </w:r>
      <w:r w:rsidR="00620241" w:rsidRPr="004F692B">
        <w:rPr>
          <w:u w:val="single"/>
        </w:rPr>
        <w:t xml:space="preserve">acquisition </w:t>
      </w:r>
      <w:r w:rsidR="007B219F" w:rsidRPr="004F692B">
        <w:rPr>
          <w:u w:val="single"/>
        </w:rPr>
        <w:t>(p=0.33</w:t>
      </w:r>
      <w:r w:rsidR="008A0457" w:rsidRPr="004F692B">
        <w:rPr>
          <w:u w:val="single"/>
        </w:rPr>
        <w:t>1</w:t>
      </w:r>
      <w:r w:rsidR="007B219F" w:rsidRPr="004F692B">
        <w:rPr>
          <w:u w:val="single"/>
        </w:rPr>
        <w:t xml:space="preserve">, </w:t>
      </w:r>
      <w:r w:rsidR="00B732D4" w:rsidRPr="00B732D4">
        <w:rPr>
          <w:u w:val="single"/>
        </w:rPr>
        <w:t>χ2(2)</w:t>
      </w:r>
      <w:r w:rsidR="007B219F" w:rsidRPr="004F692B">
        <w:rPr>
          <w:u w:val="single"/>
        </w:rPr>
        <w:t>=2.21</w:t>
      </w:r>
      <w:r w:rsidR="008A0457" w:rsidRPr="004F692B">
        <w:rPr>
          <w:u w:val="single"/>
        </w:rPr>
        <w:t>0</w:t>
      </w:r>
      <w:r w:rsidR="007B219F" w:rsidRPr="004F692B">
        <w:rPr>
          <w:u w:val="single"/>
        </w:rPr>
        <w:t>)</w:t>
      </w:r>
      <w:r w:rsidR="008E57CE" w:rsidRPr="004F692B">
        <w:rPr>
          <w:u w:val="single"/>
        </w:rPr>
        <w:t xml:space="preserve"> and the level of education (in years)</w:t>
      </w:r>
      <w:r w:rsidR="00986DC9">
        <w:rPr>
          <w:u w:val="single"/>
        </w:rPr>
        <w:t xml:space="preserve"> (</w:t>
      </w:r>
      <w:r w:rsidR="00986DC9" w:rsidRPr="00986DC9">
        <w:rPr>
          <w:u w:val="single"/>
        </w:rPr>
        <w:t xml:space="preserve">p=0.068, </w:t>
      </w:r>
      <w:r w:rsidR="00986DC9" w:rsidRPr="00B732D4">
        <w:rPr>
          <w:u w:val="single"/>
        </w:rPr>
        <w:t>χ2(2)</w:t>
      </w:r>
      <w:r w:rsidR="00986DC9">
        <w:rPr>
          <w:u w:val="single"/>
        </w:rPr>
        <w:t>=</w:t>
      </w:r>
      <w:r w:rsidR="00986DC9" w:rsidRPr="00986DC9">
        <w:rPr>
          <w:u w:val="single"/>
        </w:rPr>
        <w:t>5,378)</w:t>
      </w:r>
      <w:r w:rsidR="00986DC9">
        <w:rPr>
          <w:u w:val="single"/>
        </w:rPr>
        <w:t xml:space="preserve"> </w:t>
      </w:r>
      <w:r w:rsidR="00D37DC1" w:rsidRPr="004F692B">
        <w:rPr>
          <w:u w:val="single"/>
        </w:rPr>
        <w:t xml:space="preserve">as </w:t>
      </w:r>
      <w:r w:rsidR="00620241" w:rsidRPr="004F692B">
        <w:rPr>
          <w:u w:val="single"/>
        </w:rPr>
        <w:t>tested using</w:t>
      </w:r>
      <w:r w:rsidR="00D37DC1" w:rsidRPr="004F692B">
        <w:rPr>
          <w:u w:val="single"/>
        </w:rPr>
        <w:t xml:space="preserve"> </w:t>
      </w:r>
      <w:r w:rsidR="00972550" w:rsidRPr="004F692B">
        <w:rPr>
          <w:u w:val="single"/>
        </w:rPr>
        <w:t>Kruskal–Wallis one-way analysis of variance</w:t>
      </w:r>
      <w:r w:rsidR="002B0CF4" w:rsidRPr="004F692B">
        <w:rPr>
          <w:u w:val="single"/>
        </w:rPr>
        <w:t>.</w:t>
      </w:r>
      <w:r w:rsidR="002B0CF4">
        <w:t xml:space="preserve"> </w:t>
      </w:r>
      <w:r w:rsidRPr="009641A8">
        <w:t xml:space="preserve">The study protocol was </w:t>
      </w:r>
      <w:r w:rsidRPr="00CE0EBA">
        <w:t>approved by the St. Petersburg University Ethics Committee</w:t>
      </w:r>
      <w:r w:rsidRPr="00C06B4E">
        <w:t xml:space="preserve">; all experiments were performed in accordance with </w:t>
      </w:r>
      <w:r w:rsidR="00166954" w:rsidRPr="00C06B4E">
        <w:t>the relevant guidelines and regulations</w:t>
      </w:r>
      <w:r w:rsidRPr="00C06B4E">
        <w:t>; all</w:t>
      </w:r>
      <w:r w:rsidRPr="00CE0EBA">
        <w:t xml:space="preserve"> participants gave their written informed consent to take part in the experiments.</w:t>
      </w:r>
      <w:r w:rsidR="00166954">
        <w:t xml:space="preserve"> </w:t>
      </w:r>
    </w:p>
    <w:p w14:paraId="7F8721FE" w14:textId="77777777" w:rsidR="00B10093" w:rsidRPr="00FB40C6" w:rsidRDefault="00B10093" w:rsidP="00B10093">
      <w:pPr>
        <w:spacing w:before="228"/>
        <w:ind w:left="133"/>
        <w:rPr>
          <w:rFonts w:ascii="Arial"/>
          <w:b/>
          <w:sz w:val="20"/>
        </w:rPr>
      </w:pPr>
      <w:r w:rsidRPr="00FB40C6">
        <w:rPr>
          <w:rFonts w:ascii="Arial"/>
          <w:b/>
          <w:sz w:val="20"/>
        </w:rPr>
        <w:t>Materials</w:t>
      </w:r>
    </w:p>
    <w:p w14:paraId="7E30095A" w14:textId="20737D5A" w:rsidR="00B10093" w:rsidRPr="00CE0EBA" w:rsidRDefault="00B10093" w:rsidP="00B10093">
      <w:pPr>
        <w:pStyle w:val="a3"/>
        <w:spacing w:before="102" w:line="249" w:lineRule="auto"/>
        <w:ind w:left="126" w:right="138" w:firstLine="7"/>
        <w:jc w:val="both"/>
      </w:pPr>
      <w:r w:rsidRPr="006B3BF3">
        <w:t xml:space="preserve">New, previously unfamiliar word forms (“pseudowords”) were developed based on real words of the Russian language by </w:t>
      </w:r>
      <w:r w:rsidRPr="00CE0EBA">
        <w:t>chang</w:t>
      </w:r>
      <w:r w:rsidRPr="006B3BF3">
        <w:t>ing their final syllab</w:t>
      </w:r>
      <w:r w:rsidRPr="00CE0EBA">
        <w:t>les</w:t>
      </w:r>
      <w:r w:rsidRPr="006B3BF3">
        <w:t xml:space="preserve"> (e.g. </w:t>
      </w:r>
      <w:proofErr w:type="spellStart"/>
      <w:r w:rsidRPr="005D3DA2">
        <w:rPr>
          <w:i/>
          <w:iCs/>
        </w:rPr>
        <w:t>гардероб</w:t>
      </w:r>
      <w:proofErr w:type="spellEnd"/>
      <w:r w:rsidRPr="005D3DA2">
        <w:rPr>
          <w:i/>
          <w:iCs/>
        </w:rPr>
        <w:t xml:space="preserve"> → </w:t>
      </w:r>
      <w:proofErr w:type="spellStart"/>
      <w:r w:rsidRPr="005D3DA2">
        <w:rPr>
          <w:i/>
          <w:iCs/>
        </w:rPr>
        <w:t>гарденал</w:t>
      </w:r>
      <w:proofErr w:type="spellEnd"/>
      <w:r w:rsidRPr="005D3DA2">
        <w:rPr>
          <w:i/>
          <w:iCs/>
        </w:rPr>
        <w:t>*</w:t>
      </w:r>
      <w:r w:rsidRPr="006B3BF3">
        <w:t xml:space="preserve"> [</w:t>
      </w:r>
      <w:proofErr w:type="spellStart"/>
      <w:r w:rsidRPr="006B3BF3">
        <w:t>garderobe</w:t>
      </w:r>
      <w:proofErr w:type="spellEnd"/>
      <w:r w:rsidRPr="006B3BF3">
        <w:t xml:space="preserve"> → </w:t>
      </w:r>
      <w:proofErr w:type="spellStart"/>
      <w:r w:rsidRPr="006B3BF3">
        <w:t>gardenal</w:t>
      </w:r>
      <w:proofErr w:type="spellEnd"/>
      <w:r w:rsidRPr="006B3BF3">
        <w:t>*</w:t>
      </w:r>
      <w:r>
        <w:t>]</w:t>
      </w:r>
      <w:r w:rsidRPr="005D3DA2">
        <w:t xml:space="preserve">, </w:t>
      </w:r>
      <w:r>
        <w:t xml:space="preserve">i.e. </w:t>
      </w:r>
      <w:r>
        <w:rPr>
          <w:i/>
          <w:iCs/>
        </w:rPr>
        <w:t>wardrobe</w:t>
      </w:r>
      <w:r w:rsidRPr="006B3BF3">
        <w:t xml:space="preserve"> → </w:t>
      </w:r>
      <w:r>
        <w:rPr>
          <w:i/>
          <w:iCs/>
        </w:rPr>
        <w:t>novel pseudoword</w:t>
      </w:r>
      <w:r w:rsidRPr="006B3BF3">
        <w:t>). These pseudowords resembled existing words in terms of orthographic and phonological structure</w:t>
      </w:r>
      <w:r w:rsidRPr="00CE0EBA">
        <w:t xml:space="preserve"> such that</w:t>
      </w:r>
      <w:r w:rsidRPr="006B3BF3">
        <w:t xml:space="preserve"> participants </w:t>
      </w:r>
      <w:r w:rsidRPr="00CE0EBA">
        <w:t>w</w:t>
      </w:r>
      <w:r w:rsidRPr="006B3BF3">
        <w:t xml:space="preserve">ould not perceive </w:t>
      </w:r>
      <w:r w:rsidRPr="00CE0EBA">
        <w:t>them</w:t>
      </w:r>
      <w:r w:rsidRPr="006B3BF3">
        <w:t xml:space="preserve"> as words of a foreign language which typically differ in phonetics from native words. In total, </w:t>
      </w:r>
      <w:r w:rsidRPr="00CE0EBA">
        <w:t xml:space="preserve">30 words (3 sets of 10) were chosen as a base for the experimental stimulus set to be modified </w:t>
      </w:r>
      <w:r>
        <w:t xml:space="preserve">via recombination </w:t>
      </w:r>
      <w:r w:rsidRPr="00CE0EBA">
        <w:t>to create novel pseudowords</w:t>
      </w:r>
      <w:r>
        <w:t>.</w:t>
      </w:r>
      <w:r w:rsidRPr="00CE0EBA">
        <w:t xml:space="preserve"> </w:t>
      </w:r>
      <w:r>
        <w:t>These</w:t>
      </w:r>
      <w:r w:rsidRPr="00CE0EBA">
        <w:t xml:space="preserve"> were assigned to abstract or concrete </w:t>
      </w:r>
      <w:r>
        <w:t xml:space="preserve">novel </w:t>
      </w:r>
      <w:r w:rsidRPr="00CE0EBA">
        <w:t>word categories and presented across the subject groups in a counterbalanced fashion to avoid any random effects of surface stimulus properties</w:t>
      </w:r>
      <w:r>
        <w:t xml:space="preserve"> </w:t>
      </w:r>
      <w:r>
        <w:fldChar w:fldCharType="begin" w:fldLock="1"/>
      </w:r>
      <w:r w:rsidR="00F86F06">
        <w:instrText>ADDIN CSL_CITATION {"citationItems":[{"id":"ITEM-1","itemData":{"DOI":"10.3791/59159","ISSN":"1940087X","abstract":"Language is a highly important yet poorly understood function of the human brain. While studies of brain activation patterns during language comprehension are abundant, what is often critically missing is causal evidence of brain areas' involvement in a particular linguistic function, not least due to the unique human nature of this ability and a shortage of neurophysiological tools to study causal relationships in the human brain noninvasively. Recent years have seen a rapid rise in the use of transcranial direct current stimulation (tDCS) of the human brain, an easy, inexpensive and safe noninvasive technique that can modulate the state of the stimulated brain area (putatively by shifting excitation/ inhibition thresholds), enabling a study of its particular contribution to specific functions. While mostly focusing on motor control, the use of tDCS is becoming more widespread in both basic and clinical research on higher cognitive functions, language included, but the procedures for its application remain variable. Here, we describe the use of tDCS in a psycholinguistic word-learning experiment. We present the techniques and procedures for application of cathodal and anodal stimulation of core language areas of Broca and Wernicke in the left hemisphere of the human brain, describe the procedures of creating balanced sets of psycholinguistic stimuli, a controlled yet naturalistic learning regime, and a comprehensive set of techniques to assess the learning outcomes and tDCS effects. As an example of tDCS application, we show that cathodal stimulation of Wernicke's area prior to a learning session can impact word learning efficiency. This impact is both present immediately after learning and, importantly, preserved over longer time after the physical effects of stimulation wear off, suggesting that tDCS can have long-term influence on linguistic storage and representations in the human brain.","author":[{"dropping-particle":"","family":"Blagovechtchenski","given":"Evgeny","non-dropping-particle":"","parse-names":false,"suffix":""},{"dropping-particle":"","family":"Gnedykh","given":"Daria","non-dropping-particle":"","parse-names":false,"suffix":""},{"dropping-particle":"","family":"Kurmakaeva","given":"Diana","non-dropping-particle":"","parse-names":false,"suffix":""},{"dropping-particle":"","family":"Mkrtychian","given":"Nadezhda","non-dropping-particle":"","parse-names":false,"suffix":""},{"dropping-particle":"","family":"Kostromina","given":"Svetlana","non-dropping-particle":"","parse-names":false,"suffix":""},{"dropping-particle":"","family":"Shtyrov","given":"Yury","non-dropping-particle":"","parse-names":false,"suffix":""}],"container-title":"Journal of Visualized Experiments","id":"ITEM-1","issued":{"date-parts":[["2019"]]},"title":"Transcranial direct current stimulation (Tdcs) of wernicke's and broca's areas in studies of language learning and word acquisition","type":"article-journal"},"uris":["http://www.mendeley.com/documents/?uuid=510a9c99-a9cd-43ad-ac2d-d43111fdaf4e"]}],"mendeley":{"formattedCitation":"&lt;sup&gt;33&lt;/sup&gt;","manualFormatting":"(see also Blagovechtchenski et al., for a more detailed methods description)","plainTextFormattedCitation":"33","previouslyFormattedCitation":"&lt;sup&gt;33&lt;/sup&gt;"},"properties":{"noteIndex":0},"schema":"https://github.com/citation-style-language/schema/raw/master/csl-citation.json"}</w:instrText>
      </w:r>
      <w:r>
        <w:fldChar w:fldCharType="separate"/>
      </w:r>
      <w:r>
        <w:rPr>
          <w:noProof/>
        </w:rPr>
        <w:t>(see also Blagovechtchenski et al., for a more detailed methods description</w:t>
      </w:r>
      <w:r w:rsidRPr="00B162C0">
        <w:rPr>
          <w:noProof/>
        </w:rPr>
        <w:t>)</w:t>
      </w:r>
      <w:r>
        <w:fldChar w:fldCharType="end"/>
      </w:r>
      <w:r>
        <w:fldChar w:fldCharType="begin" w:fldLock="1"/>
      </w:r>
      <w:r w:rsidR="00F86F06">
        <w:instrText>ADDIN CSL_CITATION {"citationItems":[{"id":"ITEM-1","itemData":{"DOI":"10.3791/59159","ISSN":"1940087X","abstract":"Language is a highly important yet poorly understood function of the human brain. While studies of brain activation patterns during language comprehension are abundant, what is often critically missing is causal evidence of brain areas' involvement in a particular linguistic function, not least due to the unique human nature of this ability and a shortage of neurophysiological tools to study causal relationships in the human brain noninvasively. Recent years have seen a rapid rise in the use of transcranial direct current stimulation (tDCS) of the human brain, an easy, inexpensive and safe noninvasive technique that can modulate the state of the stimulated brain area (putatively by shifting excitation/ inhibition thresholds), enabling a study of its particular contribution to specific functions. While mostly focusing on motor control, the use of tDCS is becoming more widespread in both basic and clinical research on higher cognitive functions, language included, but the procedures for its application remain variable. Here, we describe the use of tDCS in a psycholinguistic word-learning experiment. We present the techniques and procedures for application of cathodal and anodal stimulation of core language areas of Broca and Wernicke in the left hemisphere of the human brain, describe the procedures of creating balanced sets of psycholinguistic stimuli, a controlled yet naturalistic learning regime, and a comprehensive set of techniques to assess the learning outcomes and tDCS effects. As an example of tDCS application, we show that cathodal stimulation of Wernicke's area prior to a learning session can impact word learning efficiency. This impact is both present immediately after learning and, importantly, preserved over longer time after the physical effects of stimulation wear off, suggesting that tDCS can have long-term influence on linguistic storage and representations in the human brain.","author":[{"dropping-particle":"","family":"Blagovechtchenski","given":"Evgeny","non-dropping-particle":"","parse-names":false,"suffix":""},{"dropping-particle":"","family":"Gnedykh","given":"Daria","non-dropping-particle":"","parse-names":false,"suffix":""},{"dropping-particle":"","family":"Kurmakaeva","given":"Diana","non-dropping-particle":"","parse-names":false,"suffix":""},{"dropping-particle":"","family":"Mkrtychian","given":"Nadezhda","non-dropping-particle":"","parse-names":false,"suffix":""},{"dropping-particle":"","family":"Kostromina","given":"Svetlana","non-dropping-particle":"","parse-names":false,"suffix":""},{"dropping-particle":"","family":"Shtyrov","given":"Yury","non-dropping-particle":"","parse-names":false,"suffix":""}],"container-title":"Journal of Visualized Experiments","id":"ITEM-1","issued":{"date-parts":[["2019"]]},"title":"Transcranial direct current stimulation (Tdcs) of wernicke's and broca's areas in studies of language learning and word acquisition","type":"article-journal"},"uris":["http://www.mendeley.com/documents/?uuid=510a9c99-a9cd-43ad-ac2d-d43111fdaf4e"]}],"mendeley":{"formattedCitation":"&lt;sup&gt;33&lt;/sup&gt;","plainTextFormattedCitation":"33","previouslyFormattedCitation":"&lt;sup&gt;33&lt;/sup&gt;"},"properties":{"noteIndex":0},"schema":"https://github.com/citation-style-language/schema/raw/master/csl-citation.json"}</w:instrText>
      </w:r>
      <w:r>
        <w:fldChar w:fldCharType="separate"/>
      </w:r>
      <w:r w:rsidR="00356A19" w:rsidRPr="00356A19">
        <w:rPr>
          <w:noProof/>
          <w:vertAlign w:val="superscript"/>
        </w:rPr>
        <w:t>33</w:t>
      </w:r>
      <w:r>
        <w:fldChar w:fldCharType="end"/>
      </w:r>
      <w:r w:rsidRPr="00CE0EBA">
        <w:t>. The</w:t>
      </w:r>
      <w:r w:rsidRPr="006B3BF3">
        <w:t xml:space="preserve"> base words all had eight letters</w:t>
      </w:r>
      <w:r w:rsidRPr="00CE0EBA">
        <w:t>/phonemes</w:t>
      </w:r>
      <w:r w:rsidRPr="006B3BF3">
        <w:t xml:space="preserve"> and consisted of three syllables with CVC-CV-CVC </w:t>
      </w:r>
      <w:r w:rsidRPr="00CE0EBA">
        <w:t>structure (where C stands for consonant and V for vowel</w:t>
      </w:r>
      <w:r w:rsidRPr="006B3BF3">
        <w:t xml:space="preserve">). </w:t>
      </w:r>
      <w:r w:rsidRPr="00CE0EBA">
        <w:t>These lists were chosen such that they did not differ statistically on their lemma and the ultimate sy</w:t>
      </w:r>
      <w:r w:rsidRPr="006B3BF3">
        <w:t>llable (trigram) f</w:t>
      </w:r>
      <w:r w:rsidRPr="00CE0EBA">
        <w:t>requencies, according to the Russian National Corpus (RNC) psycholinguistic database (</w:t>
      </w:r>
      <w:hyperlink r:id="rId9">
        <w:r w:rsidRPr="006B3BF3">
          <w:t>http://www.ruscorpora.ru/</w:t>
        </w:r>
      </w:hyperlink>
      <w:r w:rsidRPr="00CE0EBA">
        <w:t xml:space="preserve">), to prevent any frequency related confounds. </w:t>
      </w:r>
      <w:r w:rsidRPr="006B3BF3">
        <w:t xml:space="preserve">Based on these words, </w:t>
      </w:r>
      <w:r w:rsidRPr="00CE0EBA">
        <w:t>new p</w:t>
      </w:r>
      <w:r w:rsidRPr="006B3BF3">
        <w:t>seudowords were creat</w:t>
      </w:r>
      <w:r w:rsidRPr="00CE0EBA">
        <w:t>ed</w:t>
      </w:r>
      <w:r w:rsidRPr="006B3BF3">
        <w:t xml:space="preserve"> </w:t>
      </w:r>
      <w:r w:rsidRPr="00CE0EBA">
        <w:t>using</w:t>
      </w:r>
      <w:r w:rsidRPr="006B3BF3">
        <w:t xml:space="preserve"> the following procedure: the first two syllables (</w:t>
      </w:r>
      <w:r w:rsidRPr="00CE0EBA">
        <w:t xml:space="preserve">CVC-CV) </w:t>
      </w:r>
      <w:r w:rsidRPr="006B3BF3">
        <w:t xml:space="preserve">of </w:t>
      </w:r>
      <w:r w:rsidRPr="00CE0EBA">
        <w:t>the</w:t>
      </w:r>
      <w:r w:rsidRPr="006B3BF3">
        <w:t xml:space="preserve"> word were preserved and the ultimate </w:t>
      </w:r>
      <w:r w:rsidRPr="00CE0EBA">
        <w:t>CVC segment</w:t>
      </w:r>
      <w:r w:rsidRPr="006B3BF3">
        <w:t xml:space="preserve"> was changed (by rotating these syllables across lists) </w:t>
      </w:r>
      <w:r w:rsidRPr="00CE0EBA">
        <w:t>to create novel items not existing in Russian</w:t>
      </w:r>
      <w:r w:rsidRPr="006B3BF3">
        <w:t xml:space="preserve"> (e.g.</w:t>
      </w:r>
      <w:r w:rsidR="005B53D3">
        <w:t>,</w:t>
      </w:r>
      <w:r w:rsidRPr="006B3BF3">
        <w:t xml:space="preserve"> </w:t>
      </w:r>
      <w:r>
        <w:rPr>
          <w:lang w:val="ru-RU"/>
        </w:rPr>
        <w:t>мандарин</w:t>
      </w:r>
      <w:r>
        <w:t xml:space="preserve">, </w:t>
      </w:r>
      <w:r>
        <w:rPr>
          <w:lang w:val="ru-RU"/>
        </w:rPr>
        <w:t>кардинал</w:t>
      </w:r>
      <w:r w:rsidRPr="006B3BF3">
        <w:t xml:space="preserve"> → </w:t>
      </w:r>
      <w:r>
        <w:rPr>
          <w:lang w:val="ru-RU"/>
        </w:rPr>
        <w:t>к</w:t>
      </w:r>
      <w:proofErr w:type="spellStart"/>
      <w:r w:rsidRPr="006B3BF3">
        <w:t>ард</w:t>
      </w:r>
      <w:r>
        <w:rPr>
          <w:lang w:val="ru-RU"/>
        </w:rPr>
        <w:t>ирин</w:t>
      </w:r>
      <w:proofErr w:type="spellEnd"/>
      <w:r w:rsidRPr="006B3BF3">
        <w:t>*</w:t>
      </w:r>
      <w:r w:rsidRPr="00851235">
        <w:t xml:space="preserve">, </w:t>
      </w:r>
      <w:r>
        <w:rPr>
          <w:lang w:val="ru-RU"/>
        </w:rPr>
        <w:t>манда</w:t>
      </w:r>
      <w:proofErr w:type="spellStart"/>
      <w:r w:rsidRPr="006B3BF3">
        <w:t>нал</w:t>
      </w:r>
      <w:proofErr w:type="spellEnd"/>
      <w:r w:rsidRPr="006B3BF3">
        <w:t>* [</w:t>
      </w:r>
      <w:r>
        <w:t>mandarin</w:t>
      </w:r>
      <w:r w:rsidRPr="00851235">
        <w:t xml:space="preserve">, </w:t>
      </w:r>
      <w:r>
        <w:t xml:space="preserve">cardinal </w:t>
      </w:r>
      <w:r w:rsidRPr="006B3BF3">
        <w:t>→</w:t>
      </w:r>
      <w:r w:rsidRPr="00CE0EBA">
        <w:t xml:space="preserve"> </w:t>
      </w:r>
      <w:proofErr w:type="spellStart"/>
      <w:r>
        <w:t>cardirin</w:t>
      </w:r>
      <w:proofErr w:type="spellEnd"/>
      <w:r>
        <w:t xml:space="preserve">*, </w:t>
      </w:r>
      <w:proofErr w:type="spellStart"/>
      <w:r>
        <w:t>manda</w:t>
      </w:r>
      <w:r w:rsidRPr="00CE0EBA">
        <w:t>nal</w:t>
      </w:r>
      <w:proofErr w:type="spellEnd"/>
      <w:r w:rsidRPr="00CE0EBA">
        <w:t>*</w:t>
      </w:r>
      <w:r>
        <w:t>]</w:t>
      </w:r>
      <w:r w:rsidRPr="006B3BF3">
        <w:t xml:space="preserve">). Apart from novel word forms, novel semantics was created to be learnt as their meaning. </w:t>
      </w:r>
      <w:r w:rsidRPr="00CE0EBA">
        <w:t>For novel concrete words, i</w:t>
      </w:r>
      <w:r w:rsidRPr="006B3BF3">
        <w:t xml:space="preserve">t was </w:t>
      </w:r>
      <w:r w:rsidRPr="00CE0EBA">
        <w:t>developed using</w:t>
      </w:r>
      <w:r w:rsidRPr="006B3BF3">
        <w:t xml:space="preserve"> rare, obsolete or ancient objects</w:t>
      </w:r>
      <w:r w:rsidRPr="00CE0EBA">
        <w:t xml:space="preserve">, </w:t>
      </w:r>
      <w:r w:rsidRPr="006B3BF3">
        <w:t>which were unfamiliar to the participan</w:t>
      </w:r>
      <w:r w:rsidRPr="00CE0EBA">
        <w:t xml:space="preserve">ts (e.g. </w:t>
      </w:r>
      <w:r w:rsidRPr="00851235">
        <w:rPr>
          <w:i/>
          <w:iCs/>
        </w:rPr>
        <w:t>a medieval contraption for catching fleas in one’s hair or wig</w:t>
      </w:r>
      <w:r w:rsidRPr="006B3BF3">
        <w:t>).</w:t>
      </w:r>
      <w:r w:rsidRPr="00CE0EBA">
        <w:t xml:space="preserve"> New abstract concepts were adopted</w:t>
      </w:r>
      <w:r w:rsidRPr="006B3BF3">
        <w:t xml:space="preserve"> from foreign </w:t>
      </w:r>
      <w:r w:rsidRPr="00CE0EBA">
        <w:t>cultures,</w:t>
      </w:r>
      <w:r w:rsidRPr="006B3BF3">
        <w:t xml:space="preserve"> with the requirement </w:t>
      </w:r>
      <w:r w:rsidRPr="00CE0EBA">
        <w:t>that no words for these concepts existed in the</w:t>
      </w:r>
      <w:r w:rsidRPr="006B3BF3">
        <w:t xml:space="preserve"> participants’ native language</w:t>
      </w:r>
      <w:r w:rsidRPr="00CE0EBA">
        <w:t xml:space="preserve"> (e.g. </w:t>
      </w:r>
      <w:r w:rsidRPr="00851235">
        <w:rPr>
          <w:i/>
          <w:iCs/>
        </w:rPr>
        <w:t>the feeling of having too many passwords, not being able to remember all of them</w:t>
      </w:r>
      <w:r w:rsidRPr="006B3BF3">
        <w:t xml:space="preserve">). </w:t>
      </w:r>
      <w:r w:rsidRPr="00CE0EBA">
        <w:t>In total, 10 novel concrete and 10 novel abstract concepts were created, to be paired with new word forms in a contextual learning setting. None of these were known to the participants</w:t>
      </w:r>
      <w:r w:rsidR="00620241">
        <w:t>,</w:t>
      </w:r>
      <w:r w:rsidRPr="00CE0EBA">
        <w:t xml:space="preserve"> as established in a separate survey. Both sets were evaluated by participants in terms of concreteness/abstractness, emotional valency, and imageability </w:t>
      </w:r>
      <w:r w:rsidR="00BE5C31" w:rsidRPr="00BE5C31">
        <w:rPr>
          <w:u w:val="single"/>
        </w:rPr>
        <w:t xml:space="preserve">on a </w:t>
      </w:r>
      <w:r w:rsidRPr="00BE5C31">
        <w:rPr>
          <w:u w:val="single"/>
        </w:rPr>
        <w:t xml:space="preserve">7-point </w:t>
      </w:r>
      <w:proofErr w:type="spellStart"/>
      <w:r w:rsidR="00BE5C31" w:rsidRPr="00BE5C31">
        <w:rPr>
          <w:u w:val="single"/>
        </w:rPr>
        <w:t>Lickert</w:t>
      </w:r>
      <w:proofErr w:type="spellEnd"/>
      <w:r w:rsidR="00BE5C31" w:rsidRPr="00BE5C31">
        <w:rPr>
          <w:u w:val="single"/>
        </w:rPr>
        <w:t xml:space="preserve"> </w:t>
      </w:r>
      <w:r w:rsidRPr="00BE5C31">
        <w:rPr>
          <w:u w:val="single"/>
        </w:rPr>
        <w:t>scale</w:t>
      </w:r>
      <w:r w:rsidRPr="00CE0EBA">
        <w:t xml:space="preserve"> after the experiment. Significant differences between them were found for concreteness/abstractness as was expected</w:t>
      </w:r>
      <w:r>
        <w:t>, confirming the validity of this set</w:t>
      </w:r>
      <w:r w:rsidRPr="00CE0EBA">
        <w:t>.</w:t>
      </w:r>
    </w:p>
    <w:p w14:paraId="13E3BA1C" w14:textId="65A19B17" w:rsidR="00B10093" w:rsidRPr="00CE0EBA" w:rsidRDefault="00B10093" w:rsidP="00B10093">
      <w:pPr>
        <w:pStyle w:val="a3"/>
        <w:spacing w:before="102" w:line="249" w:lineRule="auto"/>
        <w:ind w:left="126" w:right="138" w:firstLine="7"/>
        <w:jc w:val="both"/>
      </w:pPr>
      <w:r w:rsidRPr="006B3BF3">
        <w:lastRenderedPageBreak/>
        <w:t xml:space="preserve">Each novel concept was described in </w:t>
      </w:r>
      <w:r w:rsidRPr="00CE0EBA">
        <w:t>a</w:t>
      </w:r>
      <w:r w:rsidRPr="006B3BF3">
        <w:t xml:space="preserve"> set of 5 sentences presented visually</w:t>
      </w:r>
      <w:r w:rsidRPr="00CE0EBA">
        <w:t xml:space="preserve"> (see examples of contextual sentences </w:t>
      </w:r>
      <w:r w:rsidR="00620241">
        <w:t xml:space="preserve">in </w:t>
      </w:r>
      <w:r>
        <w:t xml:space="preserve">Figure 1 and </w:t>
      </w:r>
      <w:r w:rsidRPr="00CE0EBA">
        <w:t xml:space="preserve">in </w:t>
      </w:r>
      <w:r>
        <w:t>S</w:t>
      </w:r>
      <w:r w:rsidRPr="00CE0EBA">
        <w:t xml:space="preserve">upplementary materials, </w:t>
      </w:r>
      <w:r>
        <w:t>T</w:t>
      </w:r>
      <w:r w:rsidRPr="00CE0EBA">
        <w:t>able 1).</w:t>
      </w:r>
      <w:r w:rsidRPr="006B3BF3">
        <w:t xml:space="preserve"> Thus, 100 contextual sentences were developed in total. Each sentence consisted of 8 words. Experimental pseudowords always took place at the end of sentences and were presented in the nominative or accusative case (which share the same surface form in Russian, not requiring inf</w:t>
      </w:r>
      <w:r w:rsidRPr="00CE0EBA">
        <w:t>lectional endings)</w:t>
      </w:r>
      <w:r w:rsidRPr="006B3BF3">
        <w:t>, such that their surface form was not inflected differently in different sentences.</w:t>
      </w:r>
    </w:p>
    <w:p w14:paraId="226773C1" w14:textId="77777777" w:rsidR="00B10093" w:rsidRPr="00FB40C6" w:rsidRDefault="00B10093" w:rsidP="00B10093">
      <w:pPr>
        <w:spacing w:before="228"/>
        <w:ind w:left="133"/>
        <w:rPr>
          <w:rFonts w:ascii="Arial"/>
          <w:b/>
          <w:sz w:val="20"/>
        </w:rPr>
      </w:pPr>
      <w:r w:rsidRPr="00FB40C6">
        <w:rPr>
          <w:rFonts w:ascii="Arial"/>
          <w:b/>
          <w:sz w:val="20"/>
        </w:rPr>
        <w:t xml:space="preserve">Procedure </w:t>
      </w:r>
    </w:p>
    <w:p w14:paraId="75D073B3" w14:textId="77777777" w:rsidR="00B10093" w:rsidRDefault="00B10093" w:rsidP="00B10093">
      <w:pPr>
        <w:pStyle w:val="a3"/>
        <w:spacing w:before="102" w:line="249" w:lineRule="auto"/>
        <w:ind w:left="126" w:right="138" w:firstLine="7"/>
        <w:jc w:val="both"/>
      </w:pPr>
      <w:r w:rsidRPr="00CE0EBA">
        <w:t>Experimental procedure consisted of five steps, illustrated in Figure 1 and described below.</w:t>
      </w:r>
    </w:p>
    <w:p w14:paraId="793AC087" w14:textId="1439FCC1" w:rsidR="008074E1" w:rsidRDefault="008074E1" w:rsidP="008074E1">
      <w:pPr>
        <w:pStyle w:val="a3"/>
        <w:spacing w:before="102"/>
        <w:ind w:left="2750" w:right="2769" w:hanging="2750"/>
        <w:rPr>
          <w:rFonts w:ascii="Arial"/>
          <w:b/>
        </w:rPr>
      </w:pPr>
      <w:r>
        <w:rPr>
          <w:rFonts w:ascii="Arial"/>
          <w:b/>
          <w:noProof/>
          <w:lang w:bidi="ar-SA"/>
        </w:rPr>
        <w:drawing>
          <wp:inline distT="0" distB="0" distL="0" distR="0" wp14:anchorId="2C138BFC" wp14:editId="6CBEC175">
            <wp:extent cx="6515100" cy="4551947"/>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4551947"/>
                    </a:xfrm>
                    <a:prstGeom prst="rect">
                      <a:avLst/>
                    </a:prstGeom>
                    <a:noFill/>
                    <a:ln>
                      <a:noFill/>
                    </a:ln>
                  </pic:spPr>
                </pic:pic>
              </a:graphicData>
            </a:graphic>
          </wp:inline>
        </w:drawing>
      </w:r>
    </w:p>
    <w:p w14:paraId="7DF76B5E" w14:textId="4212A09B" w:rsidR="00676B83" w:rsidRDefault="00676B83" w:rsidP="00676B83">
      <w:pPr>
        <w:pStyle w:val="a3"/>
        <w:spacing w:before="102"/>
        <w:ind w:left="2750" w:right="2769"/>
        <w:jc w:val="center"/>
      </w:pPr>
      <w:r w:rsidRPr="004F692B">
        <w:rPr>
          <w:rFonts w:ascii="Arial"/>
          <w:u w:val="single"/>
        </w:rPr>
        <w:t>Figure 1.</w:t>
      </w:r>
      <w:r>
        <w:rPr>
          <w:rFonts w:ascii="Arial"/>
          <w:b/>
        </w:rPr>
        <w:t xml:space="preserve"> </w:t>
      </w:r>
      <w:r>
        <w:t>Diagram of main e</w:t>
      </w:r>
      <w:r w:rsidRPr="00CE0EBA">
        <w:t>xperimental procedure</w:t>
      </w:r>
      <w:r>
        <w:t>s</w:t>
      </w:r>
      <w:r w:rsidRPr="00CE0EBA">
        <w:t xml:space="preserve">. </w:t>
      </w:r>
      <w:r>
        <w:t>(Note that stimulus</w:t>
      </w:r>
      <w:r w:rsidRPr="00CE0EBA">
        <w:t xml:space="preserve"> translation from </w:t>
      </w:r>
      <w:r w:rsidR="009E4DE5" w:rsidRPr="009E4DE5">
        <w:rPr>
          <w:u w:val="single"/>
        </w:rPr>
        <w:t>Russian</w:t>
      </w:r>
      <w:r w:rsidR="009E4DE5">
        <w:t xml:space="preserve"> </w:t>
      </w:r>
      <w:r>
        <w:t>in</w:t>
      </w:r>
      <w:r w:rsidRPr="00CE0EBA">
        <w:t>to English is approximate</w:t>
      </w:r>
      <w:r>
        <w:t>, see Methods for details)</w:t>
      </w:r>
      <w:r w:rsidRPr="00CE0EBA">
        <w:t>.</w:t>
      </w:r>
    </w:p>
    <w:p w14:paraId="50F9BA54" w14:textId="422C2CBA" w:rsidR="00FE60CA" w:rsidRPr="00F86F06" w:rsidRDefault="00B10093" w:rsidP="00F86F06">
      <w:pPr>
        <w:pStyle w:val="a3"/>
        <w:spacing w:before="102" w:line="249" w:lineRule="auto"/>
        <w:ind w:left="126" w:right="138" w:firstLine="7"/>
        <w:jc w:val="both"/>
        <w:rPr>
          <w:highlight w:val="red"/>
        </w:rPr>
      </w:pPr>
      <w:r w:rsidRPr="006B3BF3">
        <w:t xml:space="preserve">The experiment was conducted in an electrically shielded and soundproof chamber. A battery-driven stimulator, the </w:t>
      </w:r>
      <w:proofErr w:type="spellStart"/>
      <w:r w:rsidRPr="006B3BF3">
        <w:t>BrainStim</w:t>
      </w:r>
      <w:proofErr w:type="spellEnd"/>
      <w:r w:rsidRPr="006B3BF3">
        <w:t xml:space="preserve"> SYS (E.M.S, Bologna, Italy) was used. Direct current of low </w:t>
      </w:r>
      <w:r w:rsidRPr="00CE0EBA">
        <w:t>intensity</w:t>
      </w:r>
      <w:r w:rsidRPr="006B3BF3">
        <w:t xml:space="preserve"> (1.5 mA) was delivered to </w:t>
      </w:r>
      <w:r>
        <w:t xml:space="preserve">the </w:t>
      </w:r>
      <w:r w:rsidRPr="006B3BF3">
        <w:t>subjects' skin through a pair</w:t>
      </w:r>
      <w:r w:rsidRPr="00CE0EBA">
        <w:t xml:space="preserve"> of</w:t>
      </w:r>
      <w:r w:rsidRPr="006B3BF3">
        <w:t xml:space="preserve"> </w:t>
      </w:r>
      <w:r w:rsidR="0037213F" w:rsidRPr="004F692B">
        <w:rPr>
          <w:u w:val="single"/>
        </w:rPr>
        <w:t>rubber</w:t>
      </w:r>
      <w:r w:rsidR="0037213F">
        <w:t xml:space="preserve"> </w:t>
      </w:r>
      <w:r w:rsidRPr="006B3BF3">
        <w:t>electrode</w:t>
      </w:r>
      <w:r w:rsidRPr="00CE0EBA">
        <w:t>s</w:t>
      </w:r>
      <w:r w:rsidR="000574B8">
        <w:t xml:space="preserve"> </w:t>
      </w:r>
      <w:r w:rsidR="000574B8" w:rsidRPr="004F692B">
        <w:rPr>
          <w:u w:val="single"/>
        </w:rPr>
        <w:t xml:space="preserve">covered with electrically conductive </w:t>
      </w:r>
      <w:proofErr w:type="spellStart"/>
      <w:r w:rsidR="00620241" w:rsidRPr="004F692B">
        <w:rPr>
          <w:u w:val="single"/>
        </w:rPr>
        <w:t>Geltek</w:t>
      </w:r>
      <w:proofErr w:type="spellEnd"/>
      <w:r w:rsidR="00620241" w:rsidRPr="004F692B">
        <w:rPr>
          <w:u w:val="single"/>
        </w:rPr>
        <w:t xml:space="preserve">-Medica </w:t>
      </w:r>
      <w:r w:rsidR="000574B8" w:rsidRPr="004F692B">
        <w:rPr>
          <w:u w:val="single"/>
        </w:rPr>
        <w:t>gel</w:t>
      </w:r>
      <w:r w:rsidRPr="00CE0EBA">
        <w:t>.</w:t>
      </w:r>
      <w:r w:rsidRPr="006B3BF3">
        <w:t xml:space="preserve"> The active electrode</w:t>
      </w:r>
      <w:r w:rsidRPr="00CE0EBA">
        <w:t xml:space="preserve"> (5 × 5 cm)</w:t>
      </w:r>
      <w:r w:rsidRPr="006B3BF3">
        <w:t xml:space="preserve"> was placed on the scalp over Wernicke's area (CP5 electrode location according to the extended international EEG 10-20 system)</w:t>
      </w:r>
      <w:r w:rsidRPr="00CE0EBA">
        <w:t>; t</w:t>
      </w:r>
      <w:r w:rsidRPr="006B3BF3">
        <w:t xml:space="preserve">he </w:t>
      </w:r>
      <w:r w:rsidRPr="00CE0EBA">
        <w:t>reference</w:t>
      </w:r>
      <w:r w:rsidRPr="006B3BF3">
        <w:t xml:space="preserve"> electrode (5 x 1</w:t>
      </w:r>
      <w:r w:rsidRPr="00CE0EBA">
        <w:t>0</w:t>
      </w:r>
      <w:r w:rsidRPr="006B3BF3">
        <w:t xml:space="preserve"> cm) was located at the base o</w:t>
      </w:r>
      <w:r w:rsidRPr="00CE0EBA">
        <w:t>n</w:t>
      </w:r>
      <w:r w:rsidRPr="006B3BF3">
        <w:t xml:space="preserve"> the left side of the neck</w:t>
      </w:r>
      <w:r>
        <w:fldChar w:fldCharType="begin" w:fldLock="1"/>
      </w:r>
      <w:r w:rsidR="00F86F06">
        <w:instrText>ADDIN CSL_CITATION {"citationItems":[{"id":"ITEM-1","itemData":{"DOI":"10.3791/59159","ISSN":"1940087X","abstract":"Language is a highly important yet poorly understood function of the human brain. While studies of brain activation patterns during language comprehension are abundant, what is often critically missing is causal evidence of brain areas' involvement in a particular linguistic function, not least due to the unique human nature of this ability and a shortage of neurophysiological tools to study causal relationships in the human brain noninvasively. Recent years have seen a rapid rise in the use of transcranial direct current stimulation (tDCS) of the human brain, an easy, inexpensive and safe noninvasive technique that can modulate the state of the stimulated brain area (putatively by shifting excitation/ inhibition thresholds), enabling a study of its particular contribution to specific functions. While mostly focusing on motor control, the use of tDCS is becoming more widespread in both basic and clinical research on higher cognitive functions, language included, but the procedures for its application remain variable. Here, we describe the use of tDCS in a psycholinguistic word-learning experiment. We present the techniques and procedures for application of cathodal and anodal stimulation of core language areas of Broca and Wernicke in the left hemisphere of the human brain, describe the procedures of creating balanced sets of psycholinguistic stimuli, a controlled yet naturalistic learning regime, and a comprehensive set of techniques to assess the learning outcomes and tDCS effects. As an example of tDCS application, we show that cathodal stimulation of Wernicke's area prior to a learning session can impact word learning efficiency. This impact is both present immediately after learning and, importantly, preserved over longer time after the physical effects of stimulation wear off, suggesting that tDCS can have long-term influence on linguistic storage and representations in the human brain.","author":[{"dropping-particle":"","family":"Blagovechtchenski","given":"Evgeny","non-dropping-particle":"","parse-names":false,"suffix":""},{"dropping-particle":"","family":"Gnedykh","given":"Daria","non-dropping-particle":"","parse-names":false,"suffix":""},{"dropping-particle":"","family":"Kurmakaeva","given":"Diana","non-dropping-particle":"","parse-names":false,"suffix":""},{"dropping-particle":"","family":"Mkrtychian","given":"Nadezhda","non-dropping-particle":"","parse-names":false,"suffix":""},{"dropping-particle":"","family":"Kostromina","given":"Svetlana","non-dropping-particle":"","parse-names":false,"suffix":""},{"dropping-particle":"","family":"Shtyrov","given":"Yury","non-dropping-particle":"","parse-names":false,"suffix":""}],"container-title":"Journal of Visualized Experiments","id":"ITEM-1","issued":{"date-parts":[["2019"]]},"title":"Transcranial direct current stimulation (Tdcs) of wernicke's and broca's areas in studies of language learning and word acquisition","type":"article-journal"},"uris":["http://www.mendeley.com/documents/?uuid=510a9c99-a9cd-43ad-ac2d-d43111fdaf4e"]}],"mendeley":{"formattedCitation":"&lt;sup&gt;33&lt;/sup&gt;","plainTextFormattedCitation":"33","previouslyFormattedCitation":"&lt;sup&gt;33&lt;/sup&gt;"},"properties":{"noteIndex":0},"schema":"https://github.com/citation-style-language/schema/raw/master/csl-citation.json"}</w:instrText>
      </w:r>
      <w:r>
        <w:fldChar w:fldCharType="separate"/>
      </w:r>
      <w:r w:rsidR="00356A19" w:rsidRPr="00356A19">
        <w:rPr>
          <w:noProof/>
          <w:vertAlign w:val="superscript"/>
        </w:rPr>
        <w:t>33</w:t>
      </w:r>
      <w:r>
        <w:fldChar w:fldCharType="end"/>
      </w:r>
      <w:r w:rsidRPr="006B3BF3">
        <w:t>.</w:t>
      </w:r>
      <w:r w:rsidR="00652C91">
        <w:t xml:space="preserve"> </w:t>
      </w:r>
      <w:r w:rsidR="00F86F06" w:rsidRPr="00657747">
        <w:rPr>
          <w:u w:val="single"/>
        </w:rPr>
        <w:t xml:space="preserve">The </w:t>
      </w:r>
      <w:r w:rsidR="00E901F7" w:rsidRPr="00657747">
        <w:rPr>
          <w:u w:val="single"/>
        </w:rPr>
        <w:t xml:space="preserve">chosen </w:t>
      </w:r>
      <w:r w:rsidR="00F86F06" w:rsidRPr="00657747">
        <w:rPr>
          <w:u w:val="single"/>
        </w:rPr>
        <w:t>electrode sizes</w:t>
      </w:r>
      <w:r w:rsidR="00C85C1A">
        <w:rPr>
          <w:u w:val="single"/>
        </w:rPr>
        <w:t>, current density</w:t>
      </w:r>
      <w:r w:rsidR="009E4DE5">
        <w:rPr>
          <w:u w:val="single"/>
        </w:rPr>
        <w:t>,</w:t>
      </w:r>
      <w:r w:rsidR="00F86F06" w:rsidRPr="00657747">
        <w:rPr>
          <w:u w:val="single"/>
        </w:rPr>
        <w:t xml:space="preserve"> and duration of the stimulation were standar</w:t>
      </w:r>
      <w:r w:rsidR="009E4DE5">
        <w:rPr>
          <w:u w:val="single"/>
        </w:rPr>
        <w:t>d</w:t>
      </w:r>
      <w:r w:rsidR="00F86F06" w:rsidRPr="00657747">
        <w:rPr>
          <w:u w:val="single"/>
        </w:rPr>
        <w:t xml:space="preserve"> and optimal </w:t>
      </w:r>
      <w:r w:rsidR="00BE5C31">
        <w:rPr>
          <w:rFonts w:cstheme="minorHAnsi"/>
          <w:u w:val="single"/>
          <w:lang w:val="en-GB"/>
        </w:rPr>
        <w:t>for</w:t>
      </w:r>
      <w:r w:rsidR="00F86F06" w:rsidRPr="00657747">
        <w:rPr>
          <w:rFonts w:cstheme="minorHAnsi"/>
          <w:u w:val="single"/>
          <w:lang w:val="en-GB"/>
        </w:rPr>
        <w:t xml:space="preserve"> </w:t>
      </w:r>
      <w:r w:rsidR="00BE5C31">
        <w:rPr>
          <w:rFonts w:cstheme="minorHAnsi"/>
          <w:u w:val="single"/>
          <w:lang w:val="en-GB"/>
        </w:rPr>
        <w:t>producing</w:t>
      </w:r>
      <w:r w:rsidR="00F86F06" w:rsidRPr="00657747">
        <w:rPr>
          <w:rFonts w:cstheme="minorHAnsi"/>
          <w:u w:val="single"/>
          <w:lang w:val="en-GB"/>
        </w:rPr>
        <w:t xml:space="preserve"> sufficiently </w:t>
      </w:r>
      <w:r w:rsidR="00BE5C31">
        <w:rPr>
          <w:rFonts w:cstheme="minorHAnsi"/>
          <w:u w:val="single"/>
          <w:lang w:val="en-GB"/>
        </w:rPr>
        <w:t>l</w:t>
      </w:r>
      <w:r w:rsidR="00F86F06" w:rsidRPr="00657747">
        <w:rPr>
          <w:rFonts w:cstheme="minorHAnsi"/>
          <w:u w:val="single"/>
          <w:lang w:val="en-GB"/>
        </w:rPr>
        <w:t xml:space="preserve">ocal </w:t>
      </w:r>
      <w:r w:rsidR="00F86F06" w:rsidRPr="003E27E8">
        <w:rPr>
          <w:rFonts w:cstheme="minorHAnsi"/>
          <w:u w:val="single"/>
          <w:lang w:val="en-GB"/>
        </w:rPr>
        <w:t>stimulation</w:t>
      </w:r>
      <w:r w:rsidR="009A46B7" w:rsidRPr="003E27E8">
        <w:rPr>
          <w:u w:val="single"/>
        </w:rPr>
        <w:fldChar w:fldCharType="begin" w:fldLock="1"/>
      </w:r>
      <w:r w:rsidR="00D77509">
        <w:rPr>
          <w:u w:val="single"/>
        </w:rPr>
        <w:instrText>ADDIN CSL_CITATION {"citationItems":[{"id":"ITEM-1","itemData":{"DOI":"10.3389/fnins.2017.00641","ISSN":"1662453X","abstract":"Transcranial direct current stimulation (tDCS) is a popular brain stimulation method that is used to modulate cortical excitability, producing facilitatory or inhibitory effects upon a variety of behaviors. There is, however, a current lack of consensus between studies, with many results suggesting that polarity-specific effects are difficult to obtain. This article explores some of these differences and highlights the experimental parameters that may underlie their occurrence. We provide a general, practical snapshot of tDCS methodology, including what it is used for, how to use it, and considerations for designing an effective and safe experiment. Our aim is to equip researchers who are new to tDCS with the essential knowledge so that they can make informed and well-rounded decisions when designing and running successful experiments. By summarizing the varied approaches, stimulation parameters, and outcomes, this article should help inform future tDCS research in a variety of fields.","author":[{"dropping-particle":"","family":"Thair","given":"Hayley","non-dropping-particle":"","parse-names":false,"suffix":""},{"dropping-particle":"","family":"Holloway","given":"Amy L.","non-dropping-particle":"","parse-names":false,"suffix":""},{"dropping-particle":"","family":"Newport","given":"Roger","non-dropping-particle":"","parse-names":false,"suffix":""},{"dropping-particle":"","family":"Smith","given":"Alastair D.","non-dropping-particle":"","parse-names":false,"suffix":""}],"container-title":"Frontiers in Neuroscience","id":"ITEM-1","issue":"NOV","issued":{"date-parts":[["2017","11","22"]]},"page":"641","publisher":"Frontiers Media S.A.","title":"Transcranial direct current stimulation (tDCS): A Beginner's guide for design and implementation","type":"article-journal","volume":"11"},"uris":["http://www.mendeley.com/documents/?uuid=0740afb5-3e37-3fba-b2ba-2e15ed63826e"]},{"id":"ITEM-2","itemData":{"DOI":"10.1152/jn.01312.2006","ISSN":"00223077","PMID":"17251360","abstract":"Transcranial DC stimulation (tDCS) induces stimulation polarity-dependent neuroplastic excitability shifts in the human brain. Because it accomplishes long-lasting effects and its application is simple, it is used increasingly. However, one drawback is its low focality, caused by 1) the large stimulation electrode and 2) the functionally effective reference electrode, which is also situated on the scalp. We aimed to increase the focality of tDCS, which might improve the interpretation of the functional effects of stimulation because it will restrict its effects to more clearly defined cortical areas. Moreover, it will avoid unwanted reversed effects of tDCS under the reference electrode, which is of special importance in clinical settings, when a homogeneous shift of cortical excitability is needed. Because current density (current strength/electrode size) determines the efficacy of tDCS, increased focality should be accomplished by 1) reducing stimulation electrode size, but keeping current density constant; or 2) increasing reference electrode size under constant current strength. We tested these hypotheses for motor cortex tDCS. The results show that reducing the size of the motor cortex DC-stimulation electrode focalized the respective tDCS-induced excitability changes. Increasing the size of the frontopolar reference electrode rendered stimulation over this cortex functionally inefficient, but did not compromise the tDCS-generated motor cortical excitability shifts. Thus tDCS-generated modulations of cortical excitability can be focused by reducing the size of the stimulation electrode and by increasing the size of the reference electrode. For future applications of tDCS, such paradigms may help to achieve more selective tDCS effects. Copyright © 2007 The American Physiological Society.","author":[{"dropping-particle":"","family":"Nitsche","given":"M. A.","non-dropping-particle":"","parse-names":false,"suffix":""},{"dropping-particle":"","family":"Doemkes","given":"S.","non-dropping-particle":"","parse-names":false,"suffix":""},{"dropping-particle":"","family":"Karaköse","given":"T.","non-dropping-particle":"","parse-names":false,"suffix":""},{"dropping-particle":"","family":"Antal","given":"A.","non-dropping-particle":"","parse-names":false,"suffix":""},{"dropping-particle":"","family":"Liebetanz","given":"D.","non-dropping-particle":"","parse-names":false,"suffix":""},{"dropping-particle":"","family":"Lang","given":"N.","non-dropping-particle":"","parse-names":false,"suffix":""},{"dropping-particle":"","family":"Tergau","given":"F.","non-dropping-particle":"","parse-names":false,"suffix":""},{"dropping-particle":"","family":"Paulus","given":"W.","non-dropping-particle":"","parse-names":false,"suffix":""}],"container-title":"Journal of Neurophysiology","id":"ITEM-2","issue":"4","issued":{"date-parts":[["2007","4"]]},"page":"3109-3117","publisher":"J Neurophysiol","title":"Shaping the effects of transcranial direct current stimulation of the human motor cortex","type":"article-journal","volume":"97"},"uris":["http://www.mendeley.com/documents/?uuid=19d648a4-3ffb-4a40-aaba-d9b4a69b387b"]}],"mendeley":{"formattedCitation":"&lt;sup&gt;53,54&lt;/sup&gt;","plainTextFormattedCitation":"53,54","previouslyFormattedCitation":"&lt;sup&gt;53,54&lt;/sup&gt;"},"properties":{"noteIndex":0},"schema":"https://github.com/citation-style-language/schema/raw/master/csl-citation.json"}</w:instrText>
      </w:r>
      <w:r w:rsidR="009A46B7" w:rsidRPr="003E27E8">
        <w:rPr>
          <w:u w:val="single"/>
        </w:rPr>
        <w:fldChar w:fldCharType="separate"/>
      </w:r>
      <w:r w:rsidR="009A46B7" w:rsidRPr="003E27E8">
        <w:rPr>
          <w:noProof/>
          <w:u w:val="single"/>
          <w:vertAlign w:val="superscript"/>
        </w:rPr>
        <w:t>53,54</w:t>
      </w:r>
      <w:r w:rsidR="009A46B7" w:rsidRPr="003E27E8">
        <w:rPr>
          <w:u w:val="single"/>
        </w:rPr>
        <w:fldChar w:fldCharType="end"/>
      </w:r>
      <w:r w:rsidR="00F86F06" w:rsidRPr="003E27E8">
        <w:rPr>
          <w:rFonts w:cstheme="minorHAnsi"/>
          <w:u w:val="single"/>
          <w:lang w:val="en-GB"/>
        </w:rPr>
        <w:t>.</w:t>
      </w:r>
      <w:r w:rsidR="00E901F7" w:rsidRPr="00657747">
        <w:rPr>
          <w:u w:val="single"/>
        </w:rPr>
        <w:t xml:space="preserve"> </w:t>
      </w:r>
      <w:r w:rsidR="00620241" w:rsidRPr="004F692B">
        <w:rPr>
          <w:u w:val="single"/>
        </w:rPr>
        <w:t xml:space="preserve">Since </w:t>
      </w:r>
      <w:proofErr w:type="spellStart"/>
      <w:r w:rsidR="00620241" w:rsidRPr="004F692B">
        <w:rPr>
          <w:u w:val="single"/>
        </w:rPr>
        <w:t>tDCS</w:t>
      </w:r>
      <w:proofErr w:type="spellEnd"/>
      <w:r w:rsidR="00620241" w:rsidRPr="004F692B">
        <w:rPr>
          <w:u w:val="single"/>
        </w:rPr>
        <w:t xml:space="preserve"> is not very focal with respect to </w:t>
      </w:r>
      <w:r w:rsidR="00723A0C" w:rsidRPr="004F692B">
        <w:rPr>
          <w:u w:val="single"/>
        </w:rPr>
        <w:t xml:space="preserve">its </w:t>
      </w:r>
      <w:r w:rsidR="00620241" w:rsidRPr="004F692B">
        <w:rPr>
          <w:u w:val="single"/>
        </w:rPr>
        <w:t xml:space="preserve">neuroanatomical precision, </w:t>
      </w:r>
      <w:r w:rsidR="00652C91" w:rsidRPr="004F692B">
        <w:rPr>
          <w:u w:val="single"/>
        </w:rPr>
        <w:t>not only the classical regions related to the Wernicke</w:t>
      </w:r>
      <w:r w:rsidR="00620241" w:rsidRPr="004F692B">
        <w:rPr>
          <w:u w:val="single"/>
        </w:rPr>
        <w:t xml:space="preserve">’s area </w:t>
      </w:r>
      <w:r w:rsidR="00723A0C" w:rsidRPr="004F692B">
        <w:rPr>
          <w:u w:val="single"/>
        </w:rPr>
        <w:t xml:space="preserve">may be </w:t>
      </w:r>
      <w:r w:rsidR="00652C91" w:rsidRPr="004F692B">
        <w:rPr>
          <w:u w:val="single"/>
        </w:rPr>
        <w:t>stimulated</w:t>
      </w:r>
      <w:r w:rsidR="00620241" w:rsidRPr="004F692B">
        <w:rPr>
          <w:u w:val="single"/>
        </w:rPr>
        <w:t xml:space="preserve"> with this particular montage</w:t>
      </w:r>
      <w:r w:rsidR="00652C91" w:rsidRPr="004F692B">
        <w:rPr>
          <w:u w:val="single"/>
        </w:rPr>
        <w:t xml:space="preserve">, but also some nearby regions. However, </w:t>
      </w:r>
      <w:r w:rsidR="00723A0C" w:rsidRPr="004F692B">
        <w:rPr>
          <w:u w:val="single"/>
        </w:rPr>
        <w:t xml:space="preserve">according to the model of the current flow, </w:t>
      </w:r>
      <w:r w:rsidR="00652C91" w:rsidRPr="004F692B">
        <w:rPr>
          <w:u w:val="single"/>
        </w:rPr>
        <w:t xml:space="preserve">the main effects of </w:t>
      </w:r>
      <w:r w:rsidR="000A6CC5" w:rsidRPr="004F692B">
        <w:rPr>
          <w:u w:val="single"/>
        </w:rPr>
        <w:t xml:space="preserve">the </w:t>
      </w:r>
      <w:r w:rsidR="00BE5C31">
        <w:rPr>
          <w:u w:val="single"/>
        </w:rPr>
        <w:t xml:space="preserve">present </w:t>
      </w:r>
      <w:r w:rsidR="00652C91" w:rsidRPr="004F692B">
        <w:rPr>
          <w:u w:val="single"/>
        </w:rPr>
        <w:t>stimulation</w:t>
      </w:r>
      <w:r w:rsidR="000A6CC5" w:rsidRPr="004F692B">
        <w:rPr>
          <w:u w:val="single"/>
        </w:rPr>
        <w:t xml:space="preserve"> here</w:t>
      </w:r>
      <w:r w:rsidR="00652C91" w:rsidRPr="004F692B">
        <w:rPr>
          <w:u w:val="single"/>
        </w:rPr>
        <w:t xml:space="preserve"> </w:t>
      </w:r>
      <w:r w:rsidR="00BE5C31">
        <w:rPr>
          <w:u w:val="single"/>
        </w:rPr>
        <w:t>should</w:t>
      </w:r>
      <w:r w:rsidR="00620241" w:rsidRPr="004F692B">
        <w:rPr>
          <w:u w:val="single"/>
        </w:rPr>
        <w:t xml:space="preserve"> still</w:t>
      </w:r>
      <w:r w:rsidR="00652C91" w:rsidRPr="004F692B">
        <w:rPr>
          <w:u w:val="single"/>
        </w:rPr>
        <w:t xml:space="preserve"> </w:t>
      </w:r>
      <w:r w:rsidR="00BE5C31">
        <w:rPr>
          <w:u w:val="single"/>
        </w:rPr>
        <w:t xml:space="preserve">be </w:t>
      </w:r>
      <w:r w:rsidR="00652C91" w:rsidRPr="004F692B">
        <w:rPr>
          <w:u w:val="single"/>
        </w:rPr>
        <w:t>asso</w:t>
      </w:r>
      <w:r w:rsidR="00AC7B07" w:rsidRPr="004F692B">
        <w:rPr>
          <w:u w:val="single"/>
        </w:rPr>
        <w:t xml:space="preserve">ciated with </w:t>
      </w:r>
      <w:r w:rsidR="00620241" w:rsidRPr="004F692B">
        <w:rPr>
          <w:u w:val="single"/>
        </w:rPr>
        <w:t>the temporo-parietal cortex within Wernicke’s are</w:t>
      </w:r>
      <w:r w:rsidR="00723A0C" w:rsidRPr="004F692B">
        <w:rPr>
          <w:u w:val="single"/>
        </w:rPr>
        <w:t>a</w:t>
      </w:r>
      <w:r w:rsidR="00652C91" w:rsidRPr="004F692B">
        <w:rPr>
          <w:u w:val="single"/>
        </w:rPr>
        <w:t xml:space="preserve">, </w:t>
      </w:r>
      <w:r w:rsidR="00620241" w:rsidRPr="004F692B">
        <w:rPr>
          <w:u w:val="single"/>
        </w:rPr>
        <w:t>where</w:t>
      </w:r>
      <w:r w:rsidR="00652C91" w:rsidRPr="004F692B">
        <w:rPr>
          <w:u w:val="single"/>
        </w:rPr>
        <w:t xml:space="preserve"> the current </w:t>
      </w:r>
      <w:r w:rsidR="00652C91" w:rsidRPr="004F692B">
        <w:rPr>
          <w:color w:val="000000" w:themeColor="text1"/>
          <w:u w:val="single"/>
        </w:rPr>
        <w:t>intensity</w:t>
      </w:r>
      <w:r w:rsidR="00620241" w:rsidRPr="004F692B">
        <w:rPr>
          <w:u w:val="single"/>
        </w:rPr>
        <w:t xml:space="preserve"> is highest</w:t>
      </w:r>
      <w:r w:rsidR="00652C91" w:rsidRPr="004F692B">
        <w:rPr>
          <w:color w:val="000000" w:themeColor="text1"/>
          <w:u w:val="single"/>
        </w:rPr>
        <w:t>.</w:t>
      </w:r>
      <w:r w:rsidR="00FE60CA" w:rsidRPr="004F692B">
        <w:rPr>
          <w:color w:val="000000" w:themeColor="text1"/>
          <w:u w:val="single"/>
        </w:rPr>
        <w:t xml:space="preserve"> In Figure 1 (left lower) we </w:t>
      </w:r>
      <w:r w:rsidR="00620241" w:rsidRPr="004F692B">
        <w:rPr>
          <w:color w:val="000000" w:themeColor="text1"/>
          <w:u w:val="single"/>
        </w:rPr>
        <w:t xml:space="preserve">show </w:t>
      </w:r>
      <w:r w:rsidR="00FE60CA" w:rsidRPr="004F692B">
        <w:rPr>
          <w:color w:val="000000" w:themeColor="text1"/>
          <w:u w:val="single"/>
        </w:rPr>
        <w:t xml:space="preserve">the simulation </w:t>
      </w:r>
      <w:r w:rsidR="00F00C05" w:rsidRPr="004F692B">
        <w:rPr>
          <w:color w:val="000000" w:themeColor="text1"/>
          <w:u w:val="single"/>
        </w:rPr>
        <w:t xml:space="preserve">model </w:t>
      </w:r>
      <w:r w:rsidR="00620241" w:rsidRPr="004F692B">
        <w:rPr>
          <w:color w:val="000000" w:themeColor="text1"/>
          <w:u w:val="single"/>
        </w:rPr>
        <w:t xml:space="preserve">of the current spread </w:t>
      </w:r>
      <w:r w:rsidR="00723A0C" w:rsidRPr="004F692B">
        <w:rPr>
          <w:color w:val="000000" w:themeColor="text1"/>
          <w:u w:val="single"/>
        </w:rPr>
        <w:t>for</w:t>
      </w:r>
      <w:r w:rsidR="00620241" w:rsidRPr="004F692B">
        <w:rPr>
          <w:color w:val="000000" w:themeColor="text1"/>
          <w:u w:val="single"/>
        </w:rPr>
        <w:t xml:space="preserve"> the current montage and stimulation settings, built using </w:t>
      </w:r>
      <w:proofErr w:type="spellStart"/>
      <w:r w:rsidR="00FE60CA" w:rsidRPr="004F692B">
        <w:rPr>
          <w:color w:val="000000" w:themeColor="text1"/>
          <w:u w:val="single"/>
        </w:rPr>
        <w:t>SimNIBS</w:t>
      </w:r>
      <w:proofErr w:type="spellEnd"/>
      <w:r w:rsidR="00FE60CA" w:rsidRPr="004F692B">
        <w:rPr>
          <w:color w:val="000000" w:themeColor="text1"/>
          <w:u w:val="single"/>
        </w:rPr>
        <w:t xml:space="preserve"> </w:t>
      </w:r>
      <w:r w:rsidR="00620241" w:rsidRPr="004F692B">
        <w:rPr>
          <w:color w:val="000000" w:themeColor="text1"/>
          <w:u w:val="single"/>
        </w:rPr>
        <w:t xml:space="preserve">v. </w:t>
      </w:r>
      <w:r w:rsidR="00FE60CA" w:rsidRPr="004F692B">
        <w:rPr>
          <w:color w:val="000000" w:themeColor="text1"/>
          <w:u w:val="single"/>
        </w:rPr>
        <w:t>3.1.2</w:t>
      </w:r>
      <w:r w:rsidR="00620241" w:rsidRPr="004F692B">
        <w:rPr>
          <w:color w:val="000000" w:themeColor="text1"/>
          <w:u w:val="single"/>
        </w:rPr>
        <w:t xml:space="preserve"> software </w:t>
      </w:r>
      <w:r w:rsidR="00FE60CA" w:rsidRPr="004F692B">
        <w:rPr>
          <w:color w:val="000000" w:themeColor="text1"/>
          <w:u w:val="single"/>
        </w:rPr>
        <w:t xml:space="preserve"> (https://simnibs.github.io/simnibs/build/html/index.html)</w:t>
      </w:r>
      <w:r w:rsidR="00452554" w:rsidRPr="004F692B">
        <w:rPr>
          <w:color w:val="000000" w:themeColor="text1"/>
          <w:u w:val="single"/>
        </w:rPr>
        <w:fldChar w:fldCharType="begin" w:fldLock="1"/>
      </w:r>
      <w:r w:rsidR="00D77509">
        <w:rPr>
          <w:color w:val="000000" w:themeColor="text1"/>
          <w:u w:val="single"/>
        </w:rPr>
        <w:instrText>ADDIN CSL_CITATION {"citationItems":[{"id":"ITEM-1","itemData":{"DOI":"10.1007/978-3-030-21293-3_1","ISBN":"9783030212926","PMID":"31725247","abstract":"Numerical simulation of the electric fields induced by non-invasive brain stimulation (NIBS), using realistic anatomical head models has gained interest in recent years for understanding the NIBS effects in individual subjects. Although automated tools for generating the head models and performing the electric field simulations have become available, individualized modelling is still not a standard practice in NIBS studies. This is likely partly explained by the lack of robustness and usability of the previously available software tools, and partly by the still developing understanding of the link between physiological effects and electric field distributions in the brain. To facilitate individualized modelling in NIBS, we have introduced the SimNIBS (Simulation of NIBS) software package, providing easy-to-use automated tools for electric field modelling. In this chapter, we give an overview of the modelling pipeline in SimNIBS 2.1, with step-by-step examples of how to run a simulation. Furthermore, we demonstrate a set of scripts for extracting average electric fields for a group of subjects, and finally demonstrate the accuracy of automated placement of standard electrode montages on the head model. SimNIBS 2.1 is freely available at www.simnibs.org.","author":[{"dropping-particle":"","family":"Saturnino","given":"Guilherme B.","non-dropping-particle":"","parse-names":false,"suffix":""},{"dropping-particle":"","family":"Puonti","given":"Oula","non-dropping-particle":"","parse-names":false,"suffix":""},{"dropping-particle":"","family":"Nielsen","given":"Jesper D.","non-dropping-particle":"","parse-names":false,"suffix":""},{"dropping-particle":"","family":"Antonenko","given":"Daria","non-dropping-particle":"","parse-names":false,"suffix":""},{"dropping-particle":"","family":"Madsen","given":"Kristoffer H.","non-dropping-particle":"","parse-names":false,"suffix":""},{"dropping-particle":"","family":"Thielscher","given":"Axel","non-dropping-particle":"","parse-names":false,"suffix":""}],"container-title":"Brain and Human Body Modeling","id":"ITEM-1","issued":{"date-parts":[["2019"]]},"title":"SimNIBS 2.1: A Comprehensive Pipeline for Individualized Electric Field Modelling for Transcranial Brain Stimulation","type":"chapter"},"uris":["http://www.mendeley.com/documents/?uuid=3f40aa58-5029-4b6b-b788-6d8bdd1730a8"]}],"mendeley":{"formattedCitation":"&lt;sup&gt;55&lt;/sup&gt;","plainTextFormattedCitation":"55","previouslyFormattedCitation":"&lt;sup&gt;55&lt;/sup&gt;"},"properties":{"noteIndex":0},"schema":"https://github.com/citation-style-language/schema/raw/master/csl-citation.json"}</w:instrText>
      </w:r>
      <w:r w:rsidR="00452554" w:rsidRPr="004F692B">
        <w:rPr>
          <w:color w:val="000000" w:themeColor="text1"/>
          <w:u w:val="single"/>
        </w:rPr>
        <w:fldChar w:fldCharType="separate"/>
      </w:r>
      <w:r w:rsidR="00B169CE" w:rsidRPr="00B169CE">
        <w:rPr>
          <w:noProof/>
          <w:color w:val="000000" w:themeColor="text1"/>
          <w:vertAlign w:val="superscript"/>
        </w:rPr>
        <w:t>55</w:t>
      </w:r>
      <w:r w:rsidR="00452554" w:rsidRPr="004F692B">
        <w:rPr>
          <w:color w:val="000000" w:themeColor="text1"/>
          <w:u w:val="single"/>
        </w:rPr>
        <w:fldChar w:fldCharType="end"/>
      </w:r>
      <w:r w:rsidR="00620241" w:rsidRPr="004F692B">
        <w:rPr>
          <w:color w:val="000000" w:themeColor="text1"/>
          <w:u w:val="single"/>
        </w:rPr>
        <w:t>; note that</w:t>
      </w:r>
      <w:r w:rsidR="00723A0C" w:rsidRPr="004F692B">
        <w:rPr>
          <w:color w:val="000000" w:themeColor="text1"/>
          <w:u w:val="single"/>
        </w:rPr>
        <w:t xml:space="preserve"> neuroanatomically</w:t>
      </w:r>
      <w:r w:rsidR="00620241" w:rsidRPr="004F692B">
        <w:rPr>
          <w:color w:val="000000" w:themeColor="text1"/>
          <w:u w:val="single"/>
        </w:rPr>
        <w:t xml:space="preserve"> the model is identical for both stimulation polarities</w:t>
      </w:r>
      <w:r w:rsidR="00723A0C" w:rsidRPr="004F692B">
        <w:rPr>
          <w:color w:val="000000" w:themeColor="text1"/>
          <w:u w:val="single"/>
        </w:rPr>
        <w:t>, only the current direction is different.</w:t>
      </w:r>
    </w:p>
    <w:p w14:paraId="11FDF760" w14:textId="061BA9DA" w:rsidR="00B10093" w:rsidRPr="004F692B" w:rsidRDefault="00B10093" w:rsidP="00B10093">
      <w:pPr>
        <w:pStyle w:val="a3"/>
        <w:spacing w:before="102" w:line="249" w:lineRule="auto"/>
        <w:ind w:left="126" w:right="138" w:firstLine="7"/>
        <w:jc w:val="both"/>
        <w:rPr>
          <w:u w:val="single"/>
        </w:rPr>
      </w:pPr>
      <w:r w:rsidRPr="006B3BF3">
        <w:lastRenderedPageBreak/>
        <w:t xml:space="preserve">The three groups of participants received sham (placebo), </w:t>
      </w:r>
      <w:r w:rsidR="00380A34">
        <w:t>cathodal, or anodal stimulatio</w:t>
      </w:r>
      <w:r w:rsidR="004B6898">
        <w:t xml:space="preserve">n </w:t>
      </w:r>
      <w:r w:rsidR="004B6898" w:rsidRPr="004F692B">
        <w:rPr>
          <w:u w:val="single"/>
        </w:rPr>
        <w:t xml:space="preserve">while seating with open eyes without any distracting conditions. </w:t>
      </w:r>
      <w:r w:rsidRPr="004F692B">
        <w:rPr>
          <w:u w:val="single"/>
        </w:rPr>
        <w:t>The stimulation procedure lasted for 15 minutes</w:t>
      </w:r>
      <w:r w:rsidR="009200FD" w:rsidRPr="004F692B">
        <w:rPr>
          <w:u w:val="single"/>
        </w:rPr>
        <w:t>,</w:t>
      </w:r>
      <w:r w:rsidR="0046368B" w:rsidRPr="004F692B">
        <w:rPr>
          <w:u w:val="single"/>
        </w:rPr>
        <w:t xml:space="preserve"> </w:t>
      </w:r>
      <w:r w:rsidRPr="004F692B">
        <w:rPr>
          <w:u w:val="single"/>
        </w:rPr>
        <w:t>including a 30</w:t>
      </w:r>
      <w:r w:rsidR="009200FD" w:rsidRPr="004F692B">
        <w:rPr>
          <w:u w:val="single"/>
        </w:rPr>
        <w:t>-</w:t>
      </w:r>
      <w:r w:rsidR="0046368B" w:rsidRPr="004F692B">
        <w:rPr>
          <w:u w:val="single"/>
        </w:rPr>
        <w:t>second</w:t>
      </w:r>
      <w:r w:rsidRPr="004F692B">
        <w:rPr>
          <w:u w:val="single"/>
        </w:rPr>
        <w:t xml:space="preserve"> ramp-up and </w:t>
      </w:r>
      <w:r w:rsidR="009200FD" w:rsidRPr="004F692B">
        <w:rPr>
          <w:u w:val="single"/>
        </w:rPr>
        <w:t xml:space="preserve">a </w:t>
      </w:r>
      <w:r w:rsidRPr="004F692B">
        <w:rPr>
          <w:u w:val="single"/>
        </w:rPr>
        <w:t>30</w:t>
      </w:r>
      <w:r w:rsidR="009200FD" w:rsidRPr="004F692B">
        <w:rPr>
          <w:u w:val="single"/>
        </w:rPr>
        <w:t>-</w:t>
      </w:r>
      <w:r w:rsidR="0046368B" w:rsidRPr="004F692B">
        <w:rPr>
          <w:u w:val="single"/>
        </w:rPr>
        <w:t>second</w:t>
      </w:r>
      <w:r w:rsidRPr="004F692B">
        <w:rPr>
          <w:u w:val="single"/>
        </w:rPr>
        <w:t xml:space="preserve"> ramp-down periods.</w:t>
      </w:r>
      <w:r w:rsidR="00C33407" w:rsidRPr="004F692B">
        <w:rPr>
          <w:u w:val="single"/>
        </w:rPr>
        <w:t xml:space="preserve"> The sham stimulation procedure corresponded to the one described above except that the current </w:t>
      </w:r>
      <w:r w:rsidR="0046368B" w:rsidRPr="004F692B">
        <w:rPr>
          <w:u w:val="single"/>
        </w:rPr>
        <w:t xml:space="preserve">was </w:t>
      </w:r>
      <w:r w:rsidR="00C33407" w:rsidRPr="004F692B">
        <w:rPr>
          <w:u w:val="single"/>
        </w:rPr>
        <w:t xml:space="preserve">applied </w:t>
      </w:r>
      <w:r w:rsidR="0046368B" w:rsidRPr="004F692B">
        <w:rPr>
          <w:u w:val="single"/>
        </w:rPr>
        <w:t xml:space="preserve">only </w:t>
      </w:r>
      <w:r w:rsidR="00C33407" w:rsidRPr="004F692B">
        <w:rPr>
          <w:u w:val="single"/>
        </w:rPr>
        <w:t>at the beginning and the end of the Sham session</w:t>
      </w:r>
      <w:r w:rsidR="0046368B" w:rsidRPr="004F692B">
        <w:rPr>
          <w:u w:val="single"/>
        </w:rPr>
        <w:t xml:space="preserve"> (30 seconds)</w:t>
      </w:r>
      <w:r w:rsidR="009200FD" w:rsidRPr="004F692B">
        <w:rPr>
          <w:u w:val="single"/>
        </w:rPr>
        <w:t>: d</w:t>
      </w:r>
      <w:r w:rsidR="00C33407" w:rsidRPr="004F692B">
        <w:rPr>
          <w:u w:val="single"/>
        </w:rPr>
        <w:t xml:space="preserve">uring the first and last 30 seconds of the </w:t>
      </w:r>
      <w:r w:rsidR="009200FD" w:rsidRPr="004F692B">
        <w:rPr>
          <w:u w:val="single"/>
        </w:rPr>
        <w:t xml:space="preserve">15-minute </w:t>
      </w:r>
      <w:proofErr w:type="spellStart"/>
      <w:r w:rsidR="009200FD" w:rsidRPr="004F692B">
        <w:rPr>
          <w:u w:val="single"/>
        </w:rPr>
        <w:t>tDCS</w:t>
      </w:r>
      <w:proofErr w:type="spellEnd"/>
      <w:r w:rsidR="009200FD" w:rsidRPr="004F692B">
        <w:rPr>
          <w:u w:val="single"/>
        </w:rPr>
        <w:t xml:space="preserve"> </w:t>
      </w:r>
      <w:r w:rsidR="00C33407" w:rsidRPr="004F692B">
        <w:rPr>
          <w:u w:val="single"/>
        </w:rPr>
        <w:t>session, an electric pulse of a triangul</w:t>
      </w:r>
      <w:r w:rsidR="00685122" w:rsidRPr="004F692B">
        <w:rPr>
          <w:u w:val="single"/>
        </w:rPr>
        <w:t>ar shape with a maximum of 1.5 m</w:t>
      </w:r>
      <w:r w:rsidR="00C33407" w:rsidRPr="004F692B">
        <w:rPr>
          <w:u w:val="single"/>
        </w:rPr>
        <w:t>A was applied.</w:t>
      </w:r>
      <w:r w:rsidR="00380A34" w:rsidRPr="004F692B">
        <w:rPr>
          <w:u w:val="single"/>
        </w:rPr>
        <w:t xml:space="preserve"> </w:t>
      </w:r>
      <w:r w:rsidR="00723A0C" w:rsidRPr="004F692B">
        <w:rPr>
          <w:rFonts w:cstheme="minorHAnsi"/>
          <w:u w:val="single"/>
          <w:lang w:val="en-GB"/>
        </w:rPr>
        <w:t xml:space="preserve">The main sensation of stimulation is associated with changes in current intensity </w:t>
      </w:r>
      <w:r w:rsidR="00723A0C" w:rsidRPr="004F692B">
        <w:rPr>
          <w:rFonts w:cstheme="minorHAnsi"/>
          <w:u w:val="single"/>
          <w:lang w:val="en-GB"/>
        </w:rPr>
        <w:fldChar w:fldCharType="begin" w:fldLock="1"/>
      </w:r>
      <w:r w:rsidR="00D77509">
        <w:rPr>
          <w:rFonts w:cstheme="minorHAnsi"/>
          <w:u w:val="single"/>
          <w:lang w:val="en-GB"/>
        </w:rPr>
        <w:instrText>ADDIN CSL_CITATION {"citationItems":[{"id":"ITEM-1","itemData":{"DOI":"10.1016/j.brs.2011.02.007","ISSN":"1935861X","abstract":"Background: A limited number of studies have shown that modulation of cortical excitability using transcranial direct current stimulation (tDCS) is safe and tolerable. Few have directly evaluated whether sham and active stimulation are indistinguishable. Objective: We aimed to demonstrate tDCS safety and tolerability in a large cohort, and to compare the occurrence and severity of side effects between sham and active stimulation sessions. Methods: One hundred thirty-one healthy subjects undergoing 277 tDCS sessions rated on a 1 to 5 scale the perception of side effects during and after stimulation. Proportions of active and sham sessions associated with side effects were compared using Fisher exact test, and distributions of severity ratings were compared using the Kruskal-Wallis test. Results: No serious adverse effects occurred. Side effects most commonly reported were tingling (76%), itching (68%), burning (54%), and pain (25%). Side effect severity was mild, with fewer than 2% of responses indicating a severity &gt; 3 on all questions except tingling (15%), itching (20%), burning (7%), pain (5%), and fatigue (3%) during stimulation. Rates of sensory side effects were statistically significantly higher in active stimulation sessions compared with sham sessions. No other stimulation parameters had a statistically significant impact on side effect occurrence. Conclusions: TDCS is a safe well-tolerated technique with no evidence of risk for serious adverse effects. Sensory side effects are common, but the severity is typically low. Because sensory side effects are more frequent and more severe in active compared with sham tDCS, the current method of sham stimulation may not be an adequate control condition for some studies. © 2012 Elsevier Inc. All rights reserved.","author":[{"dropping-particle":"","family":"Kessler","given":"Sudha Kilaru","non-dropping-particle":"","parse-names":false,"suffix":""},{"dropping-particle":"","family":"Turkeltaub","given":"Peter E.","non-dropping-particle":"","parse-names":false,"suffix":""},{"dropping-particle":"","family":"Benson","given":"Jennifer G.","non-dropping-particle":"","parse-names":false,"suffix":""},{"dropping-particle":"","family":"Hamilton","given":"Roy H.","non-dropping-particle":"","parse-names":false,"suffix":""}],"container-title":"Brain Stimulation","id":"ITEM-1","issue":"2","issued":{"date-parts":[["2012","4"]]},"page":"155-162","publisher":"NIH Public Access","title":"Differences in the experience of active and sham transcranial direct current stimulation","type":"article-journal","volume":"5"},"uris":["http://www.mendeley.com/documents/?uuid=8ab8383f-62e9-3957-9e5f-e69e573f5967","http://www.mendeley.com/documents/?uuid=835d98b8-9016-41b2-9d9f-69b538195bb2"]}],"mendeley":{"formattedCitation":"&lt;sup&gt;56&lt;/sup&gt;","plainTextFormattedCitation":"56","previouslyFormattedCitation":"&lt;sup&gt;56&lt;/sup&gt;"},"properties":{"noteIndex":0},"schema":"https://github.com/citation-style-language/schema/raw/master/csl-citation.json"}</w:instrText>
      </w:r>
      <w:r w:rsidR="00723A0C" w:rsidRPr="004F692B">
        <w:rPr>
          <w:rFonts w:cstheme="minorHAnsi"/>
          <w:u w:val="single"/>
          <w:lang w:val="en-GB"/>
        </w:rPr>
        <w:fldChar w:fldCharType="separate"/>
      </w:r>
      <w:r w:rsidR="00B169CE" w:rsidRPr="00B169CE">
        <w:rPr>
          <w:rFonts w:cstheme="minorHAnsi"/>
          <w:noProof/>
          <w:vertAlign w:val="superscript"/>
          <w:lang w:val="en-GB"/>
        </w:rPr>
        <w:t>56</w:t>
      </w:r>
      <w:r w:rsidR="00723A0C" w:rsidRPr="004F692B">
        <w:rPr>
          <w:rFonts w:cstheme="minorHAnsi"/>
          <w:u w:val="single"/>
          <w:lang w:val="en-GB"/>
        </w:rPr>
        <w:fldChar w:fldCharType="end"/>
      </w:r>
      <w:r w:rsidR="00723A0C" w:rsidRPr="004F692B">
        <w:rPr>
          <w:rFonts w:cstheme="minorHAnsi"/>
          <w:u w:val="single"/>
          <w:lang w:val="en-GB"/>
        </w:rPr>
        <w:t xml:space="preserve">. In placebo stimulation, subjects are exposed to the same changes in current strength, but the phase of long-term exposure to current is excluded. Thus, the sham </w:t>
      </w:r>
      <w:r w:rsidR="009200FD" w:rsidRPr="004F692B">
        <w:rPr>
          <w:rFonts w:cstheme="minorHAnsi"/>
          <w:u w:val="single"/>
          <w:lang w:val="en-GB"/>
        </w:rPr>
        <w:t>session participants</w:t>
      </w:r>
      <w:r w:rsidR="00723A0C" w:rsidRPr="004F692B">
        <w:rPr>
          <w:rFonts w:cstheme="minorHAnsi"/>
          <w:u w:val="single"/>
          <w:lang w:val="en-GB"/>
        </w:rPr>
        <w:t xml:space="preserve"> had a generally </w:t>
      </w:r>
      <w:r w:rsidR="009200FD" w:rsidRPr="004F692B">
        <w:rPr>
          <w:rFonts w:cstheme="minorHAnsi"/>
          <w:u w:val="single"/>
          <w:lang w:val="en-GB"/>
        </w:rPr>
        <w:t xml:space="preserve">similar </w:t>
      </w:r>
      <w:r w:rsidR="00723A0C" w:rsidRPr="004F692B">
        <w:rPr>
          <w:rFonts w:cstheme="minorHAnsi"/>
          <w:u w:val="single"/>
          <w:lang w:val="en-GB"/>
        </w:rPr>
        <w:t>experience to th</w:t>
      </w:r>
      <w:r w:rsidR="009200FD" w:rsidRPr="004F692B">
        <w:rPr>
          <w:rFonts w:cstheme="minorHAnsi"/>
          <w:u w:val="single"/>
          <w:lang w:val="en-GB"/>
        </w:rPr>
        <w:t>at of</w:t>
      </w:r>
      <w:r w:rsidR="00723A0C" w:rsidRPr="004F692B">
        <w:rPr>
          <w:rFonts w:cstheme="minorHAnsi"/>
          <w:u w:val="single"/>
          <w:lang w:val="en-GB"/>
        </w:rPr>
        <w:t xml:space="preserve"> real </w:t>
      </w:r>
      <w:proofErr w:type="spellStart"/>
      <w:r w:rsidR="00723A0C" w:rsidRPr="004F692B">
        <w:rPr>
          <w:rFonts w:cstheme="minorHAnsi"/>
          <w:u w:val="single"/>
          <w:lang w:val="en-GB"/>
        </w:rPr>
        <w:t>tDCS</w:t>
      </w:r>
      <w:proofErr w:type="spellEnd"/>
      <w:r w:rsidR="00723A0C" w:rsidRPr="004F692B">
        <w:rPr>
          <w:rFonts w:cstheme="minorHAnsi"/>
          <w:u w:val="single"/>
          <w:lang w:val="en-GB"/>
        </w:rPr>
        <w:t xml:space="preserve">, which normally amounted to a painless tingling sensation during the initial </w:t>
      </w:r>
      <w:r w:rsidR="00BE5C31">
        <w:rPr>
          <w:rFonts w:cstheme="minorHAnsi"/>
          <w:u w:val="single"/>
          <w:lang w:val="en-GB"/>
        </w:rPr>
        <w:t xml:space="preserve">and final </w:t>
      </w:r>
      <w:r w:rsidR="00723A0C" w:rsidRPr="004F692B">
        <w:rPr>
          <w:rFonts w:cstheme="minorHAnsi"/>
          <w:u w:val="single"/>
          <w:lang w:val="en-GB"/>
        </w:rPr>
        <w:t xml:space="preserve">seconds of </w:t>
      </w:r>
      <w:r w:rsidR="00BE5C31">
        <w:rPr>
          <w:rFonts w:cstheme="minorHAnsi"/>
          <w:u w:val="single"/>
          <w:lang w:val="en-GB"/>
        </w:rPr>
        <w:t xml:space="preserve">the </w:t>
      </w:r>
      <w:r w:rsidR="00723A0C" w:rsidRPr="004F692B">
        <w:rPr>
          <w:rFonts w:cstheme="minorHAnsi"/>
          <w:u w:val="single"/>
          <w:lang w:val="en-GB"/>
        </w:rPr>
        <w:t>stimulation</w:t>
      </w:r>
      <w:r w:rsidR="00BE5C31">
        <w:rPr>
          <w:rFonts w:cstheme="minorHAnsi"/>
          <w:u w:val="single"/>
          <w:lang w:val="en-GB"/>
        </w:rPr>
        <w:t xml:space="preserve"> session</w:t>
      </w:r>
      <w:r w:rsidR="00723A0C" w:rsidRPr="004F692B">
        <w:rPr>
          <w:rFonts w:cstheme="minorHAnsi"/>
          <w:u w:val="single"/>
          <w:lang w:val="en-GB"/>
        </w:rPr>
        <w:t>.</w:t>
      </w:r>
    </w:p>
    <w:p w14:paraId="5707E7E7" w14:textId="3522B2B2" w:rsidR="00B10093" w:rsidRPr="00CE0EBA" w:rsidRDefault="00B10093" w:rsidP="00B10093">
      <w:pPr>
        <w:pStyle w:val="a3"/>
        <w:spacing w:before="102" w:line="249" w:lineRule="auto"/>
        <w:ind w:left="126" w:right="138" w:firstLine="7"/>
        <w:jc w:val="both"/>
      </w:pPr>
      <w:r w:rsidRPr="006B3BF3">
        <w:t xml:space="preserve">Immediately after the </w:t>
      </w:r>
      <w:proofErr w:type="spellStart"/>
      <w:r w:rsidRPr="006B3BF3">
        <w:t>tDCS</w:t>
      </w:r>
      <w:proofErr w:type="spellEnd"/>
      <w:r w:rsidRPr="006B3BF3">
        <w:t xml:space="preserve"> application, the participants underwent contextual acquisition of novel </w:t>
      </w:r>
      <w:r w:rsidRPr="00CE0EBA">
        <w:t>words</w:t>
      </w:r>
      <w:r w:rsidRPr="006B3BF3">
        <w:t xml:space="preserve">. </w:t>
      </w:r>
      <w:r w:rsidRPr="00CE0EBA">
        <w:t xml:space="preserve">They were seated in front of a computer monitor and instructed to read stimulus sentences carefully. Each sentence started with a word-by-word presentation, followed by the presentation of the entire sentence on the screen to ensure full understanding. Participants had to press the spacebar with their index finger of the left hand after reading the complete sentence. </w:t>
      </w:r>
      <w:r w:rsidR="00110FEB">
        <w:t>The d</w:t>
      </w:r>
      <w:r w:rsidRPr="00CE0EBA">
        <w:t xml:space="preserve">uration of the sentence presentation was 5000 </w:t>
      </w:r>
      <w:proofErr w:type="spellStart"/>
      <w:r w:rsidRPr="00CE0EBA">
        <w:t>ms.</w:t>
      </w:r>
      <w:proofErr w:type="spellEnd"/>
      <w:r w:rsidRPr="00CE0EBA">
        <w:t xml:space="preserve"> Then a fixation cross ("+") appeared in the center of the screen for 1000 </w:t>
      </w:r>
      <w:proofErr w:type="spellStart"/>
      <w:r w:rsidRPr="00CE0EBA">
        <w:t>ms</w:t>
      </w:r>
      <w:proofErr w:type="spellEnd"/>
      <w:r w:rsidRPr="00CE0EBA">
        <w:t xml:space="preserve"> and the presentation of the next sentence began. The sets of sentences were separated from each other by a triple crosshair ("+++") presented </w:t>
      </w:r>
      <w:r>
        <w:t xml:space="preserve">for </w:t>
      </w:r>
      <w:r w:rsidRPr="00CE0EBA">
        <w:t xml:space="preserve">2000 </w:t>
      </w:r>
      <w:proofErr w:type="spellStart"/>
      <w:r w:rsidRPr="00CE0EBA">
        <w:t>ms</w:t>
      </w:r>
      <w:proofErr w:type="spellEnd"/>
      <w:r w:rsidRPr="00CE0EBA">
        <w:t xml:space="preserve"> and another fixation cross displayed for 1000 </w:t>
      </w:r>
      <w:proofErr w:type="spellStart"/>
      <w:r w:rsidRPr="00CE0EBA">
        <w:t>ms.</w:t>
      </w:r>
      <w:proofErr w:type="spellEnd"/>
      <w:r w:rsidRPr="00CE0EBA">
        <w:t xml:space="preserve"> Each word was presented for 500 </w:t>
      </w:r>
      <w:proofErr w:type="spellStart"/>
      <w:r w:rsidRPr="00CE0EBA">
        <w:t>ms</w:t>
      </w:r>
      <w:proofErr w:type="spellEnd"/>
      <w:r w:rsidRPr="00CE0EBA">
        <w:t xml:space="preserve"> following a 300-ms empty screen between words within one sentence. A short training block was presented prior to the main part of the experiment. The main experimental block was divided into two sub-blocks, with a short break between them to reduce fatigue. </w:t>
      </w:r>
      <w:r w:rsidR="00453434" w:rsidRPr="00873B0F">
        <w:rPr>
          <w:u w:val="single"/>
        </w:rPr>
        <w:t>T</w:t>
      </w:r>
      <w:r w:rsidR="00B444CF" w:rsidRPr="00873B0F">
        <w:rPr>
          <w:u w:val="single"/>
        </w:rPr>
        <w:t xml:space="preserve">he average </w:t>
      </w:r>
      <w:r w:rsidR="00F07C5D" w:rsidRPr="00873B0F">
        <w:rPr>
          <w:u w:val="single"/>
        </w:rPr>
        <w:t>duration</w:t>
      </w:r>
      <w:r w:rsidR="00B444CF" w:rsidRPr="00873B0F">
        <w:rPr>
          <w:u w:val="single"/>
        </w:rPr>
        <w:t xml:space="preserve"> </w:t>
      </w:r>
      <w:r w:rsidR="00290285" w:rsidRPr="00873B0F">
        <w:rPr>
          <w:u w:val="single"/>
        </w:rPr>
        <w:t xml:space="preserve">of the acquisition phase </w:t>
      </w:r>
      <w:r w:rsidR="00B444CF" w:rsidRPr="00873B0F">
        <w:rPr>
          <w:u w:val="single"/>
        </w:rPr>
        <w:t xml:space="preserve">was 25 minutes. </w:t>
      </w:r>
      <w:r w:rsidRPr="00CE0EBA">
        <w:t xml:space="preserve">The contextual acquisition part of the experiment was implemented in NBS Presentation 20.0. The background </w:t>
      </w:r>
      <w:proofErr w:type="spellStart"/>
      <w:r w:rsidRPr="00CE0EBA">
        <w:t>colour</w:t>
      </w:r>
      <w:proofErr w:type="spellEnd"/>
      <w:r w:rsidRPr="00CE0EBA">
        <w:t xml:space="preserve"> was grey (RGB: 125, 125, 125), the text </w:t>
      </w:r>
      <w:proofErr w:type="spellStart"/>
      <w:r w:rsidRPr="00CE0EBA">
        <w:t>colour</w:t>
      </w:r>
      <w:proofErr w:type="spellEnd"/>
      <w:r w:rsidRPr="00CE0EBA">
        <w:t xml:space="preserve"> was black (RGB: 0; 0; 0), font - Arial, font size - 24. </w:t>
      </w:r>
    </w:p>
    <w:p w14:paraId="65587470" w14:textId="70CB4CF2" w:rsidR="00B10093" w:rsidRDefault="00B10093" w:rsidP="00B10093">
      <w:pPr>
        <w:pStyle w:val="a3"/>
        <w:spacing w:before="102" w:line="249" w:lineRule="auto"/>
        <w:ind w:left="126" w:right="138" w:firstLine="7"/>
        <w:jc w:val="both"/>
      </w:pPr>
      <w:r w:rsidRPr="00CE0EBA">
        <w:t xml:space="preserve">Stimulation of language cortices produces a complex pattern of </w:t>
      </w:r>
      <w:proofErr w:type="spellStart"/>
      <w:r w:rsidRPr="00CE0EBA">
        <w:t>behavio</w:t>
      </w:r>
      <w:r w:rsidR="00A14E5C">
        <w:t>u</w:t>
      </w:r>
      <w:r w:rsidRPr="00CE0EBA">
        <w:t>ral</w:t>
      </w:r>
      <w:proofErr w:type="spellEnd"/>
      <w:r w:rsidRPr="00CE0EBA">
        <w:t xml:space="preserve"> outcomes, therefore a battery of different tests was used to assess </w:t>
      </w:r>
      <w:r w:rsidRPr="006B3BF3">
        <w:t>the acquisition of novel word forms on both lexical and semantic levels (1) immediate</w:t>
      </w:r>
      <w:r w:rsidRPr="00CE0EBA">
        <w:t>ly</w:t>
      </w:r>
      <w:r w:rsidRPr="006B3BF3">
        <w:t xml:space="preserve"> after learning and, (2) to allow for consolidation period, on the following day. </w:t>
      </w:r>
      <w:r w:rsidRPr="00CE0EBA">
        <w:t>For these tests, t</w:t>
      </w:r>
      <w:r w:rsidRPr="006B3BF3">
        <w:t xml:space="preserve">he stimulus </w:t>
      </w:r>
      <w:r w:rsidRPr="00CE0EBA">
        <w:t>word forms</w:t>
      </w:r>
      <w:r w:rsidRPr="006B3BF3">
        <w:t xml:space="preserve"> were s</w:t>
      </w:r>
      <w:r w:rsidRPr="00CE0EBA">
        <w:t>plit</w:t>
      </w:r>
      <w:r w:rsidRPr="006B3BF3">
        <w:t xml:space="preserve"> into two subsets to be </w:t>
      </w:r>
      <w:r w:rsidRPr="00CE0EBA">
        <w:t>assessed</w:t>
      </w:r>
      <w:r w:rsidRPr="006B3BF3">
        <w:t xml:space="preserve"> on Day 1 and Day 2, to avoid carry</w:t>
      </w:r>
      <w:r w:rsidRPr="00CE0EBA">
        <w:t>-over of stimulus exposure during Day 1 assessment into Day 2 results. These subsets were</w:t>
      </w:r>
      <w:r w:rsidRPr="006B3BF3">
        <w:t xml:space="preserve"> equally distributed across stimulus conditions and counterbalanced across the subject group. Apart from the </w:t>
      </w:r>
      <w:r w:rsidRPr="00CE0EBA">
        <w:t>particular</w:t>
      </w:r>
      <w:r w:rsidRPr="006B3BF3">
        <w:t xml:space="preserve"> </w:t>
      </w:r>
      <w:r w:rsidRPr="00CE0EBA">
        <w:t>word forms</w:t>
      </w:r>
      <w:r w:rsidRPr="006B3BF3">
        <w:t xml:space="preserve"> </w:t>
      </w:r>
      <w:r w:rsidRPr="00CE0EBA">
        <w:t>presented in the assessment</w:t>
      </w:r>
      <w:r w:rsidRPr="006B3BF3">
        <w:t>, all the test parameters (number and sequence of tasks, instructions, speed of presentation, etc.) were the same on both days</w:t>
      </w:r>
      <w:r w:rsidRPr="00CE0EBA">
        <w:t>:</w:t>
      </w:r>
    </w:p>
    <w:p w14:paraId="0D77DFA2" w14:textId="4B317895" w:rsidR="00B10093" w:rsidRPr="00B92753" w:rsidRDefault="00B10093" w:rsidP="00B10093">
      <w:pPr>
        <w:pStyle w:val="a5"/>
        <w:numPr>
          <w:ilvl w:val="0"/>
          <w:numId w:val="1"/>
        </w:numPr>
        <w:tabs>
          <w:tab w:val="left" w:pos="632"/>
        </w:tabs>
        <w:spacing w:before="197"/>
        <w:rPr>
          <w:sz w:val="20"/>
          <w:szCs w:val="20"/>
        </w:rPr>
      </w:pPr>
      <w:r w:rsidRPr="00B92753">
        <w:rPr>
          <w:sz w:val="20"/>
          <w:szCs w:val="20"/>
        </w:rPr>
        <w:t xml:space="preserve">In the </w:t>
      </w:r>
      <w:r w:rsidRPr="00B92753">
        <w:rPr>
          <w:i/>
          <w:sz w:val="20"/>
          <w:szCs w:val="20"/>
        </w:rPr>
        <w:t>Free Recall Task</w:t>
      </w:r>
      <w:r w:rsidR="00B95416">
        <w:rPr>
          <w:i/>
          <w:sz w:val="20"/>
          <w:szCs w:val="20"/>
        </w:rPr>
        <w:t>,</w:t>
      </w:r>
      <w:r w:rsidRPr="00B92753">
        <w:rPr>
          <w:sz w:val="20"/>
          <w:szCs w:val="20"/>
        </w:rPr>
        <w:t xml:space="preserve"> each participant had to reproduce as many new word forms as they could remember by typing them onto a prepared spreadsheet. The instruction was: "Please type in all the new words that you can remember below." The response time was not limited.</w:t>
      </w:r>
    </w:p>
    <w:p w14:paraId="4ACAEF64" w14:textId="53709CE6" w:rsidR="00B10093" w:rsidRPr="00B92753" w:rsidRDefault="00B10093" w:rsidP="00B10093">
      <w:pPr>
        <w:pStyle w:val="a5"/>
        <w:numPr>
          <w:ilvl w:val="0"/>
          <w:numId w:val="1"/>
        </w:numPr>
        <w:tabs>
          <w:tab w:val="left" w:pos="632"/>
        </w:tabs>
        <w:spacing w:before="197"/>
        <w:rPr>
          <w:sz w:val="20"/>
          <w:szCs w:val="20"/>
        </w:rPr>
      </w:pPr>
      <w:r w:rsidRPr="00B92753">
        <w:rPr>
          <w:i/>
          <w:sz w:val="20"/>
          <w:szCs w:val="20"/>
        </w:rPr>
        <w:t>Free-form Definition Task</w:t>
      </w:r>
      <w:r w:rsidRPr="00B92753">
        <w:rPr>
          <w:sz w:val="20"/>
          <w:szCs w:val="20"/>
        </w:rPr>
        <w:t xml:space="preserve"> was used to estimate the acquisition of the newly learn</w:t>
      </w:r>
      <w:r w:rsidR="00110FEB">
        <w:rPr>
          <w:sz w:val="20"/>
          <w:szCs w:val="20"/>
        </w:rPr>
        <w:t>ed</w:t>
      </w:r>
      <w:r w:rsidRPr="00B92753">
        <w:rPr>
          <w:sz w:val="20"/>
          <w:szCs w:val="20"/>
        </w:rPr>
        <w:t xml:space="preserve"> concept’s meaning and its correspondence with the surface form. Participants were given a table with a list of 10 newly learn</w:t>
      </w:r>
      <w:r w:rsidR="00110FEB">
        <w:rPr>
          <w:sz w:val="20"/>
          <w:szCs w:val="20"/>
        </w:rPr>
        <w:t>ed</w:t>
      </w:r>
      <w:r w:rsidRPr="00B92753">
        <w:rPr>
          <w:sz w:val="20"/>
          <w:szCs w:val="20"/>
        </w:rPr>
        <w:t xml:space="preserve"> items with the instruction: “Below is the list of 10 new words you have encountered during the experiment. Try to </w:t>
      </w:r>
      <w:r w:rsidR="00110FEB">
        <w:rPr>
          <w:sz w:val="20"/>
          <w:szCs w:val="20"/>
        </w:rPr>
        <w:t>define</w:t>
      </w:r>
      <w:r w:rsidRPr="00B92753">
        <w:rPr>
          <w:sz w:val="20"/>
          <w:szCs w:val="20"/>
        </w:rPr>
        <w:t xml:space="preserve"> each one of them”.</w:t>
      </w:r>
    </w:p>
    <w:p w14:paraId="664EA93D" w14:textId="623473BC" w:rsidR="00B10093" w:rsidRPr="00B92753" w:rsidRDefault="00B10093" w:rsidP="00B10093">
      <w:pPr>
        <w:pStyle w:val="a5"/>
        <w:numPr>
          <w:ilvl w:val="0"/>
          <w:numId w:val="1"/>
        </w:numPr>
        <w:tabs>
          <w:tab w:val="left" w:pos="632"/>
        </w:tabs>
        <w:spacing w:before="197"/>
        <w:rPr>
          <w:sz w:val="20"/>
          <w:szCs w:val="20"/>
        </w:rPr>
      </w:pPr>
      <w:r w:rsidRPr="00B92753">
        <w:rPr>
          <w:i/>
          <w:sz w:val="20"/>
          <w:szCs w:val="20"/>
        </w:rPr>
        <w:t xml:space="preserve">Semantic Judgement Task (SJT) </w:t>
      </w:r>
      <w:r w:rsidRPr="00B92753">
        <w:rPr>
          <w:sz w:val="20"/>
          <w:szCs w:val="20"/>
        </w:rPr>
        <w:t>was aimed at assessing the acquisition of novel words through making links between the newly learn</w:t>
      </w:r>
      <w:r w:rsidR="00110FEB">
        <w:rPr>
          <w:sz w:val="20"/>
          <w:szCs w:val="20"/>
        </w:rPr>
        <w:t>ed</w:t>
      </w:r>
      <w:r w:rsidRPr="00B92753">
        <w:rPr>
          <w:sz w:val="20"/>
          <w:szCs w:val="20"/>
        </w:rPr>
        <w:t xml:space="preserve"> word forms and their explicit definitions. Participants received the following instruction for this task: "You will be presented with a word and three definitions. You should choose one correct definition for each word by pressing the key labeled 1, 2, 3, or 4 on the response pad. The definition number 1 corresponds to key 1, the definition number 2 – to key 2, number 3 – to key 3, </w:t>
      </w:r>
      <w:r w:rsidR="00110FEB">
        <w:rPr>
          <w:sz w:val="20"/>
          <w:szCs w:val="20"/>
        </w:rPr>
        <w:t xml:space="preserve">the </w:t>
      </w:r>
      <w:r w:rsidRPr="00B92753">
        <w:rPr>
          <w:sz w:val="20"/>
          <w:szCs w:val="20"/>
        </w:rPr>
        <w:t xml:space="preserve">option </w:t>
      </w:r>
      <w:r w:rsidR="00E740A7">
        <w:rPr>
          <w:sz w:val="20"/>
          <w:szCs w:val="20"/>
        </w:rPr>
        <w:t>‘</w:t>
      </w:r>
      <w:r w:rsidRPr="00B92753">
        <w:rPr>
          <w:sz w:val="20"/>
          <w:szCs w:val="20"/>
        </w:rPr>
        <w:t>None of this</w:t>
      </w:r>
      <w:r w:rsidR="00E740A7">
        <w:rPr>
          <w:sz w:val="20"/>
          <w:szCs w:val="20"/>
        </w:rPr>
        <w:t>’</w:t>
      </w:r>
      <w:r w:rsidRPr="00B92753">
        <w:rPr>
          <w:sz w:val="20"/>
          <w:szCs w:val="20"/>
        </w:rPr>
        <w:t xml:space="preserve"> – to key 4". Only one of the definitions was correct, and two others were foils corresponding to other pseudowords. This matching task was implemented in NBS Presentation 20.0 with the same screen and text parameters as in the contextual acquisition part. The time to make the selection was not limited.</w:t>
      </w:r>
    </w:p>
    <w:p w14:paraId="72BF8829" w14:textId="5A1D22EC" w:rsidR="00B10093" w:rsidRPr="00871947" w:rsidRDefault="00B10093" w:rsidP="00B10093">
      <w:pPr>
        <w:pStyle w:val="a3"/>
        <w:spacing w:before="102" w:line="249" w:lineRule="auto"/>
        <w:ind w:left="126" w:right="138" w:firstLine="7"/>
        <w:jc w:val="both"/>
      </w:pPr>
      <w:r w:rsidRPr="00CE0EBA">
        <w:t xml:space="preserve">The order of the tasks was chosen to </w:t>
      </w:r>
      <w:proofErr w:type="spellStart"/>
      <w:r w:rsidRPr="00CE0EBA">
        <w:t>minimise</w:t>
      </w:r>
      <w:proofErr w:type="spellEnd"/>
      <w:r w:rsidRPr="00CE0EBA">
        <w:t xml:space="preserve"> any carry-over effects from one task to the following ones. Thus, all 3 tasks provided the assessment of the acquisition of both novel word forms and their semantics. </w:t>
      </w:r>
      <w:r w:rsidR="001D35DF" w:rsidRPr="00873B0F">
        <w:rPr>
          <w:u w:val="single"/>
        </w:rPr>
        <w:t xml:space="preserve">The average </w:t>
      </w:r>
      <w:r w:rsidR="000F1D1C" w:rsidRPr="00873B0F">
        <w:rPr>
          <w:u w:val="single"/>
        </w:rPr>
        <w:t>time</w:t>
      </w:r>
      <w:r w:rsidR="001D35DF" w:rsidRPr="00873B0F">
        <w:rPr>
          <w:u w:val="single"/>
        </w:rPr>
        <w:t xml:space="preserve"> of the assessment </w:t>
      </w:r>
      <w:r w:rsidR="00566403" w:rsidRPr="00873B0F">
        <w:rPr>
          <w:u w:val="single"/>
        </w:rPr>
        <w:t xml:space="preserve">task </w:t>
      </w:r>
      <w:r w:rsidR="000F1D1C" w:rsidRPr="00873B0F">
        <w:rPr>
          <w:u w:val="single"/>
        </w:rPr>
        <w:t>implementation</w:t>
      </w:r>
      <w:r w:rsidR="001D35DF" w:rsidRPr="00873B0F">
        <w:rPr>
          <w:u w:val="single"/>
        </w:rPr>
        <w:t xml:space="preserve"> was 20 minutes</w:t>
      </w:r>
      <w:r w:rsidR="00B662CE" w:rsidRPr="00873B0F">
        <w:rPr>
          <w:u w:val="single"/>
        </w:rPr>
        <w:t xml:space="preserve"> on each testing day</w:t>
      </w:r>
      <w:r w:rsidR="001D35DF" w:rsidRPr="00873B0F">
        <w:rPr>
          <w:u w:val="single"/>
        </w:rPr>
        <w:t>.</w:t>
      </w:r>
      <w:r w:rsidR="001D35DF">
        <w:t xml:space="preserve"> </w:t>
      </w:r>
      <w:r>
        <w:t>As already mentioned,</w:t>
      </w:r>
      <w:r w:rsidRPr="00CE0EBA">
        <w:t xml:space="preserve"> the pairing between particular word forms and semantics was counterbalanced across participants, ruling out any idiosyncratic effects that could potentially arise </w:t>
      </w:r>
      <w:r>
        <w:t>if</w:t>
      </w:r>
      <w:r w:rsidRPr="00CE0EBA">
        <w:t xml:space="preserve"> coupling specific word forms </w:t>
      </w:r>
      <w:r>
        <w:t xml:space="preserve">always </w:t>
      </w:r>
      <w:r w:rsidRPr="00CE0EBA">
        <w:t xml:space="preserve">with the same semantics. That implies that we could assess the lexical level (through recall) and the semantic level of meaning comprehension (via free-form definition and semantic </w:t>
      </w:r>
      <w:r w:rsidR="00276954">
        <w:t>judgement</w:t>
      </w:r>
      <w:r w:rsidRPr="00CE0EBA">
        <w:t xml:space="preserve"> tasks) relatively independently.</w:t>
      </w:r>
    </w:p>
    <w:p w14:paraId="38D78887" w14:textId="77777777" w:rsidR="00B10093" w:rsidRPr="00B92753" w:rsidRDefault="00B10093" w:rsidP="00B10093">
      <w:pPr>
        <w:spacing w:before="228"/>
        <w:ind w:left="133"/>
        <w:rPr>
          <w:rFonts w:ascii="Arial"/>
          <w:b/>
          <w:sz w:val="20"/>
        </w:rPr>
      </w:pPr>
      <w:r w:rsidRPr="00B92753">
        <w:rPr>
          <w:rFonts w:ascii="Arial"/>
          <w:b/>
          <w:sz w:val="20"/>
        </w:rPr>
        <w:t>Data analysis</w:t>
      </w:r>
    </w:p>
    <w:p w14:paraId="0C55430E" w14:textId="4F3E22BA" w:rsidR="008E11BB" w:rsidRDefault="00B10093" w:rsidP="00B10093">
      <w:pPr>
        <w:pStyle w:val="a3"/>
        <w:spacing w:before="102" w:line="249" w:lineRule="auto"/>
        <w:ind w:left="126" w:right="138" w:firstLine="7"/>
        <w:jc w:val="both"/>
      </w:pPr>
      <w:r w:rsidRPr="00871947">
        <w:t xml:space="preserve">The results for concrete and abstract items were </w:t>
      </w:r>
      <w:proofErr w:type="spellStart"/>
      <w:r w:rsidRPr="00871947">
        <w:t>analysed</w:t>
      </w:r>
      <w:proofErr w:type="spellEnd"/>
      <w:r w:rsidRPr="00871947">
        <w:t xml:space="preserve"> on Day 1 and Day 2 separately. </w:t>
      </w:r>
      <w:r w:rsidR="008E11BB" w:rsidRPr="00873B0F">
        <w:rPr>
          <w:u w:val="single"/>
        </w:rPr>
        <w:t>Both subject</w:t>
      </w:r>
      <w:r w:rsidR="00E740A7">
        <w:rPr>
          <w:u w:val="single"/>
        </w:rPr>
        <w:t>-</w:t>
      </w:r>
      <w:r w:rsidR="000B2215" w:rsidRPr="00873B0F">
        <w:rPr>
          <w:u w:val="single"/>
        </w:rPr>
        <w:t xml:space="preserve"> (F1) and item</w:t>
      </w:r>
      <w:r w:rsidR="00E740A7">
        <w:rPr>
          <w:u w:val="single"/>
        </w:rPr>
        <w:t>-</w:t>
      </w:r>
      <w:r w:rsidR="000B2215" w:rsidRPr="00873B0F">
        <w:rPr>
          <w:u w:val="single"/>
        </w:rPr>
        <w:t xml:space="preserve"> (F2)</w:t>
      </w:r>
      <w:r w:rsidR="00E740A7">
        <w:rPr>
          <w:u w:val="single"/>
        </w:rPr>
        <w:t xml:space="preserve"> </w:t>
      </w:r>
      <w:r w:rsidR="00E740A7">
        <w:rPr>
          <w:u w:val="single"/>
        </w:rPr>
        <w:lastRenderedPageBreak/>
        <w:t>based</w:t>
      </w:r>
      <w:r w:rsidR="000B2215" w:rsidRPr="00873B0F">
        <w:rPr>
          <w:u w:val="single"/>
        </w:rPr>
        <w:t xml:space="preserve"> analyses </w:t>
      </w:r>
      <w:r w:rsidR="008E11BB" w:rsidRPr="00873B0F">
        <w:rPr>
          <w:u w:val="single"/>
        </w:rPr>
        <w:t>were implemented in order to assess any effects o</w:t>
      </w:r>
      <w:r w:rsidR="009200FD" w:rsidRPr="00873B0F">
        <w:rPr>
          <w:u w:val="single"/>
        </w:rPr>
        <w:t>f or</w:t>
      </w:r>
      <w:r w:rsidR="008E11BB" w:rsidRPr="00873B0F">
        <w:rPr>
          <w:u w:val="single"/>
        </w:rPr>
        <w:t xml:space="preserve"> interactions between </w:t>
      </w:r>
      <w:r w:rsidR="00E740A7">
        <w:rPr>
          <w:u w:val="single"/>
        </w:rPr>
        <w:t xml:space="preserve">the </w:t>
      </w:r>
      <w:r w:rsidR="008E11BB" w:rsidRPr="00873B0F">
        <w:rPr>
          <w:u w:val="single"/>
        </w:rPr>
        <w:t>factors.</w:t>
      </w:r>
    </w:p>
    <w:p w14:paraId="3F9D71CB" w14:textId="70B7F3D3" w:rsidR="00B10093" w:rsidRPr="00871947" w:rsidRDefault="008E11BB" w:rsidP="00B10093">
      <w:pPr>
        <w:pStyle w:val="a3"/>
        <w:spacing w:before="102" w:line="249" w:lineRule="auto"/>
        <w:ind w:left="126" w:right="138" w:firstLine="7"/>
        <w:jc w:val="both"/>
      </w:pPr>
      <w:r>
        <w:t xml:space="preserve">In </w:t>
      </w:r>
      <w:r w:rsidRPr="00871947">
        <w:t>the free recall task</w:t>
      </w:r>
      <w:r>
        <w:t>,</w:t>
      </w:r>
      <w:r w:rsidRPr="00871947">
        <w:t xml:space="preserve"> </w:t>
      </w:r>
      <w:r>
        <w:t>f</w:t>
      </w:r>
      <w:r w:rsidR="00B10093" w:rsidRPr="00871947">
        <w:t xml:space="preserve">or the Day 2 only those </w:t>
      </w:r>
      <w:r w:rsidR="00B10093" w:rsidRPr="00CE0EBA">
        <w:t>r</w:t>
      </w:r>
      <w:r w:rsidR="00B10093" w:rsidRPr="00871947">
        <w:t xml:space="preserve">ecall results were </w:t>
      </w:r>
      <w:proofErr w:type="spellStart"/>
      <w:r w:rsidR="00B10093" w:rsidRPr="00871947">
        <w:t>analysed</w:t>
      </w:r>
      <w:proofErr w:type="spellEnd"/>
      <w:r w:rsidR="00B10093" w:rsidRPr="00871947">
        <w:t xml:space="preserve"> that had not been examined on Day 1 </w:t>
      </w:r>
      <w:r w:rsidR="00B10093" w:rsidRPr="00CE0EBA">
        <w:t>i</w:t>
      </w:r>
      <w:r w:rsidR="00B10093" w:rsidRPr="00871947">
        <w:t>n the other two ta</w:t>
      </w:r>
      <w:r w:rsidR="00B10093" w:rsidRPr="00CE0EBA">
        <w:t>sks</w:t>
      </w:r>
      <w:r w:rsidR="00B10093" w:rsidRPr="00871947">
        <w:t xml:space="preserve">, </w:t>
      </w:r>
      <w:r w:rsidR="00B10093" w:rsidRPr="00CE0EBA">
        <w:t>in order to avoid confounds related to reinforcement through repeated exposure to the same stimuli</w:t>
      </w:r>
      <w:r w:rsidR="00B10093" w:rsidRPr="00871947">
        <w:t>. To qu</w:t>
      </w:r>
      <w:r w:rsidR="00B10093" w:rsidRPr="00CE0EBA">
        <w:t xml:space="preserve">antify these responses, we counted the number of correctly spelt letters in each word (thus giving a maximum of 8 points per </w:t>
      </w:r>
      <w:r w:rsidR="00B10093">
        <w:t xml:space="preserve">correctly remembered </w:t>
      </w:r>
      <w:r w:rsidR="00B10093" w:rsidRPr="00CE0EBA">
        <w:t>word)</w:t>
      </w:r>
      <w:r w:rsidR="00B10093">
        <w:t>, and then converted them to percentage of correct responses in relation to the maximum possible.</w:t>
      </w:r>
    </w:p>
    <w:p w14:paraId="16234EEB" w14:textId="77777777" w:rsidR="00B10093" w:rsidRPr="006E6E7F" w:rsidRDefault="00B10093" w:rsidP="00B10093">
      <w:pPr>
        <w:pStyle w:val="a3"/>
        <w:spacing w:before="102" w:line="249" w:lineRule="auto"/>
        <w:ind w:left="126" w:right="138" w:firstLine="7"/>
        <w:jc w:val="both"/>
      </w:pPr>
      <w:r w:rsidRPr="006E6E7F">
        <w:t>Free-form definition task was assessed for two parameters: overall accuracy (t</w:t>
      </w:r>
      <w:r w:rsidRPr="00CE0EBA">
        <w:t>he</w:t>
      </w:r>
      <w:r w:rsidRPr="006E6E7F">
        <w:t xml:space="preserve"> number of correct answers, i.e. th</w:t>
      </w:r>
      <w:r w:rsidRPr="00CE0EBA">
        <w:t>ose generally correctly</w:t>
      </w:r>
      <w:r w:rsidRPr="006E6E7F">
        <w:t xml:space="preserve"> matching</w:t>
      </w:r>
      <w:r w:rsidRPr="00CE0EBA">
        <w:t xml:space="preserve"> the word form and its meaning irrespective of the amount of detail</w:t>
      </w:r>
      <w:r w:rsidRPr="006E6E7F">
        <w:t>) and definition</w:t>
      </w:r>
      <w:r w:rsidRPr="00CE0EBA">
        <w:t xml:space="preserve"> </w:t>
      </w:r>
      <w:r w:rsidRPr="006E6E7F">
        <w:t>quality (completeness</w:t>
      </w:r>
      <w:r w:rsidRPr="00CE0EBA">
        <w:t>/quality</w:t>
      </w:r>
      <w:r w:rsidRPr="006E6E7F">
        <w:t xml:space="preserve"> of meaning description</w:t>
      </w:r>
      <w:r w:rsidRPr="00CE0EBA">
        <w:t>)</w:t>
      </w:r>
      <w:r w:rsidRPr="006E6E7F">
        <w:t>, which were evaluated in a quanti</w:t>
      </w:r>
      <w:r w:rsidRPr="00CE0EBA">
        <w:t>tative</w:t>
      </w:r>
      <w:r w:rsidRPr="006E6E7F">
        <w:t xml:space="preserve"> fashion by four experts, who rated the definitions independently </w:t>
      </w:r>
      <w:r w:rsidRPr="00CE0EBA">
        <w:t>on a</w:t>
      </w:r>
      <w:r w:rsidRPr="006E6E7F">
        <w:t xml:space="preserve"> scale fr</w:t>
      </w:r>
      <w:r w:rsidRPr="00CE0EBA">
        <w:t>om 0 (definition does not suit any of the word’s features) to 5 (complete and accurate definition</w:t>
      </w:r>
      <w:r>
        <w:t>; see Supplementary materials, T</w:t>
      </w:r>
      <w:r w:rsidRPr="00CE0EBA">
        <w:t>able 2).</w:t>
      </w:r>
      <w:r w:rsidRPr="006E6E7F">
        <w:t xml:space="preserve"> </w:t>
      </w:r>
      <w:r w:rsidRPr="00CE0EBA">
        <w:t xml:space="preserve">The coherence of their assessment was handled with W-Kendall coefficient </w:t>
      </w:r>
      <w:r w:rsidRPr="006E6E7F">
        <w:t xml:space="preserve">(which ranged between 0.791and 0.856 </w:t>
      </w:r>
      <w:r>
        <w:t>across the</w:t>
      </w:r>
      <w:r w:rsidRPr="006E6E7F">
        <w:t xml:space="preserve"> participants)</w:t>
      </w:r>
      <w:r w:rsidRPr="00CE0EBA">
        <w:t xml:space="preserve"> and</w:t>
      </w:r>
      <w:r w:rsidRPr="006E6E7F">
        <w:t xml:space="preserve"> average ratings were used for assessing the results statistically.</w:t>
      </w:r>
    </w:p>
    <w:p w14:paraId="63973C80" w14:textId="44964956" w:rsidR="00B10093" w:rsidRPr="00CE0EBA" w:rsidRDefault="00B10093" w:rsidP="00B10093">
      <w:pPr>
        <w:pStyle w:val="a3"/>
        <w:spacing w:before="102" w:line="249" w:lineRule="auto"/>
        <w:ind w:left="126" w:right="138" w:firstLine="7"/>
        <w:jc w:val="both"/>
      </w:pPr>
      <w:r w:rsidRPr="00CE0EBA">
        <w:t>S</w:t>
      </w:r>
      <w:r w:rsidRPr="006E6E7F">
        <w:t>emantic judg</w:t>
      </w:r>
      <w:r w:rsidR="00276954">
        <w:t>e</w:t>
      </w:r>
      <w:r w:rsidRPr="006E6E7F">
        <w:t xml:space="preserve">ment task </w:t>
      </w:r>
      <w:r w:rsidRPr="00CE0EBA">
        <w:t xml:space="preserve">results were </w:t>
      </w:r>
      <w:proofErr w:type="spellStart"/>
      <w:r w:rsidRPr="00CE0EBA">
        <w:t>analy</w:t>
      </w:r>
      <w:r>
        <w:t>s</w:t>
      </w:r>
      <w:r w:rsidRPr="00CE0EBA">
        <w:t>ed</w:t>
      </w:r>
      <w:proofErr w:type="spellEnd"/>
      <w:r w:rsidRPr="00CE0EBA">
        <w:t xml:space="preserve"> in terms of accuracy (total number of correct responses</w:t>
      </w:r>
      <w:r>
        <w:t xml:space="preserve"> expressed in percentage</w:t>
      </w:r>
      <w:r w:rsidRPr="00CE0EBA">
        <w:t>).</w:t>
      </w:r>
    </w:p>
    <w:p w14:paraId="2CBB552A" w14:textId="05C882B9" w:rsidR="00B10093" w:rsidRDefault="00B10093" w:rsidP="008C6A6E">
      <w:pPr>
        <w:pStyle w:val="a3"/>
        <w:spacing w:before="102" w:line="249" w:lineRule="auto"/>
        <w:ind w:left="126" w:right="138" w:firstLine="7"/>
        <w:jc w:val="both"/>
      </w:pPr>
      <w:r w:rsidRPr="006E6E7F">
        <w:t xml:space="preserve">Three </w:t>
      </w:r>
      <w:r w:rsidRPr="00CE0EBA">
        <w:t>factors were</w:t>
      </w:r>
      <w:r w:rsidRPr="006E6E7F">
        <w:t xml:space="preserve"> </w:t>
      </w:r>
      <w:r w:rsidRPr="00CE0EBA">
        <w:t>us</w:t>
      </w:r>
      <w:r w:rsidRPr="006E6E7F">
        <w:t xml:space="preserve">ed for </w:t>
      </w:r>
      <w:r w:rsidRPr="00CE0EBA">
        <w:t>statistical analysis</w:t>
      </w:r>
      <w:r w:rsidRPr="006E6E7F">
        <w:t xml:space="preserve">: </w:t>
      </w:r>
      <w:r w:rsidRPr="00CE0EBA">
        <w:t>testing</w:t>
      </w:r>
      <w:r w:rsidRPr="006E6E7F">
        <w:t xml:space="preserve"> </w:t>
      </w:r>
      <w:r w:rsidR="00110F1F">
        <w:t>D</w:t>
      </w:r>
      <w:r w:rsidRPr="006E6E7F">
        <w:t xml:space="preserve">ay (Day </w:t>
      </w:r>
      <w:r w:rsidRPr="00CE0EBA">
        <w:t>1/</w:t>
      </w:r>
      <w:r w:rsidR="00110F1F">
        <w:t>Day 2), semantic T</w:t>
      </w:r>
      <w:r w:rsidRPr="006E6E7F">
        <w:t>ype (Co</w:t>
      </w:r>
      <w:r w:rsidRPr="00CE0EBA">
        <w:t xml:space="preserve">ncrete/Abstract) </w:t>
      </w:r>
      <w:r w:rsidR="00110F1F">
        <w:t>and stimulation G</w:t>
      </w:r>
      <w:r w:rsidRPr="006E6E7F">
        <w:t>roup (</w:t>
      </w:r>
      <w:r w:rsidRPr="00CE0EBA">
        <w:t>Sham/Anode/Cathode)</w:t>
      </w:r>
      <w:r w:rsidRPr="006E6E7F">
        <w:t xml:space="preserve">. </w:t>
      </w:r>
      <w:r w:rsidR="00E740A7" w:rsidRPr="00CE0EBA">
        <w:t xml:space="preserve">To assess possible interactions between the three factors, repeated-measures Analysis of Variance (ANOVA) was used. </w:t>
      </w:r>
      <w:r w:rsidRPr="00CE0EBA">
        <w:t xml:space="preserve">The comparisons between days (to </w:t>
      </w:r>
      <w:r w:rsidRPr="006E6E7F">
        <w:t>test pu</w:t>
      </w:r>
      <w:r w:rsidRPr="00CE0EBA">
        <w:t xml:space="preserve">tative </w:t>
      </w:r>
      <w:r w:rsidRPr="006E6E7F">
        <w:t xml:space="preserve">consolidation effects) and between semantic types (concrete and abstract concepts for all tasks) </w:t>
      </w:r>
      <w:r w:rsidRPr="00CE0EBA">
        <w:t xml:space="preserve">on each day </w:t>
      </w:r>
      <w:r w:rsidRPr="006E6E7F">
        <w:t>were carried out by within-group analyses using Wilcoxon sign-rank test for two related samples. To compare accurac</w:t>
      </w:r>
      <w:r w:rsidRPr="00CE0EBA">
        <w:t>ies</w:t>
      </w:r>
      <w:r w:rsidRPr="006E6E7F">
        <w:t xml:space="preserve"> between groups (sham/cathodal </w:t>
      </w:r>
      <w:proofErr w:type="spellStart"/>
      <w:r w:rsidRPr="006E6E7F">
        <w:t>tDCS</w:t>
      </w:r>
      <w:proofErr w:type="spellEnd"/>
      <w:r w:rsidRPr="006E6E7F">
        <w:t xml:space="preserve">, sham/anodal </w:t>
      </w:r>
      <w:proofErr w:type="spellStart"/>
      <w:r w:rsidRPr="006E6E7F">
        <w:t>tDCS</w:t>
      </w:r>
      <w:proofErr w:type="spellEnd"/>
      <w:r w:rsidRPr="006E6E7F">
        <w:t xml:space="preserve">, anodal/cathodal </w:t>
      </w:r>
      <w:proofErr w:type="spellStart"/>
      <w:r w:rsidRPr="006E6E7F">
        <w:t>tDCS</w:t>
      </w:r>
      <w:proofErr w:type="spellEnd"/>
      <w:r w:rsidRPr="006E6E7F">
        <w:t>) Wilcoxon rank-sum test for two independent samples was used</w:t>
      </w:r>
      <w:r w:rsidRPr="00CE0EBA">
        <w:t xml:space="preserve">. </w:t>
      </w:r>
      <w:r w:rsidRPr="006E6E7F">
        <w:t>Multiple comparison</w:t>
      </w:r>
      <w:r w:rsidRPr="00CE0EBA">
        <w:t xml:space="preserve">s were </w:t>
      </w:r>
      <w:r w:rsidRPr="006E6E7F">
        <w:t>correct</w:t>
      </w:r>
      <w:r w:rsidRPr="00CE0EBA">
        <w:t>ed for</w:t>
      </w:r>
      <w:r w:rsidRPr="006E6E7F">
        <w:t xml:space="preserve"> using</w:t>
      </w:r>
      <w:r w:rsidRPr="00CE0EBA">
        <w:t xml:space="preserve"> false discovery rate (FDR) approach</w:t>
      </w:r>
      <w:r>
        <w:fldChar w:fldCharType="begin" w:fldLock="1"/>
      </w:r>
      <w:r w:rsidR="00D77509">
        <w:instrText>ADDIN CSL_CITATION {"citationItems":[{"id":"ITEM-1","itemData":{"DOI":"10.1002/sim.4780090710","ISSN":"10970258","PMID":"2218183","abstract":"The problem of multiple comparisons is discussed in the context of medical research. The need for more powerful procedures than classical multiple comparison procedures is indicated. To this end some new, general and simple procedures are discussed and demonstrated by two examples from the medical literature: the neuropsychologic effects of unidentified childhood exposure to lead, and the sleep patterns of sober chronic alcoholics. Copyright © 1990 John Wiley &amp; Sons, Ltd.","author":[{"dropping-particle":"","family":"Hochberg","given":"Yosef","non-dropping-particle":"","parse-names":false,"suffix":""},{"dropping-particle":"","family":"Benjamini","given":"Yoav","non-dropping-particle":"","parse-names":false,"suffix":""}],"container-title":"Statistics in Medicine","id":"ITEM-1","issued":{"date-parts":[["1990"]]},"title":"More powerful procedures for multiple significance testing","type":"article-journal"},"uris":["http://www.mendeley.com/documents/?uuid=c1b5caca-b802-4691-898a-4fc9e41591ed"]}],"mendeley":{"formattedCitation":"&lt;sup&gt;57&lt;/sup&gt;","plainTextFormattedCitation":"57","previouslyFormattedCitation":"&lt;sup&gt;57&lt;/sup&gt;"},"properties":{"noteIndex":0},"schema":"https://github.com/citation-style-language/schema/raw/master/csl-citation.json"}</w:instrText>
      </w:r>
      <w:r>
        <w:fldChar w:fldCharType="separate"/>
      </w:r>
      <w:r w:rsidR="00B169CE" w:rsidRPr="00B169CE">
        <w:rPr>
          <w:noProof/>
          <w:vertAlign w:val="superscript"/>
        </w:rPr>
        <w:t>57</w:t>
      </w:r>
      <w:r>
        <w:fldChar w:fldCharType="end"/>
      </w:r>
      <w:r w:rsidRPr="00CE0EBA">
        <w:t>.</w:t>
      </w:r>
    </w:p>
    <w:p w14:paraId="6FBF1625" w14:textId="77777777" w:rsidR="008C6A6E" w:rsidRDefault="008C6A6E" w:rsidP="008C6A6E">
      <w:pPr>
        <w:pStyle w:val="a3"/>
        <w:spacing w:before="102" w:line="249" w:lineRule="auto"/>
        <w:ind w:left="126" w:right="138" w:firstLine="7"/>
        <w:jc w:val="both"/>
      </w:pPr>
    </w:p>
    <w:p w14:paraId="09AB9431" w14:textId="77777777" w:rsidR="0066397A" w:rsidRDefault="00AE2457">
      <w:pPr>
        <w:pStyle w:val="1"/>
        <w:spacing w:before="1"/>
      </w:pPr>
      <w:r>
        <w:t>Results</w:t>
      </w:r>
    </w:p>
    <w:p w14:paraId="4F0E406D" w14:textId="77777777" w:rsidR="007E56C7" w:rsidRDefault="007E56C7" w:rsidP="007E56C7">
      <w:pPr>
        <w:pStyle w:val="a3"/>
        <w:spacing w:before="102" w:line="249" w:lineRule="auto"/>
        <w:ind w:left="126" w:right="138" w:firstLine="7"/>
        <w:jc w:val="both"/>
      </w:pPr>
      <w:r w:rsidRPr="00CE0EBA">
        <w:t>Below, we report results of within- and across-group analyses, grouped by the assessment task. To account for different</w:t>
      </w:r>
      <w:r w:rsidRPr="00842C88">
        <w:t xml:space="preserve"> measures across the </w:t>
      </w:r>
      <w:r w:rsidRPr="00CE0EBA">
        <w:t>tasks, the</w:t>
      </w:r>
      <w:r>
        <w:t>y were</w:t>
      </w:r>
      <w:r w:rsidRPr="00CE0EBA">
        <w:t xml:space="preserve"> </w:t>
      </w:r>
      <w:proofErr w:type="spellStart"/>
      <w:r w:rsidRPr="00CE0EBA">
        <w:t>normalised</w:t>
      </w:r>
      <w:proofErr w:type="spellEnd"/>
      <w:r w:rsidRPr="00CE0EBA">
        <w:t xml:space="preserve"> by converting to percentage of correct responses. </w:t>
      </w:r>
    </w:p>
    <w:p w14:paraId="4EBD97D1" w14:textId="77777777" w:rsidR="006B11F9" w:rsidRPr="006B11F9" w:rsidRDefault="006B11F9" w:rsidP="006B11F9">
      <w:pPr>
        <w:spacing w:before="228"/>
        <w:ind w:left="133"/>
        <w:rPr>
          <w:rFonts w:ascii="Arial"/>
          <w:b/>
          <w:sz w:val="20"/>
        </w:rPr>
      </w:pPr>
      <w:r w:rsidRPr="006B11F9">
        <w:rPr>
          <w:rFonts w:ascii="Arial"/>
          <w:b/>
          <w:sz w:val="20"/>
        </w:rPr>
        <w:t xml:space="preserve">Free Recall </w:t>
      </w:r>
    </w:p>
    <w:p w14:paraId="4EEF0DD3" w14:textId="483170F4" w:rsidR="000B2215" w:rsidRPr="00873B0F" w:rsidRDefault="00CF6CB3" w:rsidP="00CF6CB3">
      <w:pPr>
        <w:pStyle w:val="a3"/>
        <w:spacing w:before="102" w:line="249" w:lineRule="auto"/>
        <w:ind w:left="126" w:right="138" w:firstLine="7"/>
        <w:jc w:val="both"/>
        <w:rPr>
          <w:u w:val="single"/>
        </w:rPr>
      </w:pPr>
      <w:r w:rsidRPr="00CE0EBA">
        <w:t>The f</w:t>
      </w:r>
      <w:r w:rsidRPr="00ED41AA">
        <w:t>ree recall tas</w:t>
      </w:r>
      <w:r w:rsidRPr="00CE0EBA">
        <w:t>k (Figure 2) in</w:t>
      </w:r>
      <w:r w:rsidRPr="00ED41AA">
        <w:t>dicated the ability of subjects to partially recall the acquired word form</w:t>
      </w:r>
      <w:r w:rsidRPr="00CE0EBA">
        <w:t>s even without any cues.</w:t>
      </w:r>
      <w:r>
        <w:t xml:space="preserve"> </w:t>
      </w:r>
      <w:r w:rsidR="0087344F" w:rsidRPr="00CE0EBA">
        <w:t>In this task, there were n</w:t>
      </w:r>
      <w:r w:rsidR="0087344F">
        <w:t>either</w:t>
      </w:r>
      <w:r w:rsidR="0087344F" w:rsidRPr="00CE0EBA">
        <w:t xml:space="preserve"> within-group differences between target item types </w:t>
      </w:r>
      <w:r w:rsidR="0087344F">
        <w:t>n</w:t>
      </w:r>
      <w:r w:rsidR="0087344F" w:rsidRPr="00CE0EBA">
        <w:t xml:space="preserve">or, </w:t>
      </w:r>
      <w:proofErr w:type="gramStart"/>
      <w:r w:rsidR="0087344F" w:rsidRPr="00CE0EBA">
        <w:t>in spite of</w:t>
      </w:r>
      <w:proofErr w:type="gramEnd"/>
      <w:r w:rsidR="0087344F" w:rsidRPr="00CE0EBA">
        <w:t xml:space="preserve"> visually observed numerical differences, significant between-group </w:t>
      </w:r>
      <w:r w:rsidR="00441834" w:rsidRPr="00873B0F">
        <w:rPr>
          <w:u w:val="single"/>
        </w:rPr>
        <w:t>main</w:t>
      </w:r>
      <w:r w:rsidR="00441834">
        <w:t xml:space="preserve"> </w:t>
      </w:r>
      <w:r w:rsidR="0087344F" w:rsidRPr="00CE0EBA">
        <w:t>effects.</w:t>
      </w:r>
      <w:r w:rsidR="0087344F" w:rsidRPr="00ED41AA">
        <w:t xml:space="preserve"> Between-day analysis, </w:t>
      </w:r>
      <w:r w:rsidR="0087344F" w:rsidRPr="00CE0EBA">
        <w:t>however, revealed that accuracy for new concrete and abstract words on the first day was significantly higher than on the second day for sham</w:t>
      </w:r>
      <w:r w:rsidR="007567B7">
        <w:t xml:space="preserve"> </w:t>
      </w:r>
      <w:r w:rsidR="007567B7" w:rsidRPr="00873B0F">
        <w:rPr>
          <w:u w:val="single"/>
        </w:rPr>
        <w:t>(p=</w:t>
      </w:r>
      <w:r w:rsidR="00384505" w:rsidRPr="00873B0F">
        <w:rPr>
          <w:u w:val="single"/>
        </w:rPr>
        <w:t>0.</w:t>
      </w:r>
      <w:r w:rsidR="007805BB" w:rsidRPr="00873B0F">
        <w:rPr>
          <w:u w:val="single"/>
        </w:rPr>
        <w:t>006</w:t>
      </w:r>
      <w:r w:rsidR="007567B7" w:rsidRPr="00873B0F">
        <w:rPr>
          <w:u w:val="single"/>
        </w:rPr>
        <w:t>, Z=</w:t>
      </w:r>
      <w:r w:rsidR="00384505" w:rsidRPr="00873B0F">
        <w:rPr>
          <w:u w:val="single"/>
        </w:rPr>
        <w:t>2.9 for concrete and p=0.00</w:t>
      </w:r>
      <w:r w:rsidR="007805BB" w:rsidRPr="00873B0F">
        <w:rPr>
          <w:u w:val="single"/>
        </w:rPr>
        <w:t>6</w:t>
      </w:r>
      <w:r w:rsidR="00384505" w:rsidRPr="00873B0F">
        <w:rPr>
          <w:u w:val="single"/>
        </w:rPr>
        <w:t>, Z=3.1 for abstract words</w:t>
      </w:r>
      <w:r w:rsidR="007567B7" w:rsidRPr="00873B0F">
        <w:rPr>
          <w:u w:val="single"/>
        </w:rPr>
        <w:t>)</w:t>
      </w:r>
      <w:r w:rsidR="0087344F" w:rsidRPr="00CE0EBA">
        <w:t xml:space="preserve"> and anodal </w:t>
      </w:r>
      <w:r w:rsidR="007567B7" w:rsidRPr="00873B0F">
        <w:rPr>
          <w:u w:val="single"/>
        </w:rPr>
        <w:t>(p=</w:t>
      </w:r>
      <w:r w:rsidR="00ED4712" w:rsidRPr="00873B0F">
        <w:rPr>
          <w:u w:val="single"/>
        </w:rPr>
        <w:t>0.</w:t>
      </w:r>
      <w:r w:rsidR="007805BB" w:rsidRPr="00873B0F">
        <w:rPr>
          <w:u w:val="single"/>
        </w:rPr>
        <w:t>006</w:t>
      </w:r>
      <w:r w:rsidR="007567B7" w:rsidRPr="00873B0F">
        <w:rPr>
          <w:u w:val="single"/>
        </w:rPr>
        <w:t>, Z=</w:t>
      </w:r>
      <w:r w:rsidR="00C24E93" w:rsidRPr="00873B0F">
        <w:rPr>
          <w:u w:val="single"/>
        </w:rPr>
        <w:t>3.0</w:t>
      </w:r>
      <w:r w:rsidR="00ED4712" w:rsidRPr="00873B0F">
        <w:rPr>
          <w:u w:val="single"/>
        </w:rPr>
        <w:t xml:space="preserve"> for concrete and p=0.</w:t>
      </w:r>
      <w:r w:rsidR="00C24E93" w:rsidRPr="00873B0F">
        <w:rPr>
          <w:u w:val="single"/>
        </w:rPr>
        <w:t>006</w:t>
      </w:r>
      <w:r w:rsidR="00ED4712" w:rsidRPr="00873B0F">
        <w:rPr>
          <w:u w:val="single"/>
        </w:rPr>
        <w:t>, Z=</w:t>
      </w:r>
      <w:r w:rsidR="00C24E93" w:rsidRPr="00873B0F">
        <w:rPr>
          <w:u w:val="single"/>
        </w:rPr>
        <w:t>3.0</w:t>
      </w:r>
      <w:r w:rsidR="00ED4712" w:rsidRPr="00873B0F">
        <w:rPr>
          <w:u w:val="single"/>
        </w:rPr>
        <w:t xml:space="preserve"> for abstract words</w:t>
      </w:r>
      <w:r w:rsidR="007567B7" w:rsidRPr="00873B0F">
        <w:rPr>
          <w:u w:val="single"/>
        </w:rPr>
        <w:t>)</w:t>
      </w:r>
      <w:r w:rsidR="007567B7">
        <w:t xml:space="preserve"> </w:t>
      </w:r>
      <w:r w:rsidR="0087344F" w:rsidRPr="00CE0EBA">
        <w:t>stimulation. At the same time</w:t>
      </w:r>
      <w:r w:rsidR="0087344F" w:rsidRPr="00ED41AA">
        <w:t>, in the cathoda</w:t>
      </w:r>
      <w:r w:rsidR="0087344F" w:rsidRPr="00CE0EBA">
        <w:t xml:space="preserve">l group, </w:t>
      </w:r>
      <w:r w:rsidR="0087344F" w:rsidRPr="00ED41AA">
        <w:t>th</w:t>
      </w:r>
      <w:r w:rsidR="0087344F" w:rsidRPr="00CE0EBA">
        <w:t>e</w:t>
      </w:r>
      <w:r w:rsidR="0087344F" w:rsidRPr="00ED41AA">
        <w:t xml:space="preserve"> </w:t>
      </w:r>
      <w:r w:rsidR="0087344F" w:rsidRPr="00CE0EBA">
        <w:t>performance</w:t>
      </w:r>
      <w:r w:rsidR="0087344F" w:rsidRPr="00ED41AA">
        <w:t xml:space="preserve"> </w:t>
      </w:r>
      <w:r w:rsidR="0087344F" w:rsidRPr="00CE0EBA">
        <w:t xml:space="preserve">drop </w:t>
      </w:r>
      <w:r w:rsidR="0087344F" w:rsidRPr="00ED41AA">
        <w:t>between days of assessment was n</w:t>
      </w:r>
      <w:r w:rsidR="0087344F" w:rsidRPr="00CE0EBA">
        <w:t xml:space="preserve">ot significant </w:t>
      </w:r>
      <w:r w:rsidR="0087344F" w:rsidRPr="00ED41AA">
        <w:t xml:space="preserve">for the </w:t>
      </w:r>
      <w:r w:rsidR="0087344F" w:rsidRPr="00CE0EBA">
        <w:t xml:space="preserve">novel </w:t>
      </w:r>
      <w:r w:rsidR="0087344F" w:rsidRPr="00ED41AA">
        <w:t>words of either of two types, p</w:t>
      </w:r>
      <w:r w:rsidR="0087344F" w:rsidRPr="00CE0EBA">
        <w:t xml:space="preserve">otentially suggesting an enhanced effect of cathodal </w:t>
      </w:r>
      <w:proofErr w:type="spellStart"/>
      <w:r w:rsidR="0087344F" w:rsidRPr="00CE0EBA">
        <w:t>tDCS</w:t>
      </w:r>
      <w:proofErr w:type="spellEnd"/>
      <w:r w:rsidR="0087344F" w:rsidRPr="00CE0EBA">
        <w:t xml:space="preserve"> of Wernicke’s area on </w:t>
      </w:r>
      <w:r w:rsidR="00FB6382">
        <w:t xml:space="preserve">the </w:t>
      </w:r>
      <w:r w:rsidR="0087344F" w:rsidRPr="00CE0EBA">
        <w:t>consolidation of novel lexical representations in the long-term memory</w:t>
      </w:r>
      <w:r w:rsidR="0087344F" w:rsidRPr="00ED41AA">
        <w:t xml:space="preserve">. </w:t>
      </w:r>
      <w:r w:rsidR="006A76EA" w:rsidRPr="00873B0F">
        <w:rPr>
          <w:u w:val="single"/>
        </w:rPr>
        <w:t xml:space="preserve">F1 ANOVA revealed significant </w:t>
      </w:r>
      <w:r w:rsidR="00441834" w:rsidRPr="00873B0F">
        <w:rPr>
          <w:u w:val="single"/>
        </w:rPr>
        <w:t xml:space="preserve">main </w:t>
      </w:r>
      <w:r w:rsidR="006A76EA" w:rsidRPr="00873B0F">
        <w:rPr>
          <w:u w:val="single"/>
        </w:rPr>
        <w:t xml:space="preserve">effect of Day (F(1;69)=93.364; p=0.0001; ηp²=0.576), confirmed by </w:t>
      </w:r>
      <w:r w:rsidR="008A625C" w:rsidRPr="00873B0F">
        <w:rPr>
          <w:u w:val="single"/>
        </w:rPr>
        <w:t xml:space="preserve">F2 ANOVA </w:t>
      </w:r>
      <w:r w:rsidR="000B2215" w:rsidRPr="00873B0F">
        <w:rPr>
          <w:u w:val="single"/>
        </w:rPr>
        <w:t>(F(1;29)=86.603; p=0.000</w:t>
      </w:r>
      <w:r w:rsidR="006A76EA" w:rsidRPr="00873B0F">
        <w:rPr>
          <w:u w:val="single"/>
        </w:rPr>
        <w:t>1</w:t>
      </w:r>
      <w:r w:rsidR="000B2215" w:rsidRPr="00873B0F">
        <w:rPr>
          <w:u w:val="single"/>
        </w:rPr>
        <w:t xml:space="preserve">; </w:t>
      </w:r>
      <w:r w:rsidR="006A76EA" w:rsidRPr="00873B0F">
        <w:rPr>
          <w:u w:val="single"/>
        </w:rPr>
        <w:t>ηp²</w:t>
      </w:r>
      <w:r w:rsidR="000B2215" w:rsidRPr="00873B0F">
        <w:rPr>
          <w:u w:val="single"/>
        </w:rPr>
        <w:t>=0.749)</w:t>
      </w:r>
      <w:r w:rsidR="00441834" w:rsidRPr="00873B0F">
        <w:rPr>
          <w:u w:val="single"/>
        </w:rPr>
        <w:t xml:space="preserve"> and reflecting the overall drop in performance between days</w:t>
      </w:r>
      <w:r w:rsidR="000B2215" w:rsidRPr="00873B0F">
        <w:rPr>
          <w:u w:val="single"/>
        </w:rPr>
        <w:t xml:space="preserve">. </w:t>
      </w:r>
    </w:p>
    <w:p w14:paraId="41E89C69" w14:textId="424912B9" w:rsidR="00EF7D6E" w:rsidRDefault="009D14CD" w:rsidP="006400D9">
      <w:pPr>
        <w:pStyle w:val="a3"/>
        <w:tabs>
          <w:tab w:val="left" w:pos="1173"/>
          <w:tab w:val="center" w:pos="5124"/>
        </w:tabs>
        <w:spacing w:before="102" w:line="249" w:lineRule="auto"/>
        <w:ind w:right="138"/>
        <w:jc w:val="center"/>
      </w:pPr>
      <w:r w:rsidRPr="009D14CD">
        <w:rPr>
          <w:noProof/>
          <w:lang w:bidi="ar-SA"/>
        </w:rPr>
        <w:lastRenderedPageBreak/>
        <w:drawing>
          <wp:anchor distT="0" distB="0" distL="114300" distR="114300" simplePos="0" relativeHeight="251661312" behindDoc="0" locked="0" layoutInCell="1" allowOverlap="1" wp14:anchorId="42D3E977" wp14:editId="07E19D2B">
            <wp:simplePos x="0" y="0"/>
            <wp:positionH relativeFrom="column">
              <wp:posOffset>0</wp:posOffset>
            </wp:positionH>
            <wp:positionV relativeFrom="paragraph">
              <wp:posOffset>0</wp:posOffset>
            </wp:positionV>
            <wp:extent cx="6506845" cy="3051175"/>
            <wp:effectExtent l="0" t="0" r="0" b="0"/>
            <wp:wrapThrough wrapText="bothSides">
              <wp:wrapPolygon edited="0">
                <wp:start x="0" y="0"/>
                <wp:lineTo x="0" y="21398"/>
                <wp:lineTo x="21501" y="21398"/>
                <wp:lineTo x="21501" y="0"/>
                <wp:lineTo x="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6845" cy="305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D6E">
        <w:rPr>
          <w:rFonts w:ascii="Arial"/>
          <w:b/>
        </w:rPr>
        <w:t xml:space="preserve">Figure 2. </w:t>
      </w:r>
      <w:r w:rsidR="00EF7D6E" w:rsidRPr="00CE0EBA">
        <w:t>Accuracy in the free recall task for novel concrete and abstract words immediately after learning (Day 1) and following an overnight sleep (Day 2). Error bars denote 95% confidence intervals.</w:t>
      </w:r>
    </w:p>
    <w:p w14:paraId="76D61650" w14:textId="77777777" w:rsidR="005A5F4B" w:rsidRDefault="005A5F4B" w:rsidP="005A5F4B">
      <w:pPr>
        <w:spacing w:before="228"/>
        <w:ind w:left="133"/>
        <w:rPr>
          <w:rFonts w:ascii="Arial"/>
          <w:b/>
          <w:sz w:val="20"/>
        </w:rPr>
      </w:pPr>
      <w:r w:rsidRPr="005A5F4B">
        <w:rPr>
          <w:rFonts w:ascii="Arial"/>
          <w:b/>
          <w:sz w:val="20"/>
        </w:rPr>
        <w:t>Free-form Definition</w:t>
      </w:r>
    </w:p>
    <w:p w14:paraId="0E22F786" w14:textId="51095E2B" w:rsidR="005A5F4B" w:rsidRPr="007369F0" w:rsidRDefault="000E4620" w:rsidP="004E02D4">
      <w:pPr>
        <w:pStyle w:val="a3"/>
        <w:spacing w:before="102" w:line="249" w:lineRule="auto"/>
        <w:ind w:left="126" w:right="138" w:firstLine="7"/>
        <w:jc w:val="both"/>
        <w:rPr>
          <w:u w:val="single"/>
        </w:rPr>
      </w:pPr>
      <w:r w:rsidRPr="00873B0F">
        <w:rPr>
          <w:u w:val="single"/>
        </w:rPr>
        <w:t>In the free-form definition task</w:t>
      </w:r>
      <w:r w:rsidR="00FB6382" w:rsidRPr="00873B0F">
        <w:rPr>
          <w:u w:val="single"/>
        </w:rPr>
        <w:t>,</w:t>
      </w:r>
      <w:r w:rsidRPr="00873B0F">
        <w:rPr>
          <w:u w:val="single"/>
        </w:rPr>
        <w:t xml:space="preserve"> two parameters were </w:t>
      </w:r>
      <w:proofErr w:type="spellStart"/>
      <w:r w:rsidRPr="00873B0F">
        <w:rPr>
          <w:u w:val="single"/>
        </w:rPr>
        <w:t>analysed</w:t>
      </w:r>
      <w:proofErr w:type="spellEnd"/>
      <w:r w:rsidRPr="00873B0F">
        <w:rPr>
          <w:u w:val="single"/>
        </w:rPr>
        <w:t>: definition accuracy (Figure 3) and definition quality (Figure 4)</w:t>
      </w:r>
      <w:r w:rsidR="0001318B" w:rsidRPr="00873B0F">
        <w:rPr>
          <w:u w:val="single"/>
        </w:rPr>
        <w:t xml:space="preserve">. </w:t>
      </w:r>
      <w:r w:rsidR="00441834" w:rsidRPr="00873B0F">
        <w:rPr>
          <w:u w:val="single"/>
        </w:rPr>
        <w:t xml:space="preserve">Three-way </w:t>
      </w:r>
      <w:r w:rsidR="009F38F9" w:rsidRPr="00873B0F">
        <w:rPr>
          <w:u w:val="single"/>
        </w:rPr>
        <w:t xml:space="preserve">F1 </w:t>
      </w:r>
      <w:r w:rsidR="005A5F4B" w:rsidRPr="00873B0F">
        <w:rPr>
          <w:u w:val="single"/>
        </w:rPr>
        <w:t xml:space="preserve">ANOVA </w:t>
      </w:r>
      <w:r w:rsidR="00441834" w:rsidRPr="00873B0F">
        <w:rPr>
          <w:u w:val="single"/>
        </w:rPr>
        <w:t>(with factors Day, Group</w:t>
      </w:r>
      <w:r w:rsidR="00276954">
        <w:rPr>
          <w:u w:val="single"/>
        </w:rPr>
        <w:t>,</w:t>
      </w:r>
      <w:r w:rsidR="00441834" w:rsidRPr="00873B0F">
        <w:rPr>
          <w:u w:val="single"/>
        </w:rPr>
        <w:t xml:space="preserve"> and Type) </w:t>
      </w:r>
      <w:r w:rsidR="005A5F4B" w:rsidRPr="00873B0F">
        <w:rPr>
          <w:u w:val="single"/>
        </w:rPr>
        <w:t xml:space="preserve">revealed the main effect of </w:t>
      </w:r>
      <w:r w:rsidR="00110F1F" w:rsidRPr="00873B0F">
        <w:rPr>
          <w:u w:val="single"/>
        </w:rPr>
        <w:t>Day</w:t>
      </w:r>
      <w:r w:rsidR="00BF1553" w:rsidRPr="00873B0F">
        <w:rPr>
          <w:u w:val="single"/>
        </w:rPr>
        <w:t xml:space="preserve"> (</w:t>
      </w:r>
      <w:r w:rsidR="00F845C1" w:rsidRPr="00873B0F">
        <w:rPr>
          <w:u w:val="single"/>
        </w:rPr>
        <w:t>F(1; 69)=38.165</w:t>
      </w:r>
      <w:r w:rsidR="00C001AD" w:rsidRPr="00873B0F">
        <w:rPr>
          <w:u w:val="single"/>
        </w:rPr>
        <w:t xml:space="preserve">; </w:t>
      </w:r>
      <w:r w:rsidR="00BF1553" w:rsidRPr="00873B0F">
        <w:rPr>
          <w:u w:val="single"/>
        </w:rPr>
        <w:t>p=0.000</w:t>
      </w:r>
      <w:r w:rsidR="000F3013" w:rsidRPr="00873B0F">
        <w:rPr>
          <w:u w:val="single"/>
        </w:rPr>
        <w:t>1</w:t>
      </w:r>
      <w:r w:rsidR="00F845C1" w:rsidRPr="00873B0F">
        <w:rPr>
          <w:u w:val="single"/>
        </w:rPr>
        <w:t xml:space="preserve">; </w:t>
      </w:r>
      <w:r w:rsidR="006A76EA" w:rsidRPr="00873B0F">
        <w:rPr>
          <w:u w:val="single"/>
        </w:rPr>
        <w:t>ηp²</w:t>
      </w:r>
      <w:r w:rsidR="00F845C1" w:rsidRPr="00873B0F">
        <w:rPr>
          <w:u w:val="single"/>
        </w:rPr>
        <w:t>=0.356</w:t>
      </w:r>
      <w:r w:rsidR="00C001AD" w:rsidRPr="00873B0F">
        <w:rPr>
          <w:u w:val="single"/>
        </w:rPr>
        <w:t>)</w:t>
      </w:r>
      <w:r w:rsidR="003C69CB" w:rsidRPr="00873B0F">
        <w:rPr>
          <w:u w:val="single"/>
        </w:rPr>
        <w:t xml:space="preserve"> for </w:t>
      </w:r>
      <w:r w:rsidR="003C69CB" w:rsidRPr="00873B0F">
        <w:rPr>
          <w:i/>
          <w:iCs/>
          <w:u w:val="single"/>
        </w:rPr>
        <w:t>definition accuracy</w:t>
      </w:r>
      <w:r w:rsidR="00441834" w:rsidRPr="00873B0F">
        <w:rPr>
          <w:u w:val="single"/>
        </w:rPr>
        <w:t>,</w:t>
      </w:r>
      <w:r w:rsidR="006A76EA" w:rsidRPr="00873B0F">
        <w:rPr>
          <w:u w:val="single"/>
        </w:rPr>
        <w:t xml:space="preserve"> although the</w:t>
      </w:r>
      <w:r w:rsidR="003C69CB" w:rsidRPr="00873B0F">
        <w:rPr>
          <w:u w:val="single"/>
        </w:rPr>
        <w:t xml:space="preserve"> interaction between </w:t>
      </w:r>
      <w:r w:rsidR="00441834" w:rsidRPr="00873B0F">
        <w:rPr>
          <w:u w:val="single"/>
        </w:rPr>
        <w:t xml:space="preserve">the </w:t>
      </w:r>
      <w:r w:rsidR="003C69CB" w:rsidRPr="00873B0F">
        <w:rPr>
          <w:u w:val="single"/>
        </w:rPr>
        <w:t>factors</w:t>
      </w:r>
      <w:r w:rsidR="004A45EF" w:rsidRPr="00873B0F">
        <w:rPr>
          <w:u w:val="single"/>
        </w:rPr>
        <w:t xml:space="preserve"> </w:t>
      </w:r>
      <w:r w:rsidR="006A76EA" w:rsidRPr="00873B0F">
        <w:rPr>
          <w:u w:val="single"/>
        </w:rPr>
        <w:t>did not reach significance</w:t>
      </w:r>
      <w:r w:rsidR="003C69CB" w:rsidRPr="00873B0F">
        <w:rPr>
          <w:u w:val="single"/>
        </w:rPr>
        <w:t xml:space="preserve">. </w:t>
      </w:r>
      <w:r w:rsidR="00441834" w:rsidRPr="00873B0F">
        <w:rPr>
          <w:u w:val="single"/>
        </w:rPr>
        <w:t>To investigate this</w:t>
      </w:r>
      <w:r w:rsidR="00276954">
        <w:rPr>
          <w:u w:val="single"/>
        </w:rPr>
        <w:t xml:space="preserve"> </w:t>
      </w:r>
      <w:r w:rsidR="00441834" w:rsidRPr="00873B0F">
        <w:rPr>
          <w:u w:val="single"/>
        </w:rPr>
        <w:t>Day 1 vs. Day 2 difference fu</w:t>
      </w:r>
      <w:r w:rsidR="00276954">
        <w:rPr>
          <w:u w:val="single"/>
        </w:rPr>
        <w:t>r</w:t>
      </w:r>
      <w:r w:rsidR="00441834" w:rsidRPr="00873B0F">
        <w:rPr>
          <w:u w:val="single"/>
        </w:rPr>
        <w:t>ther</w:t>
      </w:r>
      <w:r w:rsidR="003C69CB" w:rsidRPr="00276954">
        <w:rPr>
          <w:u w:val="single"/>
        </w:rPr>
        <w:t xml:space="preserve">, </w:t>
      </w:r>
      <w:r w:rsidR="008F30A3" w:rsidRPr="00276954">
        <w:rPr>
          <w:u w:val="single"/>
        </w:rPr>
        <w:t>ANOVA for each day of assessment was implemented separately</w:t>
      </w:r>
      <w:r w:rsidR="004E02D4" w:rsidRPr="00276954">
        <w:rPr>
          <w:u w:val="single"/>
        </w:rPr>
        <w:t xml:space="preserve">. </w:t>
      </w:r>
      <w:r w:rsidR="00FB6382" w:rsidRPr="00276954">
        <w:rPr>
          <w:u w:val="single"/>
        </w:rPr>
        <w:t xml:space="preserve">The </w:t>
      </w:r>
      <w:r w:rsidR="003C69CB" w:rsidRPr="00276954">
        <w:rPr>
          <w:u w:val="single"/>
        </w:rPr>
        <w:t>main effect of</w:t>
      </w:r>
      <w:r w:rsidR="00BF1553" w:rsidRPr="00276954">
        <w:rPr>
          <w:u w:val="single"/>
        </w:rPr>
        <w:t xml:space="preserve"> </w:t>
      </w:r>
      <w:r w:rsidR="00110F1F" w:rsidRPr="00276954">
        <w:rPr>
          <w:u w:val="single"/>
        </w:rPr>
        <w:t xml:space="preserve">the </w:t>
      </w:r>
      <w:r w:rsidR="004A45EF" w:rsidRPr="00276954">
        <w:rPr>
          <w:u w:val="single"/>
        </w:rPr>
        <w:t>G</w:t>
      </w:r>
      <w:r w:rsidR="00110F1F" w:rsidRPr="00276954">
        <w:rPr>
          <w:u w:val="single"/>
        </w:rPr>
        <w:t>roup</w:t>
      </w:r>
      <w:r w:rsidR="004A45EF" w:rsidRPr="00276954">
        <w:rPr>
          <w:u w:val="single"/>
        </w:rPr>
        <w:t xml:space="preserve"> </w:t>
      </w:r>
      <w:r w:rsidR="006A76EA" w:rsidRPr="00276954">
        <w:rPr>
          <w:u w:val="single"/>
        </w:rPr>
        <w:t xml:space="preserve">factor </w:t>
      </w:r>
      <w:r w:rsidR="004E02D4" w:rsidRPr="00276954">
        <w:rPr>
          <w:u w:val="single"/>
        </w:rPr>
        <w:t xml:space="preserve">was </w:t>
      </w:r>
      <w:r w:rsidR="005A5F4B" w:rsidRPr="00276954">
        <w:rPr>
          <w:u w:val="single"/>
        </w:rPr>
        <w:t>manifest</w:t>
      </w:r>
      <w:r w:rsidR="004E02D4" w:rsidRPr="00276954">
        <w:rPr>
          <w:u w:val="single"/>
        </w:rPr>
        <w:t>ed</w:t>
      </w:r>
      <w:r w:rsidR="005A5F4B" w:rsidRPr="00276954">
        <w:rPr>
          <w:u w:val="single"/>
        </w:rPr>
        <w:t xml:space="preserve"> as higher accuracy </w:t>
      </w:r>
      <w:r w:rsidR="00A074ED" w:rsidRPr="00276954">
        <w:rPr>
          <w:u w:val="single"/>
        </w:rPr>
        <w:t>(</w:t>
      </w:r>
      <w:proofErr w:type="gramStart"/>
      <w:r w:rsidR="00A074ED" w:rsidRPr="00276954">
        <w:rPr>
          <w:u w:val="single"/>
        </w:rPr>
        <w:t>F(</w:t>
      </w:r>
      <w:proofErr w:type="gramEnd"/>
      <w:r w:rsidR="00A074ED" w:rsidRPr="00276954">
        <w:rPr>
          <w:u w:val="single"/>
        </w:rPr>
        <w:t>2</w:t>
      </w:r>
      <w:r w:rsidR="00A13A9E" w:rsidRPr="00276954">
        <w:rPr>
          <w:u w:val="single"/>
        </w:rPr>
        <w:t>; 69)=</w:t>
      </w:r>
      <w:r w:rsidR="00C9613E" w:rsidRPr="00276954">
        <w:rPr>
          <w:u w:val="single"/>
        </w:rPr>
        <w:t>3</w:t>
      </w:r>
      <w:r w:rsidR="005A5F4B" w:rsidRPr="00276954">
        <w:rPr>
          <w:u w:val="single"/>
        </w:rPr>
        <w:t>.</w:t>
      </w:r>
      <w:r w:rsidR="007B38BA" w:rsidRPr="00276954">
        <w:rPr>
          <w:u w:val="single"/>
        </w:rPr>
        <w:t>2</w:t>
      </w:r>
      <w:r w:rsidR="007F3EA9" w:rsidRPr="00276954">
        <w:rPr>
          <w:u w:val="single"/>
        </w:rPr>
        <w:t>07; p=0.047</w:t>
      </w:r>
      <w:r w:rsidR="009476DC" w:rsidRPr="00276954">
        <w:rPr>
          <w:u w:val="single"/>
        </w:rPr>
        <w:t xml:space="preserve">; </w:t>
      </w:r>
      <w:r w:rsidR="006A76EA" w:rsidRPr="00276954">
        <w:rPr>
          <w:u w:val="single"/>
        </w:rPr>
        <w:t>ηp²</w:t>
      </w:r>
      <w:r w:rsidR="009476DC" w:rsidRPr="00276954">
        <w:rPr>
          <w:sz w:val="22"/>
          <w:szCs w:val="22"/>
          <w:u w:val="single"/>
        </w:rPr>
        <w:t>=</w:t>
      </w:r>
      <w:r w:rsidR="007B38BA" w:rsidRPr="00276954">
        <w:rPr>
          <w:sz w:val="22"/>
          <w:szCs w:val="22"/>
          <w:u w:val="single"/>
        </w:rPr>
        <w:t>0.0</w:t>
      </w:r>
      <w:r w:rsidR="00594DAD" w:rsidRPr="00276954">
        <w:rPr>
          <w:sz w:val="22"/>
          <w:szCs w:val="22"/>
          <w:u w:val="single"/>
        </w:rPr>
        <w:t>8</w:t>
      </w:r>
      <w:r w:rsidR="007F3EA9" w:rsidRPr="00276954">
        <w:rPr>
          <w:sz w:val="22"/>
          <w:szCs w:val="22"/>
          <w:u w:val="single"/>
        </w:rPr>
        <w:t>5</w:t>
      </w:r>
      <w:r w:rsidR="005A5F4B" w:rsidRPr="00276954">
        <w:rPr>
          <w:u w:val="single"/>
        </w:rPr>
        <w:t xml:space="preserve">) on the second day of </w:t>
      </w:r>
      <w:r w:rsidR="00FB6382" w:rsidRPr="00276954">
        <w:rPr>
          <w:u w:val="single"/>
        </w:rPr>
        <w:t xml:space="preserve">the </w:t>
      </w:r>
      <w:r w:rsidR="005A5F4B" w:rsidRPr="00276954">
        <w:rPr>
          <w:u w:val="single"/>
        </w:rPr>
        <w:t xml:space="preserve">assessment, but not on the first one. Following this up with a one-to-one between-group comparison for each semantics type, we found </w:t>
      </w:r>
      <w:r w:rsidR="005A5F4B" w:rsidRPr="00276954">
        <w:rPr>
          <w:color w:val="000000" w:themeColor="text1"/>
          <w:u w:val="single"/>
        </w:rPr>
        <w:t xml:space="preserve">an overall better performance in the accuracy for novel abstract words on Day 2 for the cathodal </w:t>
      </w:r>
      <w:r w:rsidR="009A6E4A" w:rsidRPr="00276954">
        <w:rPr>
          <w:color w:val="000000" w:themeColor="text1"/>
          <w:u w:val="single"/>
        </w:rPr>
        <w:t xml:space="preserve">group </w:t>
      </w:r>
      <w:r w:rsidR="00D90167" w:rsidRPr="00276954">
        <w:rPr>
          <w:color w:val="000000" w:themeColor="text1"/>
          <w:u w:val="single"/>
        </w:rPr>
        <w:t>(p=0.024</w:t>
      </w:r>
      <w:r w:rsidR="005A5F4B" w:rsidRPr="00276954">
        <w:rPr>
          <w:color w:val="000000" w:themeColor="text1"/>
          <w:u w:val="single"/>
        </w:rPr>
        <w:t xml:space="preserve">, </w:t>
      </w:r>
      <w:r w:rsidR="00222A35" w:rsidRPr="00276954">
        <w:rPr>
          <w:color w:val="000000" w:themeColor="text1"/>
          <w:u w:val="single"/>
        </w:rPr>
        <w:t>Z=2.</w:t>
      </w:r>
      <w:r w:rsidR="000432C6" w:rsidRPr="00276954">
        <w:rPr>
          <w:color w:val="000000" w:themeColor="text1"/>
          <w:u w:val="single"/>
        </w:rPr>
        <w:t>6</w:t>
      </w:r>
      <w:r w:rsidR="005A5F4B" w:rsidRPr="00276954">
        <w:rPr>
          <w:color w:val="000000" w:themeColor="text1"/>
          <w:u w:val="single"/>
        </w:rPr>
        <w:t>)</w:t>
      </w:r>
      <w:r w:rsidR="006A76EA" w:rsidRPr="00276954">
        <w:rPr>
          <w:color w:val="000000" w:themeColor="text1"/>
          <w:u w:val="single"/>
        </w:rPr>
        <w:t xml:space="preserve"> c</w:t>
      </w:r>
      <w:r w:rsidR="005A5F4B" w:rsidRPr="00276954">
        <w:rPr>
          <w:color w:val="000000" w:themeColor="text1"/>
          <w:u w:val="single"/>
        </w:rPr>
        <w:t>ompared with the sham group</w:t>
      </w:r>
      <w:r w:rsidR="006A76EA" w:rsidRPr="00276954">
        <w:rPr>
          <w:color w:val="000000" w:themeColor="text1"/>
          <w:u w:val="single"/>
        </w:rPr>
        <w:t>; no similar effect was found for the anodal condition</w:t>
      </w:r>
      <w:r w:rsidR="005A5F4B" w:rsidRPr="00276954">
        <w:rPr>
          <w:color w:val="000000" w:themeColor="text1"/>
          <w:u w:val="single"/>
        </w:rPr>
        <w:t>.</w:t>
      </w:r>
    </w:p>
    <w:p w14:paraId="0A988349" w14:textId="60DBB1AE" w:rsidR="000E4620" w:rsidRDefault="005B1F19" w:rsidP="005A5F4B">
      <w:pPr>
        <w:pStyle w:val="a3"/>
        <w:spacing w:before="102" w:line="249" w:lineRule="auto"/>
        <w:ind w:left="126" w:right="138" w:firstLine="7"/>
        <w:jc w:val="both"/>
        <w:rPr>
          <w:color w:val="000000" w:themeColor="text1"/>
        </w:rPr>
      </w:pPr>
      <w:r w:rsidRPr="00873B0F">
        <w:rPr>
          <w:color w:val="000000" w:themeColor="text1"/>
          <w:u w:val="single"/>
        </w:rPr>
        <w:t xml:space="preserve">Post-hoc </w:t>
      </w:r>
      <w:r w:rsidR="003E34A1" w:rsidRPr="00873B0F">
        <w:rPr>
          <w:color w:val="000000" w:themeColor="text1"/>
          <w:u w:val="single"/>
        </w:rPr>
        <w:t xml:space="preserve">Day 2 </w:t>
      </w:r>
      <w:r w:rsidR="00441834" w:rsidRPr="00873B0F">
        <w:rPr>
          <w:color w:val="000000" w:themeColor="text1"/>
          <w:u w:val="single"/>
        </w:rPr>
        <w:t>vs. Day 1</w:t>
      </w:r>
      <w:r w:rsidR="003E34A1" w:rsidRPr="00873B0F">
        <w:rPr>
          <w:color w:val="000000" w:themeColor="text1"/>
          <w:u w:val="single"/>
        </w:rPr>
        <w:t xml:space="preserve"> comparison</w:t>
      </w:r>
      <w:r w:rsidR="00441834" w:rsidRPr="00873B0F">
        <w:rPr>
          <w:color w:val="000000" w:themeColor="text1"/>
          <w:u w:val="single"/>
        </w:rPr>
        <w:t>s</w:t>
      </w:r>
      <w:r w:rsidR="003E34A1" w:rsidRPr="00873B0F">
        <w:rPr>
          <w:color w:val="000000" w:themeColor="text1"/>
          <w:u w:val="single"/>
        </w:rPr>
        <w:t xml:space="preserve"> </w:t>
      </w:r>
      <w:r w:rsidR="00441834" w:rsidRPr="00873B0F">
        <w:rPr>
          <w:color w:val="000000" w:themeColor="text1"/>
          <w:u w:val="single"/>
        </w:rPr>
        <w:t>also</w:t>
      </w:r>
      <w:r w:rsidR="005A5F4B" w:rsidRPr="00873B0F">
        <w:rPr>
          <w:color w:val="000000" w:themeColor="text1"/>
          <w:u w:val="single"/>
        </w:rPr>
        <w:t xml:space="preserve"> distinguished between the stimulation conditions. Particularly, they showed that accuracy </w:t>
      </w:r>
      <w:r w:rsidR="005A5F4B" w:rsidRPr="007369F0">
        <w:rPr>
          <w:color w:val="000000" w:themeColor="text1"/>
          <w:u w:val="single"/>
        </w:rPr>
        <w:t xml:space="preserve">performance decreased from Day 1 to Day 2 </w:t>
      </w:r>
      <w:r w:rsidR="00D86F82" w:rsidRPr="007369F0">
        <w:rPr>
          <w:color w:val="000000" w:themeColor="text1"/>
          <w:u w:val="single"/>
        </w:rPr>
        <w:t xml:space="preserve">for </w:t>
      </w:r>
      <w:r w:rsidR="005A5F4B" w:rsidRPr="007369F0">
        <w:rPr>
          <w:color w:val="000000" w:themeColor="text1"/>
          <w:u w:val="single"/>
        </w:rPr>
        <w:t xml:space="preserve">abstract </w:t>
      </w:r>
      <w:r w:rsidR="00A36793" w:rsidRPr="007369F0">
        <w:rPr>
          <w:color w:val="000000" w:themeColor="text1"/>
          <w:u w:val="single"/>
        </w:rPr>
        <w:t>concepts (</w:t>
      </w:r>
      <w:r w:rsidR="00A36793" w:rsidRPr="00873B0F">
        <w:rPr>
          <w:color w:val="000000" w:themeColor="text1"/>
          <w:u w:val="single"/>
        </w:rPr>
        <w:t>p=0.006</w:t>
      </w:r>
      <w:r w:rsidR="0001217F" w:rsidRPr="00873B0F">
        <w:rPr>
          <w:color w:val="000000" w:themeColor="text1"/>
          <w:u w:val="single"/>
        </w:rPr>
        <w:t>, Z=3.1)</w:t>
      </w:r>
      <w:r w:rsidR="0001217F" w:rsidRPr="00580A88">
        <w:rPr>
          <w:color w:val="000000" w:themeColor="text1"/>
        </w:rPr>
        <w:t xml:space="preserve"> </w:t>
      </w:r>
      <w:r w:rsidR="005A5F4B" w:rsidRPr="00580A88">
        <w:rPr>
          <w:color w:val="000000" w:themeColor="text1"/>
        </w:rPr>
        <w:t>in the sham</w:t>
      </w:r>
      <w:r w:rsidR="00DC5282" w:rsidRPr="00580A88">
        <w:rPr>
          <w:color w:val="000000" w:themeColor="text1"/>
        </w:rPr>
        <w:t xml:space="preserve"> group</w:t>
      </w:r>
      <w:r w:rsidR="005A5F4B" w:rsidRPr="00580A88">
        <w:rPr>
          <w:color w:val="000000" w:themeColor="text1"/>
        </w:rPr>
        <w:t xml:space="preserve"> and, marginally, in the anodal </w:t>
      </w:r>
      <w:r w:rsidR="00DC5282" w:rsidRPr="00873B0F">
        <w:rPr>
          <w:color w:val="000000" w:themeColor="text1"/>
          <w:u w:val="single"/>
        </w:rPr>
        <w:t>(p=0.06</w:t>
      </w:r>
      <w:r w:rsidR="00614563" w:rsidRPr="00873B0F">
        <w:rPr>
          <w:color w:val="000000" w:themeColor="text1"/>
          <w:u w:val="single"/>
        </w:rPr>
        <w:t>9</w:t>
      </w:r>
      <w:r w:rsidR="000E0F98" w:rsidRPr="00873B0F">
        <w:rPr>
          <w:color w:val="000000" w:themeColor="text1"/>
          <w:u w:val="single"/>
        </w:rPr>
        <w:t>, Z=2.0</w:t>
      </w:r>
      <w:r w:rsidR="005A5F4B" w:rsidRPr="00873B0F">
        <w:rPr>
          <w:color w:val="000000" w:themeColor="text1"/>
          <w:u w:val="single"/>
        </w:rPr>
        <w:t>)</w:t>
      </w:r>
      <w:r w:rsidR="005A5F4B" w:rsidRPr="00580A88">
        <w:rPr>
          <w:color w:val="000000" w:themeColor="text1"/>
        </w:rPr>
        <w:t xml:space="preserve"> groups,</w:t>
      </w:r>
      <w:r w:rsidR="005A5F4B" w:rsidRPr="00646590">
        <w:rPr>
          <w:color w:val="FF0000"/>
        </w:rPr>
        <w:t xml:space="preserve"> </w:t>
      </w:r>
      <w:r w:rsidR="005A5F4B" w:rsidRPr="00580A88">
        <w:rPr>
          <w:color w:val="000000" w:themeColor="text1"/>
        </w:rPr>
        <w:t xml:space="preserve">whereas in the cathodal group this decrease did not take place, suggesting a positive effect of </w:t>
      </w:r>
      <w:r w:rsidR="005A5F4B" w:rsidRPr="007D3F87">
        <w:rPr>
          <w:color w:val="000000" w:themeColor="text1"/>
          <w:u w:val="single"/>
        </w:rPr>
        <w:t>cathodal</w:t>
      </w:r>
      <w:r w:rsidR="005A5F4B" w:rsidRPr="00580A88">
        <w:rPr>
          <w:color w:val="000000" w:themeColor="text1"/>
        </w:rPr>
        <w:t xml:space="preserve"> Wernicke </w:t>
      </w:r>
      <w:proofErr w:type="spellStart"/>
      <w:r w:rsidR="005A5F4B" w:rsidRPr="00580A88">
        <w:rPr>
          <w:color w:val="000000" w:themeColor="text1"/>
        </w:rPr>
        <w:t>tDCS</w:t>
      </w:r>
      <w:proofErr w:type="spellEnd"/>
      <w:r w:rsidR="005A5F4B" w:rsidRPr="00580A88">
        <w:rPr>
          <w:color w:val="000000" w:themeColor="text1"/>
        </w:rPr>
        <w:t xml:space="preserve"> on </w:t>
      </w:r>
      <w:r w:rsidR="00110FEB">
        <w:rPr>
          <w:color w:val="000000" w:themeColor="text1"/>
        </w:rPr>
        <w:t xml:space="preserve">a </w:t>
      </w:r>
      <w:r w:rsidR="005A5F4B" w:rsidRPr="00580A88">
        <w:rPr>
          <w:color w:val="000000" w:themeColor="text1"/>
        </w:rPr>
        <w:t xml:space="preserve">consolidation of new abstract representations. </w:t>
      </w:r>
    </w:p>
    <w:p w14:paraId="097F3C57" w14:textId="3E2E05C8" w:rsidR="00E06E3B" w:rsidRPr="007369F0" w:rsidRDefault="00896AAE" w:rsidP="005A5F4B">
      <w:pPr>
        <w:pStyle w:val="a3"/>
        <w:spacing w:before="102" w:line="249" w:lineRule="auto"/>
        <w:ind w:left="126" w:right="138" w:firstLine="7"/>
        <w:jc w:val="both"/>
        <w:rPr>
          <w:u w:val="single"/>
        </w:rPr>
      </w:pPr>
      <w:r w:rsidRPr="007D3F87">
        <w:rPr>
          <w:color w:val="000000" w:themeColor="text1"/>
          <w:u w:val="single"/>
        </w:rPr>
        <w:t>F2 ANOVA confirmed</w:t>
      </w:r>
      <w:r w:rsidR="00E06E3B" w:rsidRPr="007D3F87">
        <w:rPr>
          <w:color w:val="000000" w:themeColor="text1"/>
          <w:u w:val="single"/>
        </w:rPr>
        <w:t xml:space="preserve"> the effect of </w:t>
      </w:r>
      <w:r w:rsidR="00110F1F" w:rsidRPr="007D3F87">
        <w:rPr>
          <w:color w:val="000000" w:themeColor="text1"/>
          <w:u w:val="single"/>
        </w:rPr>
        <w:t>the factor Day</w:t>
      </w:r>
      <w:r w:rsidR="00E06E3B" w:rsidRPr="007D3F87">
        <w:rPr>
          <w:color w:val="000000" w:themeColor="text1"/>
          <w:u w:val="single"/>
        </w:rPr>
        <w:t xml:space="preserve"> </w:t>
      </w:r>
      <w:r w:rsidR="00E06E3B" w:rsidRPr="007D3F87">
        <w:rPr>
          <w:u w:val="single"/>
        </w:rPr>
        <w:t>(F(1; 29)=23.032; p=0.000</w:t>
      </w:r>
      <w:r w:rsidR="000F3013" w:rsidRPr="007D3F87">
        <w:rPr>
          <w:u w:val="single"/>
        </w:rPr>
        <w:t>1</w:t>
      </w:r>
      <w:r w:rsidR="00E06E3B" w:rsidRPr="007D3F87">
        <w:rPr>
          <w:u w:val="single"/>
        </w:rPr>
        <w:t xml:space="preserve">; </w:t>
      </w:r>
      <w:r w:rsidR="000F3013" w:rsidRPr="007D3F87">
        <w:rPr>
          <w:u w:val="single"/>
        </w:rPr>
        <w:t>ηp²</w:t>
      </w:r>
      <w:r w:rsidR="00E06E3B" w:rsidRPr="007D3F87">
        <w:rPr>
          <w:u w:val="single"/>
        </w:rPr>
        <w:t>=0.443)</w:t>
      </w:r>
      <w:r w:rsidRPr="007D3F87">
        <w:rPr>
          <w:u w:val="single"/>
        </w:rPr>
        <w:t xml:space="preserve"> and also revealed the effect of the </w:t>
      </w:r>
      <w:r w:rsidR="00110F1F" w:rsidRPr="007D3F87">
        <w:rPr>
          <w:u w:val="single"/>
        </w:rPr>
        <w:t>Group</w:t>
      </w:r>
      <w:r w:rsidRPr="007D3F87">
        <w:rPr>
          <w:u w:val="single"/>
        </w:rPr>
        <w:t xml:space="preserve"> (F(2; 58)=8.845; p=0.001; </w:t>
      </w:r>
      <w:r w:rsidR="000F3013" w:rsidRPr="007D3F87">
        <w:rPr>
          <w:u w:val="single"/>
        </w:rPr>
        <w:t>ηp²</w:t>
      </w:r>
      <w:r w:rsidRPr="007D3F87">
        <w:rPr>
          <w:u w:val="single"/>
        </w:rPr>
        <w:t>=0.234)</w:t>
      </w:r>
      <w:r w:rsidR="005B1F19" w:rsidRPr="007D3F87">
        <w:rPr>
          <w:u w:val="single"/>
        </w:rPr>
        <w:t>, which is driven by the generally better performa</w:t>
      </w:r>
      <w:r w:rsidR="00276954">
        <w:rPr>
          <w:u w:val="single"/>
        </w:rPr>
        <w:t>n</w:t>
      </w:r>
      <w:r w:rsidR="005B1F19" w:rsidRPr="007D3F87">
        <w:rPr>
          <w:u w:val="single"/>
        </w:rPr>
        <w:t>ce i</w:t>
      </w:r>
      <w:r w:rsidR="00276954">
        <w:rPr>
          <w:u w:val="single"/>
        </w:rPr>
        <w:t>n</w:t>
      </w:r>
      <w:r w:rsidR="005B1F19" w:rsidRPr="007D3F87">
        <w:rPr>
          <w:u w:val="single"/>
        </w:rPr>
        <w:t xml:space="preserve"> real vs. sham stimulation conditions</w:t>
      </w:r>
      <w:r w:rsidR="00FD368D" w:rsidRPr="007D3F87">
        <w:rPr>
          <w:u w:val="single"/>
        </w:rPr>
        <w:t>.</w:t>
      </w:r>
    </w:p>
    <w:p w14:paraId="289B10AA" w14:textId="7B8A46D7" w:rsidR="000E4620" w:rsidRPr="007D3F87" w:rsidRDefault="000E4620" w:rsidP="000E4620">
      <w:pPr>
        <w:pStyle w:val="a3"/>
        <w:spacing w:before="102" w:line="249" w:lineRule="auto"/>
        <w:ind w:left="126" w:right="138" w:firstLine="7"/>
        <w:jc w:val="both"/>
        <w:rPr>
          <w:color w:val="FF0000"/>
          <w:u w:val="single"/>
        </w:rPr>
      </w:pPr>
      <w:r w:rsidRPr="007D3F87">
        <w:rPr>
          <w:u w:val="single"/>
        </w:rPr>
        <w:t xml:space="preserve">Implemented for </w:t>
      </w:r>
      <w:r w:rsidRPr="007D3F87">
        <w:rPr>
          <w:i/>
          <w:iCs/>
          <w:u w:val="single"/>
        </w:rPr>
        <w:t>definition quality</w:t>
      </w:r>
      <w:r w:rsidR="000F3013" w:rsidRPr="007D3F87">
        <w:rPr>
          <w:u w:val="single"/>
        </w:rPr>
        <w:t>,</w:t>
      </w:r>
      <w:r w:rsidRPr="007D3F87">
        <w:rPr>
          <w:u w:val="single"/>
        </w:rPr>
        <w:t xml:space="preserve"> </w:t>
      </w:r>
      <w:r w:rsidR="009F38F9" w:rsidRPr="007D3F87">
        <w:rPr>
          <w:u w:val="single"/>
        </w:rPr>
        <w:t xml:space="preserve">F1 </w:t>
      </w:r>
      <w:r w:rsidRPr="007D3F87">
        <w:rPr>
          <w:u w:val="single"/>
        </w:rPr>
        <w:t>ANOVA demonstrated significant effect of D</w:t>
      </w:r>
      <w:r w:rsidR="00110F1F" w:rsidRPr="007D3F87">
        <w:rPr>
          <w:u w:val="single"/>
        </w:rPr>
        <w:t>ay</w:t>
      </w:r>
      <w:r w:rsidRPr="007D3F87">
        <w:rPr>
          <w:u w:val="single"/>
        </w:rPr>
        <w:t xml:space="preserve"> (F(1; 69)=</w:t>
      </w:r>
      <w:r w:rsidR="008B6ED0" w:rsidRPr="007D3F87">
        <w:rPr>
          <w:u w:val="single"/>
        </w:rPr>
        <w:t>99.142</w:t>
      </w:r>
      <w:r w:rsidRPr="007D3F87">
        <w:rPr>
          <w:u w:val="single"/>
        </w:rPr>
        <w:t>; p=0.000</w:t>
      </w:r>
      <w:r w:rsidR="000F3013" w:rsidRPr="007D3F87">
        <w:rPr>
          <w:u w:val="single"/>
        </w:rPr>
        <w:t>1</w:t>
      </w:r>
      <w:r w:rsidRPr="007D3F87">
        <w:rPr>
          <w:u w:val="single"/>
        </w:rPr>
        <w:t xml:space="preserve">; </w:t>
      </w:r>
      <w:r w:rsidR="000F3013" w:rsidRPr="007D3F87">
        <w:rPr>
          <w:u w:val="single"/>
        </w:rPr>
        <w:t>ηp²</w:t>
      </w:r>
      <w:r w:rsidR="000F3013" w:rsidRPr="007D3F87" w:rsidDel="006A76EA">
        <w:rPr>
          <w:u w:val="single"/>
        </w:rPr>
        <w:t xml:space="preserve"> </w:t>
      </w:r>
      <w:r w:rsidR="008B6ED0" w:rsidRPr="007D3F87">
        <w:rPr>
          <w:u w:val="single"/>
        </w:rPr>
        <w:t>0.5</w:t>
      </w:r>
      <w:r w:rsidR="009E1E5E" w:rsidRPr="007D3F87">
        <w:rPr>
          <w:u w:val="single"/>
        </w:rPr>
        <w:t>9</w:t>
      </w:r>
      <w:r w:rsidR="008B6ED0" w:rsidRPr="007D3F87">
        <w:rPr>
          <w:u w:val="single"/>
        </w:rPr>
        <w:t>0</w:t>
      </w:r>
      <w:r w:rsidRPr="007D3F87">
        <w:rPr>
          <w:u w:val="single"/>
        </w:rPr>
        <w:t xml:space="preserve">) and </w:t>
      </w:r>
      <w:r w:rsidR="00110F1F" w:rsidRPr="007D3F87">
        <w:rPr>
          <w:u w:val="single"/>
        </w:rPr>
        <w:t>stimulus</w:t>
      </w:r>
      <w:r w:rsidRPr="007D3F87">
        <w:rPr>
          <w:u w:val="single"/>
        </w:rPr>
        <w:t xml:space="preserve"> </w:t>
      </w:r>
      <w:r w:rsidR="008B6ED0" w:rsidRPr="007D3F87">
        <w:rPr>
          <w:u w:val="single"/>
        </w:rPr>
        <w:t>T</w:t>
      </w:r>
      <w:r w:rsidR="00110F1F" w:rsidRPr="007D3F87">
        <w:rPr>
          <w:u w:val="single"/>
        </w:rPr>
        <w:t>ype</w:t>
      </w:r>
      <w:r w:rsidR="008B6ED0" w:rsidRPr="007D3F87">
        <w:rPr>
          <w:u w:val="single"/>
        </w:rPr>
        <w:t xml:space="preserve"> (F(1; 69)=16</w:t>
      </w:r>
      <w:r w:rsidR="008F4FFF" w:rsidRPr="007D3F87">
        <w:rPr>
          <w:u w:val="single"/>
        </w:rPr>
        <w:t>.</w:t>
      </w:r>
      <w:r w:rsidR="008B6ED0" w:rsidRPr="007D3F87">
        <w:rPr>
          <w:u w:val="single"/>
        </w:rPr>
        <w:t>919</w:t>
      </w:r>
      <w:r w:rsidRPr="007D3F87">
        <w:rPr>
          <w:u w:val="single"/>
        </w:rPr>
        <w:t xml:space="preserve">; </w:t>
      </w:r>
      <w:r w:rsidR="009E1E5E" w:rsidRPr="007D3F87">
        <w:rPr>
          <w:u w:val="single"/>
        </w:rPr>
        <w:t>p=0.000</w:t>
      </w:r>
      <w:r w:rsidR="005B1F19" w:rsidRPr="007D3F87">
        <w:rPr>
          <w:u w:val="single"/>
        </w:rPr>
        <w:t>1</w:t>
      </w:r>
      <w:r w:rsidR="008B6ED0" w:rsidRPr="007D3F87">
        <w:rPr>
          <w:u w:val="single"/>
        </w:rPr>
        <w:t xml:space="preserve">; </w:t>
      </w:r>
      <w:r w:rsidR="000F3013" w:rsidRPr="007D3F87">
        <w:rPr>
          <w:u w:val="single"/>
        </w:rPr>
        <w:t>ηp²</w:t>
      </w:r>
      <w:r w:rsidR="000F3013" w:rsidRPr="007D3F87" w:rsidDel="006A76EA">
        <w:rPr>
          <w:u w:val="single"/>
        </w:rPr>
        <w:t xml:space="preserve"> </w:t>
      </w:r>
      <w:r w:rsidR="008B6ED0" w:rsidRPr="007D3F87">
        <w:rPr>
          <w:u w:val="single"/>
        </w:rPr>
        <w:t>=0.197</w:t>
      </w:r>
      <w:r w:rsidRPr="007D3F87">
        <w:rPr>
          <w:u w:val="single"/>
        </w:rPr>
        <w:t>)</w:t>
      </w:r>
      <w:r w:rsidRPr="007D3F87">
        <w:rPr>
          <w:color w:val="FF0000"/>
          <w:u w:val="single"/>
        </w:rPr>
        <w:t xml:space="preserve"> </w:t>
      </w:r>
      <w:r w:rsidRPr="007D3F87">
        <w:rPr>
          <w:u w:val="single"/>
        </w:rPr>
        <w:t>as well as</w:t>
      </w:r>
      <w:r w:rsidR="005B1F19" w:rsidRPr="007D3F87">
        <w:rPr>
          <w:u w:val="single"/>
        </w:rPr>
        <w:t xml:space="preserve"> an</w:t>
      </w:r>
      <w:r w:rsidRPr="007D3F87">
        <w:rPr>
          <w:u w:val="single"/>
        </w:rPr>
        <w:t xml:space="preserve"> interaction </w:t>
      </w:r>
      <w:r w:rsidR="00862EFF" w:rsidRPr="007D3F87">
        <w:rPr>
          <w:u w:val="single"/>
        </w:rPr>
        <w:t xml:space="preserve">at tendency level </w:t>
      </w:r>
      <w:r w:rsidRPr="007D3F87">
        <w:rPr>
          <w:u w:val="single"/>
        </w:rPr>
        <w:t>between D</w:t>
      </w:r>
      <w:r w:rsidR="00110F1F" w:rsidRPr="007D3F87">
        <w:rPr>
          <w:u w:val="single"/>
        </w:rPr>
        <w:t>ay and stimulus</w:t>
      </w:r>
      <w:r w:rsidR="00881F26" w:rsidRPr="007D3F87">
        <w:rPr>
          <w:u w:val="single"/>
        </w:rPr>
        <w:t xml:space="preserve"> </w:t>
      </w:r>
      <w:r w:rsidRPr="007D3F87">
        <w:rPr>
          <w:u w:val="single"/>
        </w:rPr>
        <w:t>T</w:t>
      </w:r>
      <w:r w:rsidR="00110F1F" w:rsidRPr="007D3F87">
        <w:rPr>
          <w:u w:val="single"/>
        </w:rPr>
        <w:t>ype</w:t>
      </w:r>
      <w:r w:rsidRPr="007D3F87">
        <w:rPr>
          <w:u w:val="single"/>
        </w:rPr>
        <w:t xml:space="preserve"> </w:t>
      </w:r>
      <w:r w:rsidR="007F3132" w:rsidRPr="007D3F87">
        <w:rPr>
          <w:u w:val="single"/>
        </w:rPr>
        <w:t xml:space="preserve">(F(1; 69)=3.019; p=0.087; </w:t>
      </w:r>
      <w:r w:rsidR="000F3013" w:rsidRPr="007D3F87">
        <w:rPr>
          <w:u w:val="single"/>
        </w:rPr>
        <w:t>ηp²</w:t>
      </w:r>
      <w:r w:rsidR="007F3132" w:rsidRPr="007D3F87">
        <w:rPr>
          <w:u w:val="single"/>
        </w:rPr>
        <w:t>=0.042</w:t>
      </w:r>
      <w:r w:rsidRPr="007D3F87">
        <w:rPr>
          <w:u w:val="single"/>
        </w:rPr>
        <w:t>)</w:t>
      </w:r>
      <w:r w:rsidR="005B1F19" w:rsidRPr="007D3F87">
        <w:rPr>
          <w:u w:val="single"/>
        </w:rPr>
        <w:t xml:space="preserve"> and </w:t>
      </w:r>
      <w:r w:rsidR="00110F1F" w:rsidRPr="007D3F87">
        <w:rPr>
          <w:u w:val="single"/>
        </w:rPr>
        <w:t xml:space="preserve">Day and Group </w:t>
      </w:r>
      <w:r w:rsidR="00862EFF" w:rsidRPr="007D3F87">
        <w:rPr>
          <w:u w:val="single"/>
        </w:rPr>
        <w:t xml:space="preserve">(F(2; 69)=2.808; p=0.067; </w:t>
      </w:r>
      <w:r w:rsidR="000F3013" w:rsidRPr="007D3F87">
        <w:rPr>
          <w:u w:val="single"/>
        </w:rPr>
        <w:t>ηp²</w:t>
      </w:r>
      <w:r w:rsidR="00862EFF" w:rsidRPr="007D3F87">
        <w:rPr>
          <w:u w:val="single"/>
        </w:rPr>
        <w:t>=0.075)</w:t>
      </w:r>
      <w:r w:rsidRPr="007D3F87">
        <w:rPr>
          <w:u w:val="single"/>
        </w:rPr>
        <w:t>.</w:t>
      </w:r>
      <w:r w:rsidR="00CD6A41" w:rsidRPr="007D3F87">
        <w:rPr>
          <w:u w:val="single"/>
        </w:rPr>
        <w:t xml:space="preserve"> </w:t>
      </w:r>
      <w:r w:rsidR="006D1C3D" w:rsidRPr="007D3F87">
        <w:rPr>
          <w:u w:val="single"/>
        </w:rPr>
        <w:t xml:space="preserve">ANOVA for each testing day revealed </w:t>
      </w:r>
      <w:r w:rsidR="003F75D8" w:rsidRPr="007D3F87">
        <w:rPr>
          <w:u w:val="single"/>
        </w:rPr>
        <w:t>the</w:t>
      </w:r>
      <w:r w:rsidR="006D1C3D" w:rsidRPr="007D3F87">
        <w:rPr>
          <w:u w:val="single"/>
        </w:rPr>
        <w:t xml:space="preserve"> </w:t>
      </w:r>
      <w:r w:rsidR="00382729" w:rsidRPr="007D3F87">
        <w:rPr>
          <w:u w:val="single"/>
        </w:rPr>
        <w:t xml:space="preserve">effect of </w:t>
      </w:r>
      <w:r w:rsidR="00D4289D" w:rsidRPr="007D3F87">
        <w:rPr>
          <w:u w:val="single"/>
        </w:rPr>
        <w:t>stimulus</w:t>
      </w:r>
      <w:r w:rsidR="00382729" w:rsidRPr="007D3F87">
        <w:rPr>
          <w:u w:val="single"/>
        </w:rPr>
        <w:t xml:space="preserve"> T</w:t>
      </w:r>
      <w:r w:rsidR="00D4289D" w:rsidRPr="007D3F87">
        <w:rPr>
          <w:u w:val="single"/>
        </w:rPr>
        <w:t>ype</w:t>
      </w:r>
      <w:r w:rsidR="006D1C3D" w:rsidRPr="007D3F87">
        <w:rPr>
          <w:u w:val="single"/>
        </w:rPr>
        <w:t xml:space="preserve"> </w:t>
      </w:r>
      <w:r w:rsidR="00E47B0D" w:rsidRPr="007D3F87">
        <w:rPr>
          <w:u w:val="single"/>
        </w:rPr>
        <w:t xml:space="preserve">on the first </w:t>
      </w:r>
      <w:r w:rsidR="006A603C" w:rsidRPr="007D3F87">
        <w:rPr>
          <w:u w:val="single"/>
        </w:rPr>
        <w:t>(F(1; 69)=</w:t>
      </w:r>
      <w:r w:rsidR="00E47B0D" w:rsidRPr="007D3F87">
        <w:rPr>
          <w:u w:val="single"/>
        </w:rPr>
        <w:t>12.777</w:t>
      </w:r>
      <w:r w:rsidR="006A603C" w:rsidRPr="007D3F87">
        <w:rPr>
          <w:u w:val="single"/>
        </w:rPr>
        <w:t xml:space="preserve">; </w:t>
      </w:r>
      <w:r w:rsidR="003F3FC6" w:rsidRPr="007D3F87">
        <w:rPr>
          <w:u w:val="single"/>
        </w:rPr>
        <w:t>p=0.001</w:t>
      </w:r>
      <w:r w:rsidR="006A603C" w:rsidRPr="007D3F87">
        <w:rPr>
          <w:u w:val="single"/>
        </w:rPr>
        <w:t xml:space="preserve">; </w:t>
      </w:r>
      <w:r w:rsidR="005B1F19" w:rsidRPr="007D3F87">
        <w:rPr>
          <w:u w:val="single"/>
        </w:rPr>
        <w:t>ηp²</w:t>
      </w:r>
      <w:r w:rsidR="006A603C" w:rsidRPr="007D3F87">
        <w:rPr>
          <w:u w:val="single"/>
        </w:rPr>
        <w:t>=</w:t>
      </w:r>
      <w:r w:rsidR="00E47B0D" w:rsidRPr="007D3F87">
        <w:rPr>
          <w:u w:val="single"/>
        </w:rPr>
        <w:t>0.156</w:t>
      </w:r>
      <w:r w:rsidR="006A603C" w:rsidRPr="007D3F87">
        <w:rPr>
          <w:u w:val="single"/>
        </w:rPr>
        <w:t xml:space="preserve">) </w:t>
      </w:r>
      <w:r w:rsidR="00E47B0D" w:rsidRPr="007D3F87">
        <w:rPr>
          <w:u w:val="single"/>
        </w:rPr>
        <w:t>as well as</w:t>
      </w:r>
      <w:r w:rsidR="00382729" w:rsidRPr="007D3F87">
        <w:rPr>
          <w:u w:val="single"/>
        </w:rPr>
        <w:t xml:space="preserve"> on the second </w:t>
      </w:r>
      <w:r w:rsidR="00E47B0D" w:rsidRPr="007D3F87">
        <w:rPr>
          <w:u w:val="single"/>
        </w:rPr>
        <w:t>(F(1; 69)=5.551; p=0.02</w:t>
      </w:r>
      <w:r w:rsidR="003304F8" w:rsidRPr="007D3F87">
        <w:rPr>
          <w:u w:val="single"/>
        </w:rPr>
        <w:t xml:space="preserve">1; </w:t>
      </w:r>
      <w:r w:rsidR="005B1F19" w:rsidRPr="007D3F87">
        <w:rPr>
          <w:u w:val="single"/>
        </w:rPr>
        <w:t>ηp²</w:t>
      </w:r>
      <w:r w:rsidR="003304F8" w:rsidRPr="007D3F87">
        <w:rPr>
          <w:u w:val="single"/>
        </w:rPr>
        <w:t>=0.074</w:t>
      </w:r>
      <w:r w:rsidR="00E47B0D" w:rsidRPr="007D3F87">
        <w:rPr>
          <w:u w:val="single"/>
        </w:rPr>
        <w:t xml:space="preserve">) </w:t>
      </w:r>
      <w:r w:rsidR="00382729" w:rsidRPr="007D3F87">
        <w:rPr>
          <w:u w:val="single"/>
        </w:rPr>
        <w:t xml:space="preserve">day of assessment, and no </w:t>
      </w:r>
      <w:r w:rsidR="005B1F19" w:rsidRPr="007D3F87">
        <w:rPr>
          <w:u w:val="single"/>
        </w:rPr>
        <w:t xml:space="preserve">other </w:t>
      </w:r>
      <w:r w:rsidR="00382729" w:rsidRPr="007D3F87">
        <w:rPr>
          <w:u w:val="single"/>
        </w:rPr>
        <w:t xml:space="preserve">interactions between factors on </w:t>
      </w:r>
      <w:r w:rsidR="005B1F19" w:rsidRPr="007D3F87">
        <w:rPr>
          <w:u w:val="single"/>
        </w:rPr>
        <w:t>either of the</w:t>
      </w:r>
      <w:r w:rsidR="00382729" w:rsidRPr="007D3F87">
        <w:rPr>
          <w:u w:val="single"/>
        </w:rPr>
        <w:t xml:space="preserve"> days. </w:t>
      </w:r>
      <w:r w:rsidR="00E06F70" w:rsidRPr="007D3F87">
        <w:rPr>
          <w:u w:val="single"/>
        </w:rPr>
        <w:t xml:space="preserve">Between-group effect was </w:t>
      </w:r>
      <w:r w:rsidR="008A69C4" w:rsidRPr="007D3F87">
        <w:rPr>
          <w:u w:val="single"/>
        </w:rPr>
        <w:t>marginal</w:t>
      </w:r>
      <w:r w:rsidR="00E06F70" w:rsidRPr="007D3F87">
        <w:rPr>
          <w:u w:val="single"/>
        </w:rPr>
        <w:t xml:space="preserve"> on Day 2</w:t>
      </w:r>
      <w:r w:rsidR="003B7CA9" w:rsidRPr="007D3F87">
        <w:rPr>
          <w:u w:val="single"/>
        </w:rPr>
        <w:t xml:space="preserve"> (</w:t>
      </w:r>
      <w:proofErr w:type="gramStart"/>
      <w:r w:rsidR="003B7CA9" w:rsidRPr="007D3F87">
        <w:rPr>
          <w:u w:val="single"/>
        </w:rPr>
        <w:t>F(</w:t>
      </w:r>
      <w:proofErr w:type="gramEnd"/>
      <w:r w:rsidR="003B7CA9" w:rsidRPr="007D3F87">
        <w:rPr>
          <w:u w:val="single"/>
        </w:rPr>
        <w:t>2; 69)=</w:t>
      </w:r>
      <w:r w:rsidR="006D0413" w:rsidRPr="007D3F87">
        <w:rPr>
          <w:u w:val="single"/>
        </w:rPr>
        <w:t>2.991</w:t>
      </w:r>
      <w:r w:rsidR="003B7CA9" w:rsidRPr="007D3F87">
        <w:rPr>
          <w:u w:val="single"/>
        </w:rPr>
        <w:t xml:space="preserve">; </w:t>
      </w:r>
      <w:r w:rsidR="006D0413" w:rsidRPr="007D3F87">
        <w:rPr>
          <w:u w:val="single"/>
        </w:rPr>
        <w:t>p=0.057</w:t>
      </w:r>
      <w:r w:rsidR="003B7CA9" w:rsidRPr="007D3F87">
        <w:rPr>
          <w:u w:val="single"/>
        </w:rPr>
        <w:t xml:space="preserve">; </w:t>
      </w:r>
      <w:r w:rsidR="000F3013" w:rsidRPr="007D3F87">
        <w:rPr>
          <w:u w:val="single"/>
        </w:rPr>
        <w:t>ηp²</w:t>
      </w:r>
      <w:r w:rsidR="003B7CA9" w:rsidRPr="007D3F87">
        <w:rPr>
          <w:u w:val="single"/>
        </w:rPr>
        <w:t>=</w:t>
      </w:r>
      <w:r w:rsidR="006D0413" w:rsidRPr="007D3F87">
        <w:rPr>
          <w:u w:val="single"/>
        </w:rPr>
        <w:t>0.080</w:t>
      </w:r>
      <w:r w:rsidR="003B7CA9" w:rsidRPr="007D3F87">
        <w:rPr>
          <w:u w:val="single"/>
        </w:rPr>
        <w:t>)</w:t>
      </w:r>
      <w:r w:rsidR="00AA08FA" w:rsidRPr="007D3F87">
        <w:rPr>
          <w:u w:val="single"/>
        </w:rPr>
        <w:t>.</w:t>
      </w:r>
      <w:r w:rsidR="003E34A1" w:rsidRPr="007D3F87">
        <w:rPr>
          <w:color w:val="FF0000"/>
          <w:u w:val="single"/>
        </w:rPr>
        <w:t xml:space="preserve"> </w:t>
      </w:r>
      <w:r w:rsidR="003E34A1" w:rsidRPr="007D3F87">
        <w:rPr>
          <w:color w:val="000000" w:themeColor="text1"/>
          <w:u w:val="single"/>
        </w:rPr>
        <w:t>This was confirmed by a post-hoc between-group analysis, which showed a significant better performance of the cathodal over the sham group</w:t>
      </w:r>
      <w:r w:rsidR="00C36EA0" w:rsidRPr="007D3F87">
        <w:rPr>
          <w:color w:val="000000" w:themeColor="text1"/>
          <w:u w:val="single"/>
        </w:rPr>
        <w:t xml:space="preserve"> for the abstract concepts on Day 2</w:t>
      </w:r>
      <w:r w:rsidR="003E34A1" w:rsidRPr="007D3F87">
        <w:rPr>
          <w:color w:val="000000" w:themeColor="text1"/>
          <w:u w:val="single"/>
        </w:rPr>
        <w:t xml:space="preserve"> (p=0.038, Z=</w:t>
      </w:r>
      <w:r w:rsidR="00E67107" w:rsidRPr="007D3F87">
        <w:rPr>
          <w:color w:val="000000" w:themeColor="text1"/>
          <w:u w:val="single"/>
        </w:rPr>
        <w:t>2.2</w:t>
      </w:r>
      <w:r w:rsidR="003E34A1" w:rsidRPr="007D3F87">
        <w:rPr>
          <w:color w:val="000000" w:themeColor="text1"/>
          <w:u w:val="single"/>
        </w:rPr>
        <w:t>).</w:t>
      </w:r>
    </w:p>
    <w:p w14:paraId="04CB3A9B" w14:textId="2421470C" w:rsidR="005A5F4B" w:rsidRPr="00276954" w:rsidRDefault="000E4620" w:rsidP="006A7A34">
      <w:pPr>
        <w:pStyle w:val="a3"/>
        <w:spacing w:before="102" w:line="249" w:lineRule="auto"/>
        <w:ind w:left="126" w:right="138"/>
        <w:jc w:val="both"/>
        <w:rPr>
          <w:color w:val="000000" w:themeColor="text1"/>
        </w:rPr>
      </w:pPr>
      <w:r w:rsidRPr="00276954">
        <w:rPr>
          <w:color w:val="000000" w:themeColor="text1"/>
        </w:rPr>
        <w:t>A post hoc comparison</w:t>
      </w:r>
      <w:r w:rsidR="00CD6A41" w:rsidRPr="00276954">
        <w:rPr>
          <w:color w:val="000000" w:themeColor="text1"/>
        </w:rPr>
        <w:t xml:space="preserve"> between </w:t>
      </w:r>
      <w:r w:rsidR="005B1F19" w:rsidRPr="00276954">
        <w:rPr>
          <w:color w:val="000000" w:themeColor="text1"/>
        </w:rPr>
        <w:t>D</w:t>
      </w:r>
      <w:r w:rsidR="00CD6A41" w:rsidRPr="00276954">
        <w:rPr>
          <w:color w:val="000000" w:themeColor="text1"/>
        </w:rPr>
        <w:t>ays</w:t>
      </w:r>
      <w:r w:rsidR="005B1F19" w:rsidRPr="00276954">
        <w:rPr>
          <w:color w:val="000000" w:themeColor="text1"/>
        </w:rPr>
        <w:t xml:space="preserve"> 1 and </w:t>
      </w:r>
      <w:r w:rsidR="00276954" w:rsidRPr="00276954">
        <w:rPr>
          <w:color w:val="000000" w:themeColor="text1"/>
        </w:rPr>
        <w:t>2</w:t>
      </w:r>
      <w:r w:rsidR="00CD6A41" w:rsidRPr="00276954">
        <w:rPr>
          <w:color w:val="000000" w:themeColor="text1"/>
        </w:rPr>
        <w:t xml:space="preserve"> </w:t>
      </w:r>
      <w:r w:rsidR="005A5F4B" w:rsidRPr="00276954">
        <w:rPr>
          <w:color w:val="000000" w:themeColor="text1"/>
        </w:rPr>
        <w:t>revealed a</w:t>
      </w:r>
      <w:r w:rsidR="005B1F19" w:rsidRPr="00276954">
        <w:rPr>
          <w:color w:val="000000" w:themeColor="text1"/>
        </w:rPr>
        <w:t xml:space="preserve">n overnight drop in </w:t>
      </w:r>
      <w:r w:rsidR="005A5F4B" w:rsidRPr="00276954">
        <w:rPr>
          <w:color w:val="000000" w:themeColor="text1"/>
        </w:rPr>
        <w:t xml:space="preserve">performance </w:t>
      </w:r>
      <w:r w:rsidR="005B1F19" w:rsidRPr="00276954">
        <w:rPr>
          <w:color w:val="000000" w:themeColor="text1"/>
        </w:rPr>
        <w:t>for</w:t>
      </w:r>
      <w:r w:rsidR="000D647F" w:rsidRPr="00276954">
        <w:rPr>
          <w:color w:val="000000" w:themeColor="text1"/>
        </w:rPr>
        <w:t xml:space="preserve"> both concrete</w:t>
      </w:r>
      <w:r w:rsidR="00294B19" w:rsidRPr="00276954">
        <w:rPr>
          <w:color w:val="000000" w:themeColor="text1"/>
        </w:rPr>
        <w:t xml:space="preserve"> and</w:t>
      </w:r>
      <w:r w:rsidR="005A5F4B" w:rsidRPr="00276954">
        <w:rPr>
          <w:color w:val="000000" w:themeColor="text1"/>
        </w:rPr>
        <w:t xml:space="preserve"> </w:t>
      </w:r>
      <w:r w:rsidR="000D647F" w:rsidRPr="00276954">
        <w:rPr>
          <w:color w:val="000000" w:themeColor="text1"/>
        </w:rPr>
        <w:t>abstract</w:t>
      </w:r>
      <w:r w:rsidR="00294B19" w:rsidRPr="00276954">
        <w:rPr>
          <w:color w:val="000000" w:themeColor="text1"/>
        </w:rPr>
        <w:t xml:space="preserve"> </w:t>
      </w:r>
      <w:r w:rsidR="00CE6578" w:rsidRPr="00276954">
        <w:rPr>
          <w:color w:val="000000" w:themeColor="text1"/>
        </w:rPr>
        <w:t xml:space="preserve">concepts </w:t>
      </w:r>
      <w:r w:rsidR="005A5F4B" w:rsidRPr="00276954">
        <w:rPr>
          <w:color w:val="000000" w:themeColor="text1"/>
        </w:rPr>
        <w:t xml:space="preserve">in the sham </w:t>
      </w:r>
      <w:r w:rsidR="000D647F" w:rsidRPr="00276954">
        <w:rPr>
          <w:color w:val="000000" w:themeColor="text1"/>
        </w:rPr>
        <w:t>(p=0.000</w:t>
      </w:r>
      <w:r w:rsidR="000F3013" w:rsidRPr="00276954">
        <w:rPr>
          <w:color w:val="000000" w:themeColor="text1"/>
        </w:rPr>
        <w:t>1</w:t>
      </w:r>
      <w:r w:rsidR="000D647F" w:rsidRPr="00276954">
        <w:rPr>
          <w:color w:val="000000" w:themeColor="text1"/>
        </w:rPr>
        <w:t xml:space="preserve">, Z=4.0 for concrete and p=0.000, Z=3.8 for abstract semantics) and in the anodal </w:t>
      </w:r>
      <w:r w:rsidR="00A73EFD" w:rsidRPr="00276954">
        <w:rPr>
          <w:color w:val="000000" w:themeColor="text1"/>
        </w:rPr>
        <w:t>(p=0.000</w:t>
      </w:r>
      <w:r w:rsidR="000F3013" w:rsidRPr="00276954">
        <w:rPr>
          <w:color w:val="000000" w:themeColor="text1"/>
        </w:rPr>
        <w:t>1</w:t>
      </w:r>
      <w:r w:rsidR="00A73EFD" w:rsidRPr="00276954">
        <w:rPr>
          <w:color w:val="000000" w:themeColor="text1"/>
        </w:rPr>
        <w:t>, Z=3.0 for concrete and p=0.004, Z=3.5</w:t>
      </w:r>
      <w:r w:rsidR="00E30594" w:rsidRPr="00276954">
        <w:rPr>
          <w:color w:val="000000" w:themeColor="text1"/>
        </w:rPr>
        <w:t xml:space="preserve"> for abstract semantics) </w:t>
      </w:r>
      <w:r w:rsidR="000D647F" w:rsidRPr="00276954">
        <w:rPr>
          <w:color w:val="000000" w:themeColor="text1"/>
        </w:rPr>
        <w:t>groups</w:t>
      </w:r>
      <w:r w:rsidR="005A5F4B" w:rsidRPr="00276954">
        <w:rPr>
          <w:color w:val="000000" w:themeColor="text1"/>
        </w:rPr>
        <w:t xml:space="preserve"> at significant leve</w:t>
      </w:r>
      <w:r w:rsidR="002B6355" w:rsidRPr="00276954">
        <w:rPr>
          <w:color w:val="000000" w:themeColor="text1"/>
        </w:rPr>
        <w:t>l</w:t>
      </w:r>
      <w:r w:rsidR="007D3F87" w:rsidRPr="00276954">
        <w:rPr>
          <w:color w:val="000000" w:themeColor="text1"/>
        </w:rPr>
        <w:t xml:space="preserve"> </w:t>
      </w:r>
      <w:r w:rsidR="005A5F4B" w:rsidRPr="00276954">
        <w:rPr>
          <w:color w:val="000000" w:themeColor="text1"/>
        </w:rPr>
        <w:t xml:space="preserve">as well as a </w:t>
      </w:r>
      <w:r w:rsidR="004C477B" w:rsidRPr="00276954">
        <w:rPr>
          <w:color w:val="000000" w:themeColor="text1"/>
        </w:rPr>
        <w:t xml:space="preserve">significantly </w:t>
      </w:r>
      <w:r w:rsidR="005A5F4B" w:rsidRPr="00276954">
        <w:rPr>
          <w:color w:val="000000" w:themeColor="text1"/>
        </w:rPr>
        <w:t>decreased performance of</w:t>
      </w:r>
      <w:r w:rsidR="000D647F" w:rsidRPr="00276954">
        <w:rPr>
          <w:color w:val="000000" w:themeColor="text1"/>
        </w:rPr>
        <w:t xml:space="preserve"> concrete </w:t>
      </w:r>
      <w:r w:rsidR="004C477B" w:rsidRPr="00276954">
        <w:rPr>
          <w:color w:val="000000" w:themeColor="text1"/>
        </w:rPr>
        <w:t>(p=0.000</w:t>
      </w:r>
      <w:r w:rsidR="000F3013" w:rsidRPr="00276954">
        <w:rPr>
          <w:color w:val="000000" w:themeColor="text1"/>
        </w:rPr>
        <w:t>1</w:t>
      </w:r>
      <w:r w:rsidR="004C477B" w:rsidRPr="00276954">
        <w:rPr>
          <w:color w:val="000000" w:themeColor="text1"/>
        </w:rPr>
        <w:t xml:space="preserve">, Z=3.6) and </w:t>
      </w:r>
      <w:r w:rsidR="00D9530E" w:rsidRPr="00276954">
        <w:rPr>
          <w:color w:val="000000" w:themeColor="text1"/>
        </w:rPr>
        <w:t xml:space="preserve">only </w:t>
      </w:r>
      <w:r w:rsidR="004C477B" w:rsidRPr="00276954">
        <w:rPr>
          <w:color w:val="000000" w:themeColor="text1"/>
        </w:rPr>
        <w:t xml:space="preserve">marginally - of abstract </w:t>
      </w:r>
      <w:r w:rsidR="000D647F" w:rsidRPr="00276954">
        <w:rPr>
          <w:color w:val="000000" w:themeColor="text1"/>
        </w:rPr>
        <w:t>semantics</w:t>
      </w:r>
      <w:r w:rsidR="004C477B" w:rsidRPr="00276954">
        <w:rPr>
          <w:color w:val="000000" w:themeColor="text1"/>
        </w:rPr>
        <w:t xml:space="preserve"> (p=0.06, Z=2.2) </w:t>
      </w:r>
      <w:r w:rsidR="00D9530E" w:rsidRPr="00276954">
        <w:rPr>
          <w:color w:val="000000" w:themeColor="text1"/>
        </w:rPr>
        <w:t xml:space="preserve">- </w:t>
      </w:r>
      <w:r w:rsidR="000D647F" w:rsidRPr="00276954">
        <w:rPr>
          <w:color w:val="000000" w:themeColor="text1"/>
        </w:rPr>
        <w:t>in the cathodal group</w:t>
      </w:r>
      <w:r w:rsidR="005A5F4B" w:rsidRPr="00276954">
        <w:rPr>
          <w:color w:val="000000" w:themeColor="text1"/>
        </w:rPr>
        <w:t xml:space="preserve">. A </w:t>
      </w:r>
      <w:r w:rsidR="00A75128" w:rsidRPr="00276954">
        <w:rPr>
          <w:color w:val="000000" w:themeColor="text1"/>
        </w:rPr>
        <w:t xml:space="preserve">post hoc </w:t>
      </w:r>
      <w:r w:rsidR="005A5F4B" w:rsidRPr="00276954">
        <w:rPr>
          <w:color w:val="000000" w:themeColor="text1"/>
        </w:rPr>
        <w:t xml:space="preserve">comparison between semantic types in the free-form definition task revealed a better definition quality </w:t>
      </w:r>
      <w:r w:rsidR="00836D7D" w:rsidRPr="00276954">
        <w:rPr>
          <w:color w:val="000000" w:themeColor="text1"/>
        </w:rPr>
        <w:t xml:space="preserve">for concrete than abstract concepts </w:t>
      </w:r>
      <w:r w:rsidR="005A5F4B" w:rsidRPr="00276954">
        <w:rPr>
          <w:color w:val="000000" w:themeColor="text1"/>
        </w:rPr>
        <w:t xml:space="preserve">on the first day in </w:t>
      </w:r>
      <w:r w:rsidR="00892A47" w:rsidRPr="00276954">
        <w:rPr>
          <w:color w:val="000000" w:themeColor="text1"/>
        </w:rPr>
        <w:t>the cathodal</w:t>
      </w:r>
      <w:r w:rsidR="00165F79" w:rsidRPr="00276954">
        <w:rPr>
          <w:color w:val="000000" w:themeColor="text1"/>
        </w:rPr>
        <w:t xml:space="preserve"> group</w:t>
      </w:r>
      <w:r w:rsidR="00892A47" w:rsidRPr="00276954">
        <w:rPr>
          <w:color w:val="000000" w:themeColor="text1"/>
        </w:rPr>
        <w:t xml:space="preserve"> (p=0.008, Z=2.9</w:t>
      </w:r>
      <w:r w:rsidR="005A5F4B" w:rsidRPr="00276954">
        <w:rPr>
          <w:color w:val="000000" w:themeColor="text1"/>
        </w:rPr>
        <w:t>)</w:t>
      </w:r>
      <w:r w:rsidR="00A73EFD" w:rsidRPr="00276954">
        <w:rPr>
          <w:color w:val="000000" w:themeColor="text1"/>
        </w:rPr>
        <w:t xml:space="preserve"> and</w:t>
      </w:r>
      <w:r w:rsidR="00165F79" w:rsidRPr="00276954">
        <w:rPr>
          <w:color w:val="000000" w:themeColor="text1"/>
        </w:rPr>
        <w:t xml:space="preserve"> on the second day</w:t>
      </w:r>
      <w:r w:rsidR="00A73EFD" w:rsidRPr="00276954">
        <w:rPr>
          <w:color w:val="000000" w:themeColor="text1"/>
        </w:rPr>
        <w:t xml:space="preserve"> in the anodal </w:t>
      </w:r>
      <w:r w:rsidR="00165F79" w:rsidRPr="00276954">
        <w:rPr>
          <w:color w:val="000000" w:themeColor="text1"/>
        </w:rPr>
        <w:lastRenderedPageBreak/>
        <w:t xml:space="preserve">group </w:t>
      </w:r>
      <w:r w:rsidR="00A73EFD" w:rsidRPr="00276954">
        <w:rPr>
          <w:color w:val="000000" w:themeColor="text1"/>
        </w:rPr>
        <w:t>(p=0</w:t>
      </w:r>
      <w:r w:rsidR="00836D7D" w:rsidRPr="00276954">
        <w:rPr>
          <w:color w:val="000000" w:themeColor="text1"/>
        </w:rPr>
        <w:t>.</w:t>
      </w:r>
      <w:r w:rsidR="00A73EFD" w:rsidRPr="00276954">
        <w:rPr>
          <w:color w:val="000000" w:themeColor="text1"/>
        </w:rPr>
        <w:t>015, Z=2.4)</w:t>
      </w:r>
      <w:r w:rsidR="005A5F4B" w:rsidRPr="00276954">
        <w:rPr>
          <w:color w:val="000000" w:themeColor="text1"/>
        </w:rPr>
        <w:t xml:space="preserve">. </w:t>
      </w:r>
    </w:p>
    <w:p w14:paraId="17B3C07B" w14:textId="14D585D7" w:rsidR="009F38F9" w:rsidRPr="007D3F87" w:rsidRDefault="009F38F9" w:rsidP="006A7A34">
      <w:pPr>
        <w:pStyle w:val="a3"/>
        <w:spacing w:before="102" w:line="249" w:lineRule="auto"/>
        <w:ind w:left="126" w:right="138"/>
        <w:jc w:val="both"/>
        <w:rPr>
          <w:color w:val="000000" w:themeColor="text1"/>
          <w:u w:val="single"/>
        </w:rPr>
      </w:pPr>
      <w:r w:rsidRPr="007D3F87">
        <w:rPr>
          <w:color w:val="000000" w:themeColor="text1"/>
          <w:u w:val="single"/>
        </w:rPr>
        <w:t>F2 ANOVA</w:t>
      </w:r>
      <w:r w:rsidR="00FD368D" w:rsidRPr="007D3F87">
        <w:rPr>
          <w:color w:val="000000" w:themeColor="text1"/>
          <w:u w:val="single"/>
        </w:rPr>
        <w:t xml:space="preserve"> </w:t>
      </w:r>
      <w:r w:rsidR="005B1F19" w:rsidRPr="007D3F87">
        <w:rPr>
          <w:color w:val="000000" w:themeColor="text1"/>
          <w:u w:val="single"/>
        </w:rPr>
        <w:t xml:space="preserve">confirmed </w:t>
      </w:r>
      <w:r w:rsidR="00FD368D" w:rsidRPr="007D3F87">
        <w:rPr>
          <w:color w:val="000000" w:themeColor="text1"/>
          <w:u w:val="single"/>
        </w:rPr>
        <w:t xml:space="preserve">the </w:t>
      </w:r>
      <w:r w:rsidR="005B1F19" w:rsidRPr="007D3F87">
        <w:rPr>
          <w:color w:val="000000" w:themeColor="text1"/>
          <w:u w:val="single"/>
        </w:rPr>
        <w:t xml:space="preserve">main </w:t>
      </w:r>
      <w:r w:rsidR="00FD368D" w:rsidRPr="007D3F87">
        <w:rPr>
          <w:color w:val="000000" w:themeColor="text1"/>
          <w:u w:val="single"/>
        </w:rPr>
        <w:t>effects of D</w:t>
      </w:r>
      <w:r w:rsidR="00D4289D" w:rsidRPr="007D3F87">
        <w:rPr>
          <w:color w:val="000000" w:themeColor="text1"/>
          <w:u w:val="single"/>
        </w:rPr>
        <w:t>ay</w:t>
      </w:r>
      <w:r w:rsidR="008262E7" w:rsidRPr="007D3F87">
        <w:rPr>
          <w:color w:val="000000" w:themeColor="text1"/>
          <w:u w:val="single"/>
        </w:rPr>
        <w:t xml:space="preserve"> </w:t>
      </w:r>
      <w:r w:rsidR="008262E7" w:rsidRPr="007D3F87">
        <w:rPr>
          <w:u w:val="single"/>
        </w:rPr>
        <w:t>(F(1; 29)=56.786; p=0.000</w:t>
      </w:r>
      <w:r w:rsidR="000F3013" w:rsidRPr="007D3F87">
        <w:rPr>
          <w:u w:val="single"/>
        </w:rPr>
        <w:t>1</w:t>
      </w:r>
      <w:r w:rsidR="008262E7" w:rsidRPr="007D3F87">
        <w:rPr>
          <w:u w:val="single"/>
        </w:rPr>
        <w:t xml:space="preserve">; </w:t>
      </w:r>
      <w:r w:rsidR="000F3013" w:rsidRPr="007D3F87">
        <w:rPr>
          <w:u w:val="single"/>
        </w:rPr>
        <w:t>ηp²</w:t>
      </w:r>
      <w:r w:rsidR="008262E7" w:rsidRPr="007D3F87">
        <w:rPr>
          <w:u w:val="single"/>
        </w:rPr>
        <w:t>=0.662)</w:t>
      </w:r>
      <w:r w:rsidR="00FD368D" w:rsidRPr="007D3F87">
        <w:rPr>
          <w:color w:val="000000" w:themeColor="text1"/>
          <w:u w:val="single"/>
        </w:rPr>
        <w:t>, T</w:t>
      </w:r>
      <w:r w:rsidR="00D4289D" w:rsidRPr="007D3F87">
        <w:rPr>
          <w:color w:val="000000" w:themeColor="text1"/>
          <w:u w:val="single"/>
        </w:rPr>
        <w:t>ype</w:t>
      </w:r>
      <w:r w:rsidR="008262E7" w:rsidRPr="007D3F87">
        <w:rPr>
          <w:color w:val="000000" w:themeColor="text1"/>
          <w:u w:val="single"/>
        </w:rPr>
        <w:t xml:space="preserve"> </w:t>
      </w:r>
      <w:r w:rsidR="008262E7" w:rsidRPr="007D3F87">
        <w:rPr>
          <w:u w:val="single"/>
        </w:rPr>
        <w:t xml:space="preserve">(F(1; 29)=6.910; p=0.014; </w:t>
      </w:r>
      <w:r w:rsidR="000F3013" w:rsidRPr="007D3F87">
        <w:rPr>
          <w:u w:val="single"/>
        </w:rPr>
        <w:t>ηp²</w:t>
      </w:r>
      <w:r w:rsidR="000F3013" w:rsidRPr="007D3F87" w:rsidDel="006A76EA">
        <w:rPr>
          <w:u w:val="single"/>
        </w:rPr>
        <w:t xml:space="preserve"> </w:t>
      </w:r>
      <w:r w:rsidR="008262E7" w:rsidRPr="007D3F87">
        <w:rPr>
          <w:u w:val="single"/>
        </w:rPr>
        <w:t>0.443)</w:t>
      </w:r>
      <w:r w:rsidR="00FD368D" w:rsidRPr="007D3F87">
        <w:rPr>
          <w:color w:val="000000" w:themeColor="text1"/>
          <w:u w:val="single"/>
        </w:rPr>
        <w:t xml:space="preserve"> and G</w:t>
      </w:r>
      <w:r w:rsidR="00D4289D" w:rsidRPr="007D3F87">
        <w:rPr>
          <w:color w:val="000000" w:themeColor="text1"/>
          <w:u w:val="single"/>
        </w:rPr>
        <w:t>roup</w:t>
      </w:r>
      <w:r w:rsidR="00FD368D" w:rsidRPr="007D3F87">
        <w:rPr>
          <w:color w:val="000000" w:themeColor="text1"/>
          <w:u w:val="single"/>
        </w:rPr>
        <w:t xml:space="preserve"> </w:t>
      </w:r>
      <w:r w:rsidR="00FD368D" w:rsidRPr="007D3F87">
        <w:rPr>
          <w:u w:val="single"/>
        </w:rPr>
        <w:t>(F(2; 58)=7.849; p=0.001</w:t>
      </w:r>
      <w:r w:rsidR="008262E7" w:rsidRPr="007D3F87">
        <w:rPr>
          <w:u w:val="single"/>
        </w:rPr>
        <w:t xml:space="preserve">; </w:t>
      </w:r>
      <w:r w:rsidR="000F3013" w:rsidRPr="007D3F87">
        <w:rPr>
          <w:u w:val="single"/>
        </w:rPr>
        <w:t>ηp²</w:t>
      </w:r>
      <w:r w:rsidR="008262E7" w:rsidRPr="007D3F87">
        <w:rPr>
          <w:u w:val="single"/>
        </w:rPr>
        <w:t>=0.192</w:t>
      </w:r>
      <w:r w:rsidR="00FD368D" w:rsidRPr="007D3F87">
        <w:rPr>
          <w:u w:val="single"/>
        </w:rPr>
        <w:t>)</w:t>
      </w:r>
      <w:r w:rsidR="005B1F19" w:rsidRPr="007D3F87">
        <w:rPr>
          <w:u w:val="single"/>
        </w:rPr>
        <w:t>,</w:t>
      </w:r>
      <w:r w:rsidR="00FD368D" w:rsidRPr="007D3F87">
        <w:rPr>
          <w:color w:val="000000" w:themeColor="text1"/>
          <w:u w:val="single"/>
        </w:rPr>
        <w:t xml:space="preserve"> with no interaction</w:t>
      </w:r>
      <w:r w:rsidR="000F3013" w:rsidRPr="007D3F87">
        <w:rPr>
          <w:color w:val="000000" w:themeColor="text1"/>
          <w:u w:val="single"/>
        </w:rPr>
        <w:t>s</w:t>
      </w:r>
      <w:r w:rsidR="00FD368D" w:rsidRPr="007D3F87">
        <w:rPr>
          <w:color w:val="000000" w:themeColor="text1"/>
          <w:u w:val="single"/>
        </w:rPr>
        <w:t xml:space="preserve"> between factors.</w:t>
      </w:r>
    </w:p>
    <w:p w14:paraId="5CFA8B45" w14:textId="55D95768" w:rsidR="00DA6ACE" w:rsidRPr="00A801BA" w:rsidRDefault="008D172E" w:rsidP="006400D9">
      <w:pPr>
        <w:pStyle w:val="a3"/>
        <w:tabs>
          <w:tab w:val="left" w:pos="1173"/>
          <w:tab w:val="center" w:pos="5124"/>
        </w:tabs>
        <w:spacing w:before="102" w:line="249" w:lineRule="auto"/>
        <w:ind w:right="138"/>
        <w:jc w:val="center"/>
      </w:pPr>
      <w:r w:rsidRPr="008D172E">
        <w:rPr>
          <w:noProof/>
          <w:lang w:bidi="ar-SA"/>
        </w:rPr>
        <w:drawing>
          <wp:anchor distT="0" distB="0" distL="114300" distR="114300" simplePos="0" relativeHeight="251667456" behindDoc="0" locked="0" layoutInCell="1" allowOverlap="1" wp14:anchorId="2C4F16C3" wp14:editId="2C09E176">
            <wp:simplePos x="0" y="0"/>
            <wp:positionH relativeFrom="column">
              <wp:posOffset>0</wp:posOffset>
            </wp:positionH>
            <wp:positionV relativeFrom="paragraph">
              <wp:posOffset>0</wp:posOffset>
            </wp:positionV>
            <wp:extent cx="6506845" cy="3051175"/>
            <wp:effectExtent l="0" t="0" r="0" b="0"/>
            <wp:wrapThrough wrapText="bothSides">
              <wp:wrapPolygon edited="0">
                <wp:start x="0" y="0"/>
                <wp:lineTo x="0" y="21398"/>
                <wp:lineTo x="21501" y="21398"/>
                <wp:lineTo x="21501" y="0"/>
                <wp:lineTo x="0" y="0"/>
              </wp:wrapPolygon>
            </wp:wrapThrough>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6845" cy="305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ACE">
        <w:rPr>
          <w:rFonts w:ascii="Arial"/>
          <w:b/>
        </w:rPr>
        <w:t xml:space="preserve">Figure 3. </w:t>
      </w:r>
      <w:r w:rsidR="00DA6ACE" w:rsidRPr="00A801BA">
        <w:t>Accuracy in the free-form definition task for novel concrete and abstract words immediately after learning (Day 1) and following an overnight sleep (Day 2). Error bars denote 95% confidence intervals.</w:t>
      </w:r>
    </w:p>
    <w:p w14:paraId="78873703" w14:textId="21B92DC2" w:rsidR="00AB3FC0" w:rsidRDefault="00FB0809" w:rsidP="006400D9">
      <w:pPr>
        <w:pStyle w:val="a3"/>
        <w:tabs>
          <w:tab w:val="left" w:pos="1173"/>
          <w:tab w:val="center" w:pos="5124"/>
        </w:tabs>
        <w:spacing w:before="102" w:line="249" w:lineRule="auto"/>
        <w:ind w:right="138"/>
        <w:jc w:val="center"/>
      </w:pPr>
      <w:r w:rsidRPr="00FB0809">
        <w:rPr>
          <w:noProof/>
          <w:lang w:bidi="ar-SA"/>
        </w:rPr>
        <w:drawing>
          <wp:anchor distT="0" distB="0" distL="114300" distR="114300" simplePos="0" relativeHeight="251665408" behindDoc="0" locked="0" layoutInCell="1" allowOverlap="1" wp14:anchorId="68465335" wp14:editId="0E0C1F75">
            <wp:simplePos x="0" y="0"/>
            <wp:positionH relativeFrom="column">
              <wp:posOffset>0</wp:posOffset>
            </wp:positionH>
            <wp:positionV relativeFrom="paragraph">
              <wp:posOffset>0</wp:posOffset>
            </wp:positionV>
            <wp:extent cx="6506845" cy="3051175"/>
            <wp:effectExtent l="0" t="0" r="0" b="0"/>
            <wp:wrapThrough wrapText="bothSides">
              <wp:wrapPolygon edited="0">
                <wp:start x="0" y="0"/>
                <wp:lineTo x="0" y="21398"/>
                <wp:lineTo x="21501" y="21398"/>
                <wp:lineTo x="21501" y="0"/>
                <wp:lineTo x="0"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6845" cy="305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ACE">
        <w:rPr>
          <w:rFonts w:ascii="Arial"/>
          <w:b/>
        </w:rPr>
        <w:t xml:space="preserve">Figure 4. </w:t>
      </w:r>
      <w:r w:rsidR="00DA6ACE" w:rsidRPr="00B96D8F">
        <w:t>Definition quality ratings (%) in t</w:t>
      </w:r>
      <w:r w:rsidR="00DA6ACE" w:rsidRPr="001A183F">
        <w:t xml:space="preserve">he free-form definition task </w:t>
      </w:r>
      <w:r w:rsidR="00DA6ACE" w:rsidRPr="00B96D8F">
        <w:t>for novel concrete and abstract words immediately after learning (Day 1) and following an overnight sleep (Day 2). Error bars denote 95% confidence intervals.</w:t>
      </w:r>
    </w:p>
    <w:p w14:paraId="039403AF" w14:textId="77777777" w:rsidR="005A5F4B" w:rsidRPr="005A5F4B" w:rsidRDefault="005A5F4B" w:rsidP="00F655E2">
      <w:pPr>
        <w:spacing w:before="228"/>
        <w:rPr>
          <w:rFonts w:ascii="Arial"/>
          <w:b/>
          <w:sz w:val="20"/>
        </w:rPr>
      </w:pPr>
      <w:r w:rsidRPr="005A5F4B">
        <w:rPr>
          <w:rFonts w:ascii="Arial"/>
          <w:b/>
          <w:sz w:val="20"/>
        </w:rPr>
        <w:t xml:space="preserve">Multiple-choice Semantic Judgement </w:t>
      </w:r>
    </w:p>
    <w:p w14:paraId="48632877" w14:textId="1C826136" w:rsidR="00E21E18" w:rsidRPr="00CD32FE" w:rsidRDefault="004B463A" w:rsidP="00777D58">
      <w:pPr>
        <w:pStyle w:val="a3"/>
        <w:spacing w:before="102" w:line="249" w:lineRule="auto"/>
        <w:ind w:right="138"/>
        <w:jc w:val="both"/>
        <w:rPr>
          <w:u w:val="single"/>
        </w:rPr>
      </w:pPr>
      <w:r w:rsidRPr="00CD32FE">
        <w:rPr>
          <w:u w:val="single"/>
        </w:rPr>
        <w:t xml:space="preserve">F1 </w:t>
      </w:r>
      <w:r w:rsidR="008816BD" w:rsidRPr="00CD32FE">
        <w:rPr>
          <w:u w:val="single"/>
        </w:rPr>
        <w:t>ANOVA revealed signif</w:t>
      </w:r>
      <w:r w:rsidR="00C77BAB" w:rsidRPr="00CD32FE">
        <w:rPr>
          <w:u w:val="single"/>
        </w:rPr>
        <w:t xml:space="preserve">icant </w:t>
      </w:r>
      <w:r w:rsidR="005B1F19" w:rsidRPr="00CD32FE">
        <w:rPr>
          <w:u w:val="single"/>
        </w:rPr>
        <w:t xml:space="preserve">main </w:t>
      </w:r>
      <w:r w:rsidR="00C77BAB" w:rsidRPr="00CD32FE">
        <w:rPr>
          <w:u w:val="single"/>
        </w:rPr>
        <w:t>effect of D</w:t>
      </w:r>
      <w:r w:rsidR="00D4289D" w:rsidRPr="00CD32FE">
        <w:rPr>
          <w:u w:val="single"/>
        </w:rPr>
        <w:t>ay</w:t>
      </w:r>
      <w:r w:rsidR="00C77BAB" w:rsidRPr="00CD32FE">
        <w:rPr>
          <w:u w:val="single"/>
        </w:rPr>
        <w:t xml:space="preserve"> (F(1; 69)=28.321</w:t>
      </w:r>
      <w:r w:rsidR="008816BD" w:rsidRPr="00CD32FE">
        <w:rPr>
          <w:u w:val="single"/>
        </w:rPr>
        <w:t>; p=0.000</w:t>
      </w:r>
      <w:r w:rsidR="000F3013" w:rsidRPr="00CD32FE">
        <w:rPr>
          <w:u w:val="single"/>
        </w:rPr>
        <w:t>1</w:t>
      </w:r>
      <w:r w:rsidR="008816BD" w:rsidRPr="00CD32FE">
        <w:rPr>
          <w:u w:val="single"/>
        </w:rPr>
        <w:t xml:space="preserve">; </w:t>
      </w:r>
      <w:r w:rsidR="000F3013" w:rsidRPr="00CD32FE">
        <w:rPr>
          <w:u w:val="single"/>
        </w:rPr>
        <w:t>ηp²</w:t>
      </w:r>
      <w:r w:rsidR="00C77BAB" w:rsidRPr="00CD32FE">
        <w:rPr>
          <w:u w:val="single"/>
        </w:rPr>
        <w:t>=0.291</w:t>
      </w:r>
      <w:r w:rsidR="008816BD" w:rsidRPr="00CD32FE">
        <w:rPr>
          <w:u w:val="single"/>
        </w:rPr>
        <w:t>),</w:t>
      </w:r>
      <w:r w:rsidR="007369F0">
        <w:rPr>
          <w:u w:val="single"/>
        </w:rPr>
        <w:t xml:space="preserve"> </w:t>
      </w:r>
      <w:r w:rsidR="005B1F19" w:rsidRPr="00CD32FE">
        <w:rPr>
          <w:u w:val="single"/>
        </w:rPr>
        <w:t xml:space="preserve">as well as </w:t>
      </w:r>
      <w:r w:rsidR="00D4289D" w:rsidRPr="00CD32FE">
        <w:rPr>
          <w:u w:val="single"/>
        </w:rPr>
        <w:t xml:space="preserve">interactions between </w:t>
      </w:r>
      <w:r w:rsidR="005B1F19" w:rsidRPr="00CD32FE">
        <w:rPr>
          <w:u w:val="single"/>
        </w:rPr>
        <w:t xml:space="preserve">Day and Type (F(1; 69)=5.513; p=0.022; ηp²=0.074) and </w:t>
      </w:r>
      <w:r w:rsidR="00D4289D" w:rsidRPr="00CD32FE">
        <w:rPr>
          <w:u w:val="single"/>
        </w:rPr>
        <w:t xml:space="preserve">Day and </w:t>
      </w:r>
      <w:r w:rsidR="001E5602" w:rsidRPr="00CD32FE">
        <w:rPr>
          <w:u w:val="single"/>
        </w:rPr>
        <w:t>G</w:t>
      </w:r>
      <w:r w:rsidR="00D4289D" w:rsidRPr="00CD32FE">
        <w:rPr>
          <w:u w:val="single"/>
        </w:rPr>
        <w:t>roup</w:t>
      </w:r>
      <w:r w:rsidR="005B1F19" w:rsidRPr="00CD32FE">
        <w:rPr>
          <w:u w:val="single"/>
        </w:rPr>
        <w:t>,</w:t>
      </w:r>
      <w:r w:rsidR="00D4289D" w:rsidRPr="00CD32FE">
        <w:rPr>
          <w:u w:val="single"/>
        </w:rPr>
        <w:t xml:space="preserve"> </w:t>
      </w:r>
      <w:r w:rsidR="001E5602" w:rsidRPr="00CD32FE">
        <w:rPr>
          <w:u w:val="single"/>
        </w:rPr>
        <w:t xml:space="preserve">at tendency level (F(2; 69)=2.660; p=0.077; </w:t>
      </w:r>
      <w:r w:rsidR="000F3013" w:rsidRPr="00CD32FE">
        <w:rPr>
          <w:u w:val="single"/>
        </w:rPr>
        <w:t>ηp²</w:t>
      </w:r>
      <w:r w:rsidR="001E5602" w:rsidRPr="00CD32FE">
        <w:rPr>
          <w:u w:val="single"/>
        </w:rPr>
        <w:t>=0.072)</w:t>
      </w:r>
      <w:r w:rsidR="00083F9C" w:rsidRPr="00CD32FE">
        <w:rPr>
          <w:u w:val="single"/>
        </w:rPr>
        <w:t xml:space="preserve">. </w:t>
      </w:r>
      <w:r w:rsidR="00E21E18" w:rsidRPr="00CD32FE">
        <w:rPr>
          <w:u w:val="single"/>
        </w:rPr>
        <w:t>F</w:t>
      </w:r>
      <w:r w:rsidR="000F3013" w:rsidRPr="00CD32FE">
        <w:rPr>
          <w:u w:val="single"/>
        </w:rPr>
        <w:t>ollow</w:t>
      </w:r>
      <w:r w:rsidR="00836D7D" w:rsidRPr="00CD32FE">
        <w:rPr>
          <w:u w:val="single"/>
        </w:rPr>
        <w:t>ing</w:t>
      </w:r>
      <w:r w:rsidR="000F3013" w:rsidRPr="00CD32FE">
        <w:rPr>
          <w:u w:val="single"/>
        </w:rPr>
        <w:t xml:space="preserve"> </w:t>
      </w:r>
      <w:r w:rsidR="00E21E18" w:rsidRPr="00CD32FE">
        <w:rPr>
          <w:u w:val="single"/>
        </w:rPr>
        <w:t xml:space="preserve">this </w:t>
      </w:r>
      <w:r w:rsidR="000F3013" w:rsidRPr="00CD32FE">
        <w:rPr>
          <w:u w:val="single"/>
        </w:rPr>
        <w:t xml:space="preserve">up </w:t>
      </w:r>
      <w:r w:rsidR="00E21E18" w:rsidRPr="00CD32FE">
        <w:rPr>
          <w:u w:val="single"/>
        </w:rPr>
        <w:t>with</w:t>
      </w:r>
      <w:r w:rsidR="008816BD" w:rsidRPr="00CD32FE">
        <w:rPr>
          <w:u w:val="single"/>
        </w:rPr>
        <w:t xml:space="preserve"> two separate</w:t>
      </w:r>
      <w:r w:rsidR="00E21E18" w:rsidRPr="00CD32FE">
        <w:rPr>
          <w:u w:val="single"/>
        </w:rPr>
        <w:t xml:space="preserve"> analysis</w:t>
      </w:r>
      <w:r w:rsidR="008816BD" w:rsidRPr="00CD32FE">
        <w:rPr>
          <w:u w:val="single"/>
        </w:rPr>
        <w:t xml:space="preserve"> for each assessment day</w:t>
      </w:r>
      <w:r w:rsidR="00E21E18" w:rsidRPr="00CD32FE">
        <w:rPr>
          <w:u w:val="single"/>
        </w:rPr>
        <w:t>, we found</w:t>
      </w:r>
      <w:r w:rsidR="005A5F4B" w:rsidRPr="00CD32FE">
        <w:rPr>
          <w:u w:val="single"/>
        </w:rPr>
        <w:t xml:space="preserve"> the main effect of stimulation on the </w:t>
      </w:r>
      <w:r w:rsidR="00E37948" w:rsidRPr="00CD32FE">
        <w:rPr>
          <w:u w:val="single"/>
        </w:rPr>
        <w:t>second (but not the first)</w:t>
      </w:r>
      <w:r w:rsidR="005A5F4B" w:rsidRPr="00CD32FE">
        <w:rPr>
          <w:u w:val="single"/>
        </w:rPr>
        <w:t xml:space="preserve"> day of assessment at the level of </w:t>
      </w:r>
      <w:r w:rsidR="007369F0">
        <w:rPr>
          <w:u w:val="single"/>
        </w:rPr>
        <w:t xml:space="preserve">near-significant </w:t>
      </w:r>
      <w:r w:rsidR="005A5F4B" w:rsidRPr="00CD32FE">
        <w:rPr>
          <w:u w:val="single"/>
        </w:rPr>
        <w:t xml:space="preserve">tendency </w:t>
      </w:r>
      <w:r w:rsidR="00E92E37" w:rsidRPr="00CD32FE">
        <w:rPr>
          <w:u w:val="single"/>
        </w:rPr>
        <w:t>(F (2; 69)=2.944; p=0.059</w:t>
      </w:r>
      <w:r w:rsidR="005175E0" w:rsidRPr="00CD32FE">
        <w:rPr>
          <w:u w:val="single"/>
        </w:rPr>
        <w:t xml:space="preserve">; </w:t>
      </w:r>
      <w:r w:rsidR="000F3013" w:rsidRPr="00CD32FE">
        <w:rPr>
          <w:u w:val="single"/>
        </w:rPr>
        <w:lastRenderedPageBreak/>
        <w:t>ηp²</w:t>
      </w:r>
      <w:r w:rsidR="005175E0" w:rsidRPr="00CD32FE">
        <w:rPr>
          <w:u w:val="single"/>
        </w:rPr>
        <w:t>=0.07</w:t>
      </w:r>
      <w:r w:rsidR="00D45AB9" w:rsidRPr="00CD32FE">
        <w:rPr>
          <w:u w:val="single"/>
        </w:rPr>
        <w:t>9</w:t>
      </w:r>
      <w:r w:rsidR="005175E0" w:rsidRPr="00CD32FE">
        <w:rPr>
          <w:u w:val="single"/>
        </w:rPr>
        <w:t xml:space="preserve">), </w:t>
      </w:r>
      <w:r w:rsidR="005A5F4B" w:rsidRPr="00CD32FE">
        <w:rPr>
          <w:u w:val="single"/>
        </w:rPr>
        <w:t>with</w:t>
      </w:r>
      <w:r w:rsidR="00E21E18" w:rsidRPr="00CD32FE">
        <w:rPr>
          <w:u w:val="single"/>
        </w:rPr>
        <w:t xml:space="preserve"> overall</w:t>
      </w:r>
      <w:r w:rsidR="005A5F4B" w:rsidRPr="00CD32FE">
        <w:rPr>
          <w:u w:val="single"/>
        </w:rPr>
        <w:t xml:space="preserve"> higher accuracy for </w:t>
      </w:r>
      <w:r w:rsidR="00E21E18" w:rsidRPr="00CD32FE">
        <w:rPr>
          <w:u w:val="single"/>
        </w:rPr>
        <w:t xml:space="preserve">real </w:t>
      </w:r>
      <w:proofErr w:type="spellStart"/>
      <w:r w:rsidR="005A5F4B" w:rsidRPr="00CD32FE">
        <w:rPr>
          <w:u w:val="single"/>
        </w:rPr>
        <w:t>tDCS</w:t>
      </w:r>
      <w:proofErr w:type="spellEnd"/>
      <w:r w:rsidR="005A5F4B" w:rsidRPr="00CD32FE">
        <w:rPr>
          <w:u w:val="single"/>
        </w:rPr>
        <w:t xml:space="preserve"> than sham groups</w:t>
      </w:r>
      <w:r w:rsidR="00F96081" w:rsidRPr="00CD32FE">
        <w:rPr>
          <w:u w:val="single"/>
        </w:rPr>
        <w:t xml:space="preserve"> (Figure 5)</w:t>
      </w:r>
      <w:r w:rsidR="00E21E18" w:rsidRPr="00CD32FE">
        <w:rPr>
          <w:u w:val="single"/>
        </w:rPr>
        <w:t>.</w:t>
      </w:r>
    </w:p>
    <w:p w14:paraId="7709AB9E" w14:textId="13629EF0" w:rsidR="00777D58" w:rsidRDefault="005A5F4B" w:rsidP="00777D58">
      <w:pPr>
        <w:pStyle w:val="a3"/>
        <w:spacing w:before="102" w:line="249" w:lineRule="auto"/>
        <w:ind w:right="138"/>
        <w:jc w:val="both"/>
      </w:pPr>
      <w:r w:rsidRPr="001A183F">
        <w:t xml:space="preserve">Within-group analysis revealed significant differences in accuracy between the two days of assessment. Particularly, a decreased performance on Day 2 in comparison with Day </w:t>
      </w:r>
      <w:r w:rsidRPr="00B96D8F">
        <w:t xml:space="preserve">1 </w:t>
      </w:r>
      <w:r w:rsidRPr="001A183F">
        <w:t xml:space="preserve">was found for abstract </w:t>
      </w:r>
      <w:r w:rsidR="0038373D" w:rsidRPr="00CD32FE">
        <w:rPr>
          <w:u w:val="single"/>
        </w:rPr>
        <w:t>(p=0.015, Z=2.7)</w:t>
      </w:r>
      <w:r w:rsidR="0038373D" w:rsidRPr="001A183F">
        <w:t xml:space="preserve"> </w:t>
      </w:r>
      <w:r w:rsidR="0038373D">
        <w:t xml:space="preserve">and </w:t>
      </w:r>
      <w:r w:rsidR="0038373D" w:rsidRPr="00CD32FE">
        <w:rPr>
          <w:u w:val="single"/>
        </w:rPr>
        <w:t>concrete (p=0.032, Z=2.4)</w:t>
      </w:r>
      <w:r w:rsidR="0038373D">
        <w:t xml:space="preserve"> </w:t>
      </w:r>
      <w:r w:rsidRPr="001A183F">
        <w:t>semantics in the sham group</w:t>
      </w:r>
      <w:r w:rsidR="0038373D">
        <w:t xml:space="preserve"> </w:t>
      </w:r>
      <w:r w:rsidRPr="001A183F">
        <w:t xml:space="preserve">and for concrete semantics in the anodal </w:t>
      </w:r>
      <w:r w:rsidRPr="00CD32FE">
        <w:t xml:space="preserve">group </w:t>
      </w:r>
      <w:r w:rsidR="00911B73" w:rsidRPr="00CD32FE">
        <w:t>(</w:t>
      </w:r>
      <w:r w:rsidR="00911B73" w:rsidRPr="00CD32FE">
        <w:rPr>
          <w:u w:val="single"/>
        </w:rPr>
        <w:t>p=0.003, Z=3.2)</w:t>
      </w:r>
      <w:r w:rsidR="000F3013" w:rsidRPr="00CD32FE">
        <w:rPr>
          <w:u w:val="single"/>
        </w:rPr>
        <w:t>,</w:t>
      </w:r>
      <w:r w:rsidR="00911B73" w:rsidRPr="00CD32FE">
        <w:rPr>
          <w:u w:val="single"/>
        </w:rPr>
        <w:t xml:space="preserve"> </w:t>
      </w:r>
      <w:r w:rsidRPr="001A183F">
        <w:t xml:space="preserve">with </w:t>
      </w:r>
      <w:r w:rsidRPr="00B96D8F">
        <w:t xml:space="preserve">no overnight changes reaching significance in the cathodal </w:t>
      </w:r>
      <w:proofErr w:type="spellStart"/>
      <w:r w:rsidRPr="00B96D8F">
        <w:t>tDCS</w:t>
      </w:r>
      <w:proofErr w:type="spellEnd"/>
      <w:r w:rsidRPr="00B96D8F">
        <w:t xml:space="preserve"> </w:t>
      </w:r>
      <w:r w:rsidRPr="001A183F">
        <w:t xml:space="preserve">group. </w:t>
      </w:r>
      <w:r w:rsidR="00110FEB">
        <w:t>A d</w:t>
      </w:r>
      <w:r w:rsidRPr="001A183F">
        <w:t>irect comparison between the semantic types did not produce significant results.</w:t>
      </w:r>
    </w:p>
    <w:p w14:paraId="135369BD" w14:textId="65FD4816" w:rsidR="000B2215" w:rsidRPr="00CD32FE" w:rsidRDefault="00777D58" w:rsidP="00201BE5">
      <w:pPr>
        <w:pStyle w:val="a3"/>
        <w:spacing w:before="102" w:line="249" w:lineRule="auto"/>
        <w:ind w:right="138"/>
        <w:jc w:val="both"/>
        <w:rPr>
          <w:u w:val="single"/>
        </w:rPr>
      </w:pPr>
      <w:r w:rsidRPr="00CD32FE">
        <w:rPr>
          <w:u w:val="single"/>
        </w:rPr>
        <w:t xml:space="preserve">F2 ANOVA affirmed the effect of </w:t>
      </w:r>
      <w:r w:rsidR="000B2215" w:rsidRPr="00CD32FE">
        <w:rPr>
          <w:u w:val="single"/>
        </w:rPr>
        <w:t>D</w:t>
      </w:r>
      <w:r w:rsidR="00D4289D" w:rsidRPr="00CD32FE">
        <w:rPr>
          <w:u w:val="single"/>
        </w:rPr>
        <w:t>ay</w:t>
      </w:r>
      <w:r w:rsidR="000B2215" w:rsidRPr="00CD32FE">
        <w:rPr>
          <w:u w:val="single"/>
        </w:rPr>
        <w:t xml:space="preserve"> (F(1;29)=19.632; p=0.000</w:t>
      </w:r>
      <w:r w:rsidR="000F3013" w:rsidRPr="00CD32FE">
        <w:rPr>
          <w:u w:val="single"/>
        </w:rPr>
        <w:t>1</w:t>
      </w:r>
      <w:r w:rsidR="000B2215" w:rsidRPr="00CD32FE">
        <w:rPr>
          <w:u w:val="single"/>
        </w:rPr>
        <w:t xml:space="preserve">; </w:t>
      </w:r>
      <w:r w:rsidR="000F3013" w:rsidRPr="00CD32FE">
        <w:rPr>
          <w:u w:val="single"/>
        </w:rPr>
        <w:t>ηp²</w:t>
      </w:r>
      <w:r w:rsidR="000B2215" w:rsidRPr="00CD32FE">
        <w:rPr>
          <w:u w:val="single"/>
        </w:rPr>
        <w:t>=0.404)</w:t>
      </w:r>
      <w:r w:rsidRPr="00CD32FE">
        <w:rPr>
          <w:u w:val="single"/>
        </w:rPr>
        <w:t xml:space="preserve"> and </w:t>
      </w:r>
      <w:r w:rsidR="00D4289D" w:rsidRPr="00CD32FE">
        <w:rPr>
          <w:u w:val="single"/>
        </w:rPr>
        <w:t xml:space="preserve">interactions between </w:t>
      </w:r>
      <w:r w:rsidRPr="00CD32FE">
        <w:rPr>
          <w:u w:val="single"/>
        </w:rPr>
        <w:t>D</w:t>
      </w:r>
      <w:r w:rsidR="00D4289D" w:rsidRPr="00CD32FE">
        <w:rPr>
          <w:u w:val="single"/>
        </w:rPr>
        <w:t xml:space="preserve">ay and </w:t>
      </w:r>
      <w:r w:rsidRPr="00CD32FE">
        <w:rPr>
          <w:u w:val="single"/>
        </w:rPr>
        <w:t>G</w:t>
      </w:r>
      <w:r w:rsidR="00D4289D" w:rsidRPr="00CD32FE">
        <w:rPr>
          <w:u w:val="single"/>
        </w:rPr>
        <w:t>roup</w:t>
      </w:r>
      <w:r w:rsidRPr="00CD32FE">
        <w:rPr>
          <w:u w:val="single"/>
        </w:rPr>
        <w:t xml:space="preserve"> (F(2;58)=2.848; p=0.066; </w:t>
      </w:r>
      <w:r w:rsidR="000F3013" w:rsidRPr="00CD32FE">
        <w:rPr>
          <w:u w:val="single"/>
        </w:rPr>
        <w:t>ηp²</w:t>
      </w:r>
      <w:r w:rsidRPr="00CD32FE">
        <w:rPr>
          <w:u w:val="single"/>
        </w:rPr>
        <w:t xml:space="preserve">=0.089). </w:t>
      </w:r>
      <w:r w:rsidR="00AB07DB" w:rsidRPr="00CD32FE">
        <w:rPr>
          <w:u w:val="single"/>
        </w:rPr>
        <w:t>It als</w:t>
      </w:r>
      <w:r w:rsidR="006438A1" w:rsidRPr="00CD32FE">
        <w:rPr>
          <w:u w:val="single"/>
        </w:rPr>
        <w:t>o</w:t>
      </w:r>
      <w:r w:rsidR="00AB07DB" w:rsidRPr="00CD32FE">
        <w:rPr>
          <w:u w:val="single"/>
        </w:rPr>
        <w:t xml:space="preserve"> revealed </w:t>
      </w:r>
      <w:r w:rsidR="00E21E18" w:rsidRPr="00CD32FE">
        <w:rPr>
          <w:u w:val="single"/>
        </w:rPr>
        <w:t xml:space="preserve">a </w:t>
      </w:r>
      <w:r w:rsidR="00AB07DB" w:rsidRPr="00CD32FE">
        <w:rPr>
          <w:u w:val="single"/>
        </w:rPr>
        <w:t xml:space="preserve">significant </w:t>
      </w:r>
      <w:r w:rsidR="00E21E18" w:rsidRPr="00CD32FE">
        <w:rPr>
          <w:u w:val="single"/>
        </w:rPr>
        <w:t xml:space="preserve">main </w:t>
      </w:r>
      <w:r w:rsidR="00AB07DB" w:rsidRPr="00CD32FE">
        <w:rPr>
          <w:u w:val="single"/>
        </w:rPr>
        <w:t>effect of G</w:t>
      </w:r>
      <w:r w:rsidR="00D4289D" w:rsidRPr="00CD32FE">
        <w:rPr>
          <w:u w:val="single"/>
        </w:rPr>
        <w:t xml:space="preserve">roup </w:t>
      </w:r>
      <w:r w:rsidR="00AB07DB" w:rsidRPr="00CD32FE">
        <w:rPr>
          <w:u w:val="single"/>
        </w:rPr>
        <w:t>(</w:t>
      </w:r>
      <w:proofErr w:type="gramStart"/>
      <w:r w:rsidR="00AB07DB" w:rsidRPr="00CD32FE">
        <w:rPr>
          <w:u w:val="single"/>
        </w:rPr>
        <w:t>F(</w:t>
      </w:r>
      <w:proofErr w:type="gramEnd"/>
      <w:r w:rsidR="00AB07DB" w:rsidRPr="00CD32FE">
        <w:rPr>
          <w:u w:val="single"/>
        </w:rPr>
        <w:t>2;58)=8.728; p=0.000</w:t>
      </w:r>
      <w:r w:rsidR="000F3013" w:rsidRPr="00CD32FE">
        <w:rPr>
          <w:u w:val="single"/>
        </w:rPr>
        <w:t>1</w:t>
      </w:r>
      <w:r w:rsidR="00AB07DB" w:rsidRPr="00CD32FE">
        <w:rPr>
          <w:u w:val="single"/>
        </w:rPr>
        <w:t xml:space="preserve">; </w:t>
      </w:r>
      <w:r w:rsidR="000B0773" w:rsidRPr="00CD32FE">
        <w:rPr>
          <w:u w:val="single"/>
        </w:rPr>
        <w:t>ηp²=</w:t>
      </w:r>
      <w:r w:rsidR="00AB07DB" w:rsidRPr="00CD32FE">
        <w:rPr>
          <w:u w:val="single"/>
        </w:rPr>
        <w:t xml:space="preserve">=0.231). </w:t>
      </w:r>
    </w:p>
    <w:p w14:paraId="37E0B458" w14:textId="770BC87E" w:rsidR="006400D9" w:rsidRDefault="006400D9" w:rsidP="00201BE5">
      <w:pPr>
        <w:pStyle w:val="a3"/>
        <w:spacing w:before="102" w:line="249" w:lineRule="auto"/>
        <w:ind w:right="138"/>
        <w:jc w:val="both"/>
      </w:pPr>
      <w:r w:rsidRPr="006400D9">
        <w:rPr>
          <w:noProof/>
          <w:lang w:bidi="ar-SA"/>
        </w:rPr>
        <w:drawing>
          <wp:inline distT="0" distB="0" distL="0" distR="0" wp14:anchorId="068BB174" wp14:editId="365061A9">
            <wp:extent cx="6515100" cy="3191779"/>
            <wp:effectExtent l="0" t="0" r="0" b="889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100" cy="3191779"/>
                    </a:xfrm>
                    <a:prstGeom prst="rect">
                      <a:avLst/>
                    </a:prstGeom>
                    <a:noFill/>
                    <a:ln>
                      <a:noFill/>
                    </a:ln>
                  </pic:spPr>
                </pic:pic>
              </a:graphicData>
            </a:graphic>
          </wp:inline>
        </w:drawing>
      </w:r>
    </w:p>
    <w:p w14:paraId="6B5C028A" w14:textId="3713AD8F" w:rsidR="00DF441F" w:rsidRDefault="00DF441F" w:rsidP="00646925">
      <w:pPr>
        <w:pStyle w:val="a3"/>
        <w:spacing w:before="102" w:line="249" w:lineRule="auto"/>
        <w:ind w:left="126" w:right="138" w:firstLine="7"/>
        <w:jc w:val="center"/>
      </w:pPr>
      <w:r>
        <w:rPr>
          <w:rFonts w:ascii="Arial"/>
          <w:b/>
        </w:rPr>
        <w:t xml:space="preserve">Figure 5. </w:t>
      </w:r>
      <w:r w:rsidRPr="001A183F">
        <w:t xml:space="preserve">Accuracy </w:t>
      </w:r>
      <w:r w:rsidRPr="00B96D8F">
        <w:t xml:space="preserve">in the </w:t>
      </w:r>
      <w:r>
        <w:t xml:space="preserve">semantic judgement </w:t>
      </w:r>
      <w:proofErr w:type="spellStart"/>
      <w:r>
        <w:t>taks</w:t>
      </w:r>
      <w:proofErr w:type="spellEnd"/>
      <w:r w:rsidRPr="00B96D8F">
        <w:t xml:space="preserve"> for novel concrete and abstract words immediately after learning (Day 1) and following an overnight sleep (Day 2). Error bars denote 95% confidence intervals.</w:t>
      </w:r>
    </w:p>
    <w:p w14:paraId="3F05FD7A" w14:textId="77777777" w:rsidR="008C6A6E" w:rsidRDefault="008C6A6E" w:rsidP="008C6A6E">
      <w:pPr>
        <w:pStyle w:val="a3"/>
        <w:spacing w:before="102" w:line="249" w:lineRule="auto"/>
        <w:ind w:left="126" w:right="138" w:firstLine="7"/>
        <w:jc w:val="both"/>
      </w:pPr>
    </w:p>
    <w:p w14:paraId="4474AA23" w14:textId="4574CDA1" w:rsidR="0066397A" w:rsidRDefault="00AE2457" w:rsidP="008C6A6E">
      <w:pPr>
        <w:pStyle w:val="1"/>
        <w:spacing w:before="1"/>
      </w:pPr>
      <w:r>
        <w:t>Discussion</w:t>
      </w:r>
    </w:p>
    <w:p w14:paraId="5B95FD9F" w14:textId="61B95E1C" w:rsidR="00966B3D" w:rsidRPr="00B96D8F" w:rsidRDefault="00966B3D" w:rsidP="00966B3D">
      <w:pPr>
        <w:pStyle w:val="a3"/>
        <w:spacing w:before="102" w:line="249" w:lineRule="auto"/>
        <w:ind w:left="126" w:right="138" w:firstLine="7"/>
        <w:jc w:val="both"/>
      </w:pPr>
      <w:r w:rsidRPr="00B96D8F">
        <w:t xml:space="preserve">The present study is, to our knowledge, one of the first to apply the </w:t>
      </w:r>
      <w:proofErr w:type="spellStart"/>
      <w:r w:rsidRPr="00B96D8F">
        <w:t>tDCS</w:t>
      </w:r>
      <w:proofErr w:type="spellEnd"/>
      <w:r w:rsidRPr="00B96D8F">
        <w:t xml:space="preserve"> method to modulate language learning, particularly the acquisition of concrete and abstract semantics. </w:t>
      </w:r>
      <w:r w:rsidRPr="004251BC">
        <w:t xml:space="preserve">The findings of the study demonstrate successful acquisition of both concrete and abstract words following just 5 presentations in </w:t>
      </w:r>
      <w:r w:rsidRPr="00B96D8F">
        <w:t>sentential context in what was a rather challenging task of learning 20 new words in a single reading session</w:t>
      </w:r>
      <w:r w:rsidRPr="004251BC">
        <w:t xml:space="preserve">. Moreover, the overall learning </w:t>
      </w:r>
      <w:r w:rsidRPr="00B96D8F">
        <w:t>trajectory</w:t>
      </w:r>
      <w:r w:rsidRPr="004251BC">
        <w:t xml:space="preserve"> </w:t>
      </w:r>
      <w:r w:rsidRPr="00B96D8F">
        <w:t>seemed to differ between</w:t>
      </w:r>
      <w:r w:rsidRPr="004251BC">
        <w:t xml:space="preserve"> the sham group</w:t>
      </w:r>
      <w:r w:rsidRPr="00B96D8F">
        <w:t xml:space="preserve"> and the two stimulation groups</w:t>
      </w:r>
      <w:r w:rsidRPr="004251BC">
        <w:t>. W</w:t>
      </w:r>
      <w:r w:rsidRPr="00B96D8F">
        <w:t xml:space="preserve">e ran a number of tests (FDR-corrected for multiple comparisons) to check the word acquisition outcomes and found </w:t>
      </w:r>
      <w:r w:rsidR="00FB6382">
        <w:t xml:space="preserve">the </w:t>
      </w:r>
      <w:r w:rsidRPr="00B96D8F">
        <w:t xml:space="preserve">effects of </w:t>
      </w:r>
      <w:proofErr w:type="spellStart"/>
      <w:r w:rsidRPr="00B96D8F">
        <w:t>tDCS</w:t>
      </w:r>
      <w:proofErr w:type="spellEnd"/>
      <w:r w:rsidRPr="00B96D8F">
        <w:t xml:space="preserve"> in all assessment tasks. Whereas all tests showed an overall reduction in performance between Days 1 and 2 (not surprising considering the complexity of the task and the number and diversity of words to be acquired), the effects on both days and this change in performance differed between the three stimulation groups and the </w:t>
      </w:r>
      <w:r>
        <w:t xml:space="preserve">linguistic </w:t>
      </w:r>
      <w:r w:rsidRPr="00B96D8F">
        <w:t>stimulus types.</w:t>
      </w:r>
      <w:r w:rsidR="00B57641">
        <w:t xml:space="preserve"> </w:t>
      </w:r>
    </w:p>
    <w:p w14:paraId="242FAF54" w14:textId="77777777" w:rsidR="00966B3D" w:rsidRPr="00B96D8F" w:rsidRDefault="00966B3D" w:rsidP="00966B3D">
      <w:pPr>
        <w:pStyle w:val="a3"/>
        <w:spacing w:before="102" w:line="249" w:lineRule="auto"/>
        <w:ind w:left="126" w:right="138" w:firstLine="7"/>
        <w:jc w:val="both"/>
      </w:pPr>
      <w:r w:rsidRPr="00B96D8F">
        <w:t xml:space="preserve">The free recall task, whose main purpose was to assess the acquisition of word forms per se, irrespective of their semantics, showed a limited </w:t>
      </w:r>
      <w:r>
        <w:t>amount</w:t>
      </w:r>
      <w:r w:rsidRPr="00B96D8F">
        <w:t xml:space="preserve"> of effects. The most interesting outcome was that the drop in recall hits on Day 2, whilst being significant in both sham and anodal </w:t>
      </w:r>
      <w:proofErr w:type="spellStart"/>
      <w:r w:rsidRPr="00B96D8F">
        <w:t>tDCS</w:t>
      </w:r>
      <w:proofErr w:type="spellEnd"/>
      <w:r w:rsidRPr="00B96D8F">
        <w:t xml:space="preserve"> groups for both concrete and abstract stimuli, was not significant in the cathodal </w:t>
      </w:r>
      <w:proofErr w:type="spellStart"/>
      <w:r w:rsidRPr="00B96D8F">
        <w:t>tDCS</w:t>
      </w:r>
      <w:proofErr w:type="spellEnd"/>
      <w:r w:rsidRPr="00B96D8F">
        <w:t xml:space="preserve"> group, </w:t>
      </w:r>
      <w:r>
        <w:t xml:space="preserve">potentially </w:t>
      </w:r>
      <w:r w:rsidRPr="00B96D8F">
        <w:t xml:space="preserve">suggesting a positive effect of cathodal Wernicke </w:t>
      </w:r>
      <w:proofErr w:type="spellStart"/>
      <w:r w:rsidRPr="00B96D8F">
        <w:t>tDCS</w:t>
      </w:r>
      <w:proofErr w:type="spellEnd"/>
      <w:r w:rsidRPr="00B96D8F">
        <w:t xml:space="preserve"> on consolidation of long-term memory traces for new word forms.</w:t>
      </w:r>
    </w:p>
    <w:p w14:paraId="5465F8F0" w14:textId="78127634" w:rsidR="00966B3D" w:rsidRPr="00B96D8F" w:rsidRDefault="00966B3D" w:rsidP="00966B3D">
      <w:pPr>
        <w:pStyle w:val="a3"/>
        <w:spacing w:before="102" w:line="249" w:lineRule="auto"/>
        <w:ind w:left="126" w:right="138" w:firstLine="7"/>
        <w:jc w:val="both"/>
      </w:pPr>
      <w:r w:rsidRPr="00B96D8F">
        <w:t xml:space="preserve">Interestingly, this lexical-level test did not differentiate the learning performance between novel concrete and abstract words, indicating overall similar acquisition of both types of word forms. </w:t>
      </w:r>
      <w:r w:rsidR="00836D7D" w:rsidRPr="00CD32FE">
        <w:rPr>
          <w:u w:val="single"/>
        </w:rPr>
        <w:t xml:space="preserve">This lack of </w:t>
      </w:r>
      <w:proofErr w:type="gramStart"/>
      <w:r w:rsidR="00836D7D" w:rsidRPr="00CD32FE">
        <w:rPr>
          <w:u w:val="single"/>
        </w:rPr>
        <w:t>semantically-specific</w:t>
      </w:r>
      <w:proofErr w:type="gramEnd"/>
      <w:r w:rsidR="00836D7D" w:rsidRPr="00CD32FE">
        <w:rPr>
          <w:u w:val="single"/>
        </w:rPr>
        <w:t xml:space="preserve"> effects was confirmed by both F1 </w:t>
      </w:r>
      <w:r w:rsidR="007369F0">
        <w:rPr>
          <w:u w:val="single"/>
        </w:rPr>
        <w:t xml:space="preserve">(conventional subject-based) </w:t>
      </w:r>
      <w:r w:rsidR="00836D7D" w:rsidRPr="00CD32FE">
        <w:rPr>
          <w:u w:val="single"/>
        </w:rPr>
        <w:t>and F2 (item-based) analyses.</w:t>
      </w:r>
      <w:r w:rsidR="00836D7D">
        <w:t xml:space="preserve"> </w:t>
      </w:r>
      <w:r w:rsidRPr="00B96D8F">
        <w:t xml:space="preserve">This is different from the well-known “concreteness effect”, and may be explained by the highly controlled nature of the paradigm, in which both sets of words </w:t>
      </w:r>
      <w:r w:rsidRPr="00B96D8F">
        <w:lastRenderedPageBreak/>
        <w:t xml:space="preserve">were fully matched for surface properties through counterbalancing, and were </w:t>
      </w:r>
      <w:r w:rsidRPr="00276954">
        <w:rPr>
          <w:u w:val="single"/>
        </w:rPr>
        <w:t>learn</w:t>
      </w:r>
      <w:r w:rsidR="00276954" w:rsidRPr="00276954">
        <w:rPr>
          <w:u w:val="single"/>
        </w:rPr>
        <w:t>ed</w:t>
      </w:r>
      <w:r w:rsidRPr="00B96D8F">
        <w:t xml:space="preserve"> in an identical fashion through highly similar short-story contexts. </w:t>
      </w:r>
      <w:r>
        <w:t>Of all tests applied</w:t>
      </w:r>
      <w:r w:rsidRPr="00B96D8F">
        <w:t xml:space="preserve">, only </w:t>
      </w:r>
      <w:r>
        <w:t xml:space="preserve">the analysis of </w:t>
      </w:r>
      <w:r w:rsidRPr="00B96D8F">
        <w:t xml:space="preserve">definition quality led to </w:t>
      </w:r>
      <w:r w:rsidR="00836D7D" w:rsidRPr="00276954">
        <w:rPr>
          <w:u w:val="single"/>
        </w:rPr>
        <w:t>lim</w:t>
      </w:r>
      <w:r w:rsidR="00276954" w:rsidRPr="00276954">
        <w:rPr>
          <w:u w:val="single"/>
        </w:rPr>
        <w:t>i</w:t>
      </w:r>
      <w:r w:rsidR="00836D7D" w:rsidRPr="00276954">
        <w:rPr>
          <w:u w:val="single"/>
        </w:rPr>
        <w:t>ted</w:t>
      </w:r>
      <w:r w:rsidRPr="00B96D8F">
        <w:t xml:space="preserve"> concreteness effect</w:t>
      </w:r>
      <w:r w:rsidR="00836D7D">
        <w:t>s</w:t>
      </w:r>
      <w:r>
        <w:t>; considering that the definition accuracy did not show a similar divergence, this may have more to do with the nature of assessment task and the relative ease of defining concrete objects, than with poorer learning as such</w:t>
      </w:r>
      <w:r w:rsidRPr="00B96D8F">
        <w:t>. This suggests that the conventional concreteness effect may, at least in part, possibly be driven by different psycholinguistic properties (e.g. length, lexical frequency), age of acquisition, context of use</w:t>
      </w:r>
      <w:r w:rsidR="00276954">
        <w:t>,</w:t>
      </w:r>
      <w:r w:rsidRPr="00B96D8F">
        <w:t xml:space="preserve"> and other variables, rather than the concreteness/abstractness of words per se.</w:t>
      </w:r>
    </w:p>
    <w:p w14:paraId="5210DF85" w14:textId="52C2E4B6" w:rsidR="00966B3D" w:rsidRDefault="00966B3D" w:rsidP="0069538B">
      <w:pPr>
        <w:pStyle w:val="a3"/>
        <w:spacing w:before="102" w:line="249" w:lineRule="auto"/>
        <w:ind w:left="126" w:right="138" w:firstLine="7"/>
        <w:jc w:val="both"/>
      </w:pPr>
      <w:r w:rsidRPr="00B96D8F">
        <w:t xml:space="preserve">Both semantic tasks </w:t>
      </w:r>
      <w:r>
        <w:t xml:space="preserve">– </w:t>
      </w:r>
      <w:r w:rsidRPr="00B96D8F">
        <w:t xml:space="preserve">free-from definition and multiple-choice semantic judgement </w:t>
      </w:r>
      <w:r>
        <w:t>–</w:t>
      </w:r>
      <w:r w:rsidRPr="00B96D8F">
        <w:t xml:space="preserve"> indicated further differ</w:t>
      </w:r>
      <w:r w:rsidR="00B318D4">
        <w:t>ences between the three groups</w:t>
      </w:r>
      <w:r w:rsidRPr="00B96D8F">
        <w:t xml:space="preserve">, </w:t>
      </w:r>
      <w:r w:rsidR="00D9530E">
        <w:t>with</w:t>
      </w:r>
      <w:r w:rsidRPr="00B96D8F">
        <w:t xml:space="preserve"> an overall better performance of both </w:t>
      </w:r>
      <w:proofErr w:type="spellStart"/>
      <w:r w:rsidRPr="00B96D8F">
        <w:t>tDCS</w:t>
      </w:r>
      <w:proofErr w:type="spellEnd"/>
      <w:r w:rsidRPr="00B96D8F">
        <w:t xml:space="preserve"> groups over the sham one</w:t>
      </w:r>
      <w:r w:rsidRPr="00CD32FE">
        <w:rPr>
          <w:u w:val="single"/>
        </w:rPr>
        <w:t xml:space="preserve">. </w:t>
      </w:r>
      <w:r w:rsidR="00B318D4" w:rsidRPr="00CD32FE">
        <w:rPr>
          <w:u w:val="single"/>
        </w:rPr>
        <w:t>Furthermore,</w:t>
      </w:r>
      <w:r w:rsidR="00B318D4">
        <w:t xml:space="preserve"> f</w:t>
      </w:r>
      <w:r w:rsidRPr="00B96D8F">
        <w:t xml:space="preserve">ollowing corrections for multiple comparisons, this effect approached significance on Day 2 </w:t>
      </w:r>
      <w:r w:rsidR="00E31099" w:rsidRPr="00CD32FE">
        <w:rPr>
          <w:u w:val="single"/>
        </w:rPr>
        <w:t xml:space="preserve">for abstract semantics </w:t>
      </w:r>
      <w:r w:rsidRPr="00CD32FE">
        <w:rPr>
          <w:u w:val="single"/>
        </w:rPr>
        <w:t xml:space="preserve">in </w:t>
      </w:r>
      <w:r w:rsidR="00B318D4" w:rsidRPr="00CD32FE">
        <w:rPr>
          <w:u w:val="single"/>
        </w:rPr>
        <w:t xml:space="preserve">both </w:t>
      </w:r>
      <w:r w:rsidRPr="00CD32FE">
        <w:rPr>
          <w:u w:val="single"/>
        </w:rPr>
        <w:t>task</w:t>
      </w:r>
      <w:r w:rsidR="00B318D4" w:rsidRPr="00CD32FE">
        <w:rPr>
          <w:u w:val="single"/>
        </w:rPr>
        <w:t>s</w:t>
      </w:r>
      <w:r w:rsidR="00BA4E03" w:rsidRPr="00CD32FE">
        <w:rPr>
          <w:u w:val="single"/>
        </w:rPr>
        <w:t xml:space="preserve">, </w:t>
      </w:r>
      <w:r w:rsidR="00D9530E" w:rsidRPr="00CD32FE">
        <w:rPr>
          <w:u w:val="single"/>
        </w:rPr>
        <w:t xml:space="preserve">although </w:t>
      </w:r>
      <w:r w:rsidR="00BA4E03" w:rsidRPr="00CD32FE">
        <w:rPr>
          <w:u w:val="single"/>
        </w:rPr>
        <w:t>diverg</w:t>
      </w:r>
      <w:r w:rsidR="00D9530E" w:rsidRPr="00CD32FE">
        <w:rPr>
          <w:u w:val="single"/>
        </w:rPr>
        <w:t>ing</w:t>
      </w:r>
      <w:r w:rsidR="00BA4E03" w:rsidRPr="00CD32FE">
        <w:rPr>
          <w:u w:val="single"/>
        </w:rPr>
        <w:t xml:space="preserve"> between stimulation polarities</w:t>
      </w:r>
      <w:r w:rsidRPr="00CD32FE">
        <w:rPr>
          <w:u w:val="single"/>
        </w:rPr>
        <w:t xml:space="preserve">. </w:t>
      </w:r>
      <w:r w:rsidR="00392249" w:rsidRPr="00CD32FE">
        <w:rPr>
          <w:u w:val="single"/>
        </w:rPr>
        <w:t xml:space="preserve">These </w:t>
      </w:r>
      <w:r w:rsidR="00831BD8" w:rsidRPr="00CD32FE">
        <w:rPr>
          <w:u w:val="single"/>
        </w:rPr>
        <w:t>tasks</w:t>
      </w:r>
      <w:r w:rsidR="00392249" w:rsidRPr="00CD32FE">
        <w:rPr>
          <w:u w:val="single"/>
        </w:rPr>
        <w:t xml:space="preserve"> </w:t>
      </w:r>
      <w:r w:rsidR="00831BD8" w:rsidRPr="00CD32FE">
        <w:rPr>
          <w:u w:val="single"/>
        </w:rPr>
        <w:t>specifically tested</w:t>
      </w:r>
      <w:r w:rsidR="00D9530E" w:rsidRPr="00CD32FE">
        <w:rPr>
          <w:u w:val="single"/>
        </w:rPr>
        <w:t xml:space="preserve"> </w:t>
      </w:r>
      <w:r w:rsidR="00110FEB" w:rsidRPr="00CD32FE">
        <w:rPr>
          <w:u w:val="single"/>
        </w:rPr>
        <w:t xml:space="preserve">the </w:t>
      </w:r>
      <w:r w:rsidRPr="00CD32FE">
        <w:rPr>
          <w:u w:val="single"/>
        </w:rPr>
        <w:t xml:space="preserve">ability to </w:t>
      </w:r>
      <w:r w:rsidR="00831BD8" w:rsidRPr="00CD32FE">
        <w:rPr>
          <w:u w:val="single"/>
        </w:rPr>
        <w:t xml:space="preserve">assess and </w:t>
      </w:r>
      <w:r w:rsidRPr="00CD32FE">
        <w:rPr>
          <w:u w:val="single"/>
        </w:rPr>
        <w:t>describe the features of the novel concepts</w:t>
      </w:r>
      <w:r w:rsidR="00831BD8" w:rsidRPr="00CD32FE">
        <w:rPr>
          <w:u w:val="single"/>
        </w:rPr>
        <w:t>,</w:t>
      </w:r>
      <w:r w:rsidRPr="00CD32FE">
        <w:rPr>
          <w:u w:val="single"/>
        </w:rPr>
        <w:t xml:space="preserve"> </w:t>
      </w:r>
      <w:r w:rsidR="00831BD8" w:rsidRPr="00CD32FE">
        <w:rPr>
          <w:u w:val="single"/>
        </w:rPr>
        <w:t>before and after</w:t>
      </w:r>
      <w:r w:rsidRPr="00CD32FE">
        <w:rPr>
          <w:u w:val="single"/>
        </w:rPr>
        <w:t xml:space="preserve"> their putative binding into a memory circuit during the overnight consolidation phase</w:t>
      </w:r>
      <w:r w:rsidRPr="00CD32FE">
        <w:rPr>
          <w:u w:val="single"/>
        </w:rPr>
        <w:fldChar w:fldCharType="begin" w:fldLock="1"/>
      </w:r>
      <w:r w:rsidR="00943416">
        <w:rPr>
          <w:u w:val="single"/>
        </w:rPr>
        <w:instrText>ADDIN CSL_CITATION {"citationItems":[{"id":"ITEM-1","itemData":{"DOI":"10.1152/physrev.00032.2012","ISSN":"00319333","PMID":"23589831","abstract":"Over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 © 2013 the American Physiological Society.","author":[{"dropping-particle":"","family":"Rasch","given":"Björn","non-dropping-particle":"","parse-names":false,"suffix":""},{"dropping-particle":"","family":"Born","given":"Jan","non-dropping-particle":"","parse-names":false,"suffix":""}],"container-title":"Physiological Reviews","id":"ITEM-1","issued":{"date-parts":[["2013"]]},"title":"About sleep's role in memory","type":"article-journal"},"uris":["http://www.mendeley.com/documents/?uuid=abb97bb5-8a47-4f20-8dbb-a52dd2140afa"]},{"id":"ITEM-2","itemData":{"DOI":"10.1098/rstb.2009.0111","ISSN":"14712970","abstract":"In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 2009 The Royal Society.","author":[{"dropping-particle":"","family":"Davis","given":"Matthew H.","non-dropping-particle":"","parse-names":false,"suffix":""},{"dropping-particle":"","family":"Gaskell","given":"M. Gareth","non-dropping-particle":"","parse-names":false,"suffix":""}],"container-title":"Philosophical Transactions of the Royal Society B: Biological Sciences","id":"ITEM-2","issue":"1536","issued":{"date-parts":[["2009"]]},"page":"3773-3800","title":"A complementary systems account of word learning: Neural and behavioural evidence","type":"article","volume":"364"},"uris":["http://www.mendeley.com/documents/?uuid=7b61b552-2dc7-4655-b6e2-780655ea856b"]}],"mendeley":{"formattedCitation":"&lt;sup&gt;58,59&lt;/sup&gt;","plainTextFormattedCitation":"58,59","previouslyFormattedCitation":"&lt;sup&gt;58,59&lt;/sup&gt;"},"properties":{"noteIndex":0},"schema":"https://github.com/citation-style-language/schema/raw/master/csl-citation.json"}</w:instrText>
      </w:r>
      <w:r w:rsidRPr="00CD32FE">
        <w:rPr>
          <w:u w:val="single"/>
        </w:rPr>
        <w:fldChar w:fldCharType="separate"/>
      </w:r>
      <w:r w:rsidR="00B169CE" w:rsidRPr="00B169CE">
        <w:rPr>
          <w:noProof/>
          <w:vertAlign w:val="superscript"/>
        </w:rPr>
        <w:t>58,59</w:t>
      </w:r>
      <w:r w:rsidRPr="00CD32FE">
        <w:rPr>
          <w:u w:val="single"/>
        </w:rPr>
        <w:fldChar w:fldCharType="end"/>
      </w:r>
      <w:r w:rsidR="005638A5" w:rsidRPr="00CD32FE">
        <w:rPr>
          <w:u w:val="single"/>
        </w:rPr>
        <w:t xml:space="preserve">, </w:t>
      </w:r>
      <w:r w:rsidR="00831BD8" w:rsidRPr="00CD32FE">
        <w:rPr>
          <w:u w:val="single"/>
        </w:rPr>
        <w:t>the stage that seemed to be positively affected by stimulation</w:t>
      </w:r>
      <w:r w:rsidR="000F3013" w:rsidRPr="00CD32FE">
        <w:rPr>
          <w:u w:val="single"/>
        </w:rPr>
        <w:t>.</w:t>
      </w:r>
      <w:r>
        <w:t xml:space="preserve"> </w:t>
      </w:r>
      <w:r w:rsidRPr="00E17DF4">
        <w:t xml:space="preserve">When looking at individual word types, the free-form definition task also indicated better accuracy for abstract semantics on Day 2 for the cathodal group, as opposed to sham, whereas a </w:t>
      </w:r>
      <w:r w:rsidRPr="007369F0">
        <w:rPr>
          <w:u w:val="single"/>
        </w:rPr>
        <w:t xml:space="preserve">similar effect for the anodal group was </w:t>
      </w:r>
      <w:r w:rsidR="00E17DF4" w:rsidRPr="007369F0">
        <w:rPr>
          <w:u w:val="single"/>
        </w:rPr>
        <w:t xml:space="preserve">not </w:t>
      </w:r>
      <w:r w:rsidRPr="007369F0">
        <w:rPr>
          <w:u w:val="single"/>
        </w:rPr>
        <w:t>found</w:t>
      </w:r>
      <w:r w:rsidRPr="00E17DF4">
        <w:t>. This diverse</w:t>
      </w:r>
      <w:r w:rsidR="00692498">
        <w:t xml:space="preserve"> </w:t>
      </w:r>
      <w:r w:rsidRPr="00B96D8F">
        <w:t xml:space="preserve">effect of the stimulation polarity is line with the existing literature which indicated differential activation for pre-existing concrete and abstract words in posterior temporal and inferior parietal structures in the Wernicke area </w:t>
      </w:r>
      <w:sdt>
        <w:sdtPr>
          <w:tag w:val="goog_rdk_4"/>
          <w:id w:val="-1944990449"/>
        </w:sdtPr>
        <w:sdtEndPr/>
        <w:sdtContent/>
      </w:sdt>
      <w:r w:rsidRPr="00B96D8F">
        <w:t>vicinity</w:t>
      </w:r>
      <w:r>
        <w:fldChar w:fldCharType="begin" w:fldLock="1"/>
      </w:r>
      <w:r w:rsidR="00D77509">
        <w:instrText>ADDIN CSL_CITATION {"citationItems":[{"id":"ITEM-1","itemData":{"DOI":"10.1212/WNL.0000000000002219","ISBN":"0000000000","ISSN":"0028-3878","PMID":"26567270","abstract":"The term \"Wernicke's area\" is most often used as an anatomical label for the gyri forming the lower posterior left sylvian fissure. Although traditionally this region was held to support language comprehension, modern imaging and neuropsychological studies converge on the conclusion that this region plays a much larger role in speech production. This evidence is briefly reviewed, and a simple schematic model of posterior cortical language processing is described.","author":[{"dropping-particle":"","family":"Binder","given":"Jeffrey R","non-dropping-particle":"","parse-names":false,"suffix":""}],"container-title":"Neurology","id":"ITEM-1","issued":{"date-parts":[["2015"]]},"title":"The Wernicke area: Modern evidence and a reinterpretation","type":"article-journal"},"uris":["http://www.mendeley.com/documents/?uuid=565226f9-4c1d-4a53-a3e7-e2e95d42d18c"]},{"id":"ITEM-2","itemData":{"DOI":"10.1016/j.cortex.2014.09.001","ISBN":"0010-9452","ISSN":"19738102","PMID":"25303272","abstract":"Semantic cognition is underpinned by regions involved in representing conceptual knowledge and executive control areas that provide regulation of this information according to current task requirements. Using distortion-corrected fMRI, we investigated the contributions of these two systems to abstract and concrete word comprehension. We contrasted semantic decisions made either with coherent contextual support, which encouraged retrieval of a rich conceptual representation, or with irrelevant contextual information, which instead maximised demands on control processes. Inferior prefrontal cortex was activated more when decisions were made in the presence of irrelevant context, suggesting that this region is crucial for the semantic control functions required to select appropriate aspects of meaning in the face of competing information. It also exhibited greater activation for abstract words, which reflects the fact that abstract words tend to have variable, context-dependent meanings that place higher demands on control processes. In contrast, anterior temporal regions (ATL) were most active when decisions were made with the benefit of a coherent context, suggesting a representational role. There was a graded shift in concreteness effects in this region, with dorsolateral areas particularly active for abstract words and ventromedial areas preferentially activated by concrete words. This supports the idea that concrete concepts are closely associated with visual experience and abstract concepts with auditory-verbal information; and that sub-regions of the ATL display graded specialisation for these two types of knowledge. Between these two extremes, we identified significant activations for both word types in ventrolateral ATL. This area is known to be involved in representing knowledge for concrete concepts; here we established that it is also activated by abstract concepts. These results converge with data from rTMS and neuropsychological investigations in demonstrating that representational content and task demands influence recruitment of different areas in the semantic network.","author":[{"dropping-particle":"","family":"Hoffman","given":"Paul","non-dropping-particle":"","parse-names":false,"suffix":""},{"dropping-particle":"","family":"Binney","given":"Richard J.","non-dropping-particle":"","parse-names":false,"suffix":""},{"dropping-particle":"","family":"Lambon Ralph","given":"Matthew A.","non-dropping-particle":"","parse-names":false,"suffix":""}],"container-title":"Cortex","id":"ITEM-2","issued":{"date-parts":[["2015"]]},"page":"250-266","publisher":"Elsevier Ltd","title":"Differing contributions of inferior prefrontal and anterior temporal cortex to concrete and abstract conceptual knowledge","type":"article-journal","volume":"63"},"uris":["http://www.mendeley.com/documents/?uuid=e1cf6d22-b9e6-485f-b6da-48e9a92690be"]},{"id":"ITEM-3","itemData":{"DOI":"10.3390/brainsci3031229","ISSN":"20763425","abstract":"Neuropsychological and activation studies on the neural correlates of abstract and concrete words have produced contrasting results. The present study explores the anatomical substrates of abstract/concrete words in 22 brain-damaged patients with a single vascular lesion either in the right or left hemisphere. One hundred and twenty (60 concrete and 60 abstract) noun triplets were used for a semantic similarity judgment task. We found a significant interaction in word type × group since left temporal brain-damaged patients performed significantly better with concrete than abstract words. Lesion mapping of patients with predominant temporal damage showed that the left superior and middle temporal gyri and the insula were the areas of major overlapping, while the anterior portion of the left temporal lobe was generally spared. Errors on abstract words mainly concerned (although at a non-significant level) semantically associate targets, while in the case of concrete words, coordinate targets were significantly more impaired than associate ones. Our results suggest that the left superior and middle temporal gyri and the insula are crucial regions in processing abstract words. They also confirm the hypothesis of a semantic similarity vs. associative organization of concrete and abstract concepts. © 2013 by the authors; licensee MDPI, Basel, Switzerland.","author":[{"dropping-particle":"","family":"Papagno","given":"Costanza","non-dropping-particle":"","parse-names":false,"suffix":""},{"dropping-particle":"","family":"Martello","given":"Giorgia","non-dropping-particle":"","parse-names":false,"suffix":""},{"dropping-particle":"","family":"Mattavelli","given":"Giulia","non-dropping-particle":"","parse-names":false,"suffix":""}],"container-title":"Brain Sciences","id":"ITEM-3","issued":{"date-parts":[["2013"]]},"title":"The neural correlates of abstract and concrete words: Evidence from brain-damaged patients","type":"article-journal"},"uris":["http://www.mendeley.com/documents/?uuid=324a38fd-a06f-4fe8-8c6a-7b763ac6bd12"]}],"mendeley":{"formattedCitation":"&lt;sup&gt;60–62&lt;/sup&gt;","plainTextFormattedCitation":"60–62","previouslyFormattedCitation":"&lt;sup&gt;60–62&lt;/sup&gt;"},"properties":{"noteIndex":0},"schema":"https://github.com/citation-style-language/schema/raw/master/csl-citation.json"}</w:instrText>
      </w:r>
      <w:r>
        <w:fldChar w:fldCharType="separate"/>
      </w:r>
      <w:r w:rsidR="00B169CE" w:rsidRPr="00B169CE">
        <w:rPr>
          <w:noProof/>
          <w:vertAlign w:val="superscript"/>
        </w:rPr>
        <w:t>60–62</w:t>
      </w:r>
      <w:r>
        <w:fldChar w:fldCharType="end"/>
      </w:r>
      <w:r w:rsidRPr="00B96D8F">
        <w:t xml:space="preserve">. </w:t>
      </w:r>
      <w:r>
        <w:t>Based on existing</w:t>
      </w:r>
      <w:r w:rsidRPr="00B96D8F">
        <w:t xml:space="preserve"> lesion studies</w:t>
      </w:r>
      <w:r>
        <w:t>, it is</w:t>
      </w:r>
      <w:r w:rsidRPr="00B96D8F">
        <w:t xml:space="preserve"> know</w:t>
      </w:r>
      <w:r>
        <w:t>n</w:t>
      </w:r>
      <w:r w:rsidRPr="00B96D8F">
        <w:t xml:space="preserve"> that left temporoparietal cortex plays a crucial role in abstract words processing</w:t>
      </w:r>
      <w:r>
        <w:fldChar w:fldCharType="begin" w:fldLock="1"/>
      </w:r>
      <w:r w:rsidR="00D77509">
        <w:instrText>ADDIN CSL_CITATION {"citationItems":[{"id":"ITEM-1","itemData":{"DOI":"10.1016/j.cortex.2015.04.021","ISSN":"19738102","abstract":"While the neural underpinnings of concrete semantic knowledge have been studied extensively, abstract conceptual knowledge remains enigmatic. We present two experiments that provide converging evidence for the involvement of key regions in the temporoparietal cortex (TPC) in abstract semantic representations. First, we carried out a neuroimaging study in which participants thought deeply about abstract and concrete words. A functional connectivity analysis revealed a cortical network, including portions of the TPC, that showed coordinated activity specific to abstract word processing. In a second experiment, we tested participants with lesions involving the left TPC on a spoken-to-written word matching task using abstract and concrete target words presented in arrays of related or unrelated distractors. The results revealed an interaction between concreteness and relatedness: participants with TPC lesions were significantly less accurate for abstract words presented in related arrays than in unrelated arrays, but exhibited no effect of relatedness for concrete words. These results confirm that the TPC plays an important role in abstract concept representation and that it is part of a larger network of functionally cooperative regions needed for abstract word processing.","author":[{"dropping-particle":"","family":"Skipper-Kallal","given":"Laura M.","non-dropping-particle":"","parse-names":false,"suffix":""},{"dropping-particle":"","family":"Mirman","given":"Dan","non-dropping-particle":"","parse-names":false,"suffix":""},{"dropping-particle":"","family":"Olson","given":"Ingrid R.","non-dropping-particle":"","parse-names":false,"suffix":""}],"container-title":"Cortex","id":"ITEM-1","issued":{"date-parts":[["2015"]]},"title":"Converging evidence from fMRI and aphasia that the left temporoparietal cortex has an essential role in representing abstract semantic knowledge","type":"article-journal"},"uris":["http://www.mendeley.com/documents/?uuid=e6ef8433-1009-4495-8b40-3b6667c9b474"]}],"mendeley":{"formattedCitation":"&lt;sup&gt;63&lt;/sup&gt;","plainTextFormattedCitation":"63","previouslyFormattedCitation":"&lt;sup&gt;63&lt;/sup&gt;"},"properties":{"noteIndex":0},"schema":"https://github.com/citation-style-language/schema/raw/master/csl-citation.json"}</w:instrText>
      </w:r>
      <w:r>
        <w:fldChar w:fldCharType="separate"/>
      </w:r>
      <w:r w:rsidR="00B169CE" w:rsidRPr="00B169CE">
        <w:rPr>
          <w:noProof/>
          <w:vertAlign w:val="superscript"/>
        </w:rPr>
        <w:t>63</w:t>
      </w:r>
      <w:r>
        <w:fldChar w:fldCharType="end"/>
      </w:r>
      <w:sdt>
        <w:sdtPr>
          <w:tag w:val="goog_rdk_5"/>
          <w:id w:val="204381783"/>
        </w:sdtPr>
        <w:sdtEndPr/>
        <w:sdtContent>
          <w:r>
            <w:t>.</w:t>
          </w:r>
        </w:sdtContent>
      </w:sdt>
    </w:p>
    <w:p w14:paraId="6C5BD831" w14:textId="6B39237F" w:rsidR="00966B3D" w:rsidRPr="00227C72" w:rsidRDefault="00966B3D" w:rsidP="00227C72">
      <w:pPr>
        <w:pStyle w:val="a3"/>
        <w:spacing w:before="102" w:line="249" w:lineRule="auto"/>
        <w:ind w:left="126" w:right="138" w:firstLine="7"/>
        <w:jc w:val="both"/>
        <w:rPr>
          <w:highlight w:val="green"/>
        </w:rPr>
      </w:pPr>
      <w:r w:rsidRPr="00B96D8F">
        <w:t>Furthermore, whereas a drop in the definition</w:t>
      </w:r>
      <w:r w:rsidR="00DC5282">
        <w:t xml:space="preserve"> </w:t>
      </w:r>
      <w:r w:rsidR="00DC5282" w:rsidRPr="00CD32FE">
        <w:rPr>
          <w:u w:val="single"/>
        </w:rPr>
        <w:t>quality</w:t>
      </w:r>
      <w:r w:rsidRPr="00B96D8F">
        <w:t xml:space="preserve"> performance from Day 1 to Day 2 was fully significant for the abstract items in both sham and anodal groups, it did not reach full significance in the cathodal one. In similar vein, SJT </w:t>
      </w:r>
      <w:r w:rsidRPr="00675C65">
        <w:t xml:space="preserve">showed a significant between-day drop in accuracy for abstract </w:t>
      </w:r>
      <w:r w:rsidR="00675C65" w:rsidRPr="00CD32FE">
        <w:rPr>
          <w:u w:val="single"/>
        </w:rPr>
        <w:t>and concrete</w:t>
      </w:r>
      <w:r w:rsidR="00675C65" w:rsidRPr="00675C65">
        <w:t xml:space="preserve"> words</w:t>
      </w:r>
      <w:r w:rsidRPr="00675C65">
        <w:t xml:space="preserve"> in the sham group as well as for concrete semantics in the anodal one, but no significant reduction at all for the cathodal group.</w:t>
      </w:r>
      <w:r w:rsidRPr="00B96D8F">
        <w:t xml:space="preserve"> These two effects are highly similar to the overall better overnight preservation of performance in the free recall task above, and again suggest a positive effect of cathodal Wernicke </w:t>
      </w:r>
      <w:proofErr w:type="spellStart"/>
      <w:r w:rsidRPr="00B96D8F">
        <w:t>tDCS</w:t>
      </w:r>
      <w:proofErr w:type="spellEnd"/>
      <w:r w:rsidRPr="00B96D8F">
        <w:t xml:space="preserve"> on consolidation of new word memory circuits. At the semantic level, however, this effect seems to somewhat </w:t>
      </w:r>
      <w:proofErr w:type="spellStart"/>
      <w:r w:rsidRPr="00B96D8F">
        <w:t>favour</w:t>
      </w:r>
      <w:proofErr w:type="spellEnd"/>
      <w:r w:rsidRPr="00B96D8F">
        <w:t xml:space="preserve"> the consolidation of abstract words, </w:t>
      </w:r>
      <w:r>
        <w:t>indica</w:t>
      </w:r>
      <w:r w:rsidRPr="00B96D8F">
        <w:t>ting an important role of Wernicke’s area in their acquisition, consolidation</w:t>
      </w:r>
      <w:r w:rsidR="00276954">
        <w:t>,</w:t>
      </w:r>
      <w:r w:rsidRPr="00B96D8F">
        <w:t xml:space="preserve"> and storage. </w:t>
      </w:r>
      <w:r w:rsidRPr="00E838DB">
        <w:t>This may also be related to the putative importance of core language areas in storing abstract representations</w:t>
      </w:r>
      <w:r w:rsidRPr="00E838DB">
        <w:fldChar w:fldCharType="begin" w:fldLock="1"/>
      </w:r>
      <w:r w:rsidR="00D77509">
        <w:instrText>ADDIN CSL_CITATION {"citationItems":[{"id":"ITEM-1","itemData":{"DOI":"10.1162/0898929054021102","ISBN":"0898-929X (Print)\\n0898-929X (Linking)","ISSN":"0898-929X","PMID":"16021798","abstract":"Behavioral and neurophysiological effects of word imageability and concreteness remain a topic of central interest in cognitive neuroscience and could provide essential clues for understanding how the brain processes conceptual knowledge. We examined these effects using event-related functional magnetic resonance imaging while participants identified concrete and abstract words. Relative to nonwords, concrete and abstract words both activated a left-lateralized network of multimodal association areas previously linked with verbal semantic processing. Areas in the left lateral temporal lobe were equally activated by both word types, whereas bilateral regions including the angular gyrus and the dorsal prefrontal cortex were more strongly engaged by concrete words. Relative to concrete words, abstract words activated left inferior frontal regions previously linked with phonological and verbal working memory processes. The results show overlapping but partly distinct neural systems for processing concrete and abstract concepts, with greater involvement of bilateral association areas during concrete word processing, and processing of abstract concepts almost exclusively by the left hemisphere.","author":[{"dropping-particle":"","family":"Binder","given":"J. R.","non-dropping-particle":"","parse-names":false,"suffix":""},{"dropping-particle":"","family":"Westbury","given":"C. F.","non-dropping-particle":"","parse-names":false,"suffix":""},{"dropping-particle":"","family":"McKiernan","given":"K. A.","non-dropping-particle":"","parse-names":false,"suffix":""},{"dropping-particle":"","family":"Possing","given":"E. T.","non-dropping-particle":"","parse-names":false,"suffix":""},{"dropping-particle":"","family":"Medler","given":"D. A.","non-dropping-particle":"","parse-names":false,"suffix":""}],"container-title":"Journal of Cognitive Neuroscience","id":"ITEM-1","issue":"6","issued":{"date-parts":[["2005"]]},"page":"905-917","title":"Distinct Brain Systems for Processing Concrete and Abstract Concepts","type":"article-journal","volume":"17"},"uris":["http://www.mendeley.com/documents/?uuid=3968f23d-bce0-467b-9594-b8dd98811d9c"]},{"id":"ITEM-2","itemData":{"DOI":"10.3389/conf.fnins.2010.14.00113","ISSN":"00651400","abstract":"We present a model relating analysis of abstract and concrete word meaning in terms of semantic features and contextual frames within a general framework of neurocognitive information processing. The approach taken here assumes concrete noun meanings to be intimately related to sensory feature constellations. These features are processed by posterior sensory regions of the brain, e.g. the occipital lobe, which handles visual information. The interpretation of abstract nouns, however, is likely to be more dependent on semantic frames and linguistic context. A greater involvement of more anteriorly located, perisylvian brain areas has previously been found for the processing of abstract words. In the present study, a word association test was carried out in order to compare semantic processing in healthy subjects (n=12) with subjects with aphasia due to perisylvian lesions (n=3) and occipital lesions (n=1). The word associations were coded into different categories depending on their semantic content. A double dissociation was found, where, compared to the controls, the perisylvian aphasic subjects had problems associating to abstract nouns and produced fewer semantic frame-based associations, whereas the occipital aphasic subject showed disturbances in concrete noun processing and made fewer semantic feature based associations. © 2011 by Polish Neuroscience Society - PTBUN, Nencki Institute of Experimental Biology.","author":[{"dropping-particle":"","family":"Mårtensson","given":"Frida","non-dropping-particle":"","parse-names":false,"suffix":""},{"dropping-particle":"","family":"Roll","given":"Mikael","non-dropping-particle":"","parse-names":false,"suffix":""},{"dropping-particle":"","family":"Apt","given":"Pia","non-dropping-particle":"","parse-names":false,"suffix":""},{"dropping-particle":"","family":"Horne","given":"Merle","non-dropping-particle":"","parse-names":false,"suffix":""}],"container-title":"Acta Neurobiologiae Experimentalis","id":"ITEM-2","issued":{"date-parts":[["2011"]]},"title":"Modeling the meaning of words: Neural correlates of abstract and concrete noun processing","type":"article-journal"},"uris":["http://www.mendeley.com/documents/?uuid=ac9c055f-7694-48f1-8ac7-fc8d1d7068bb"]},{"id":"ITEM-3","itemData":{"DOI":"10.3390/brainsci3031229","ISSN":"20763425","abstract":"Neuropsychological and activation studies on the neural correlates of abstract and concrete words have produced contrasting results. The present study explores the anatomical substrates of abstract/concrete words in 22 brain-damaged patients with a single vascular lesion either in the right or left hemisphere. One hundred and twenty (60 concrete and 60 abstract) noun triplets were used for a semantic similarity judgment task. We found a significant interaction in word type × group since left temporal brain-damaged patients performed significantly better with concrete than abstract words. Lesion mapping of patients with predominant temporal damage showed that the left superior and middle temporal gyri and the insula were the areas of major overlapping, while the anterior portion of the left temporal lobe was generally spared. Errors on abstract words mainly concerned (although at a non-significant level) semantically associate targets, while in the case of concrete words, coordinate targets were significantly more impaired than associate ones. Our results suggest that the left superior and middle temporal gyri and the insula are crucial regions in processing abstract words. They also confirm the hypothesis of a semantic similarity vs. associative organization of concrete and abstract concepts. © 2013 by the authors; licensee MDPI, Basel, Switzerland.","author":[{"dropping-particle":"","family":"Papagno","given":"Costanza","non-dropping-particle":"","parse-names":false,"suffix":""},{"dropping-particle":"","family":"Martello","given":"Giorgia","non-dropping-particle":"","parse-names":false,"suffix":""},{"dropping-particle":"","family":"Mattavelli","given":"Giulia","non-dropping-particle":"","parse-names":false,"suffix":""}],"container-title":"Brain Sciences","id":"ITEM-3","issued":{"date-parts":[["2013"]]},"title":"The neural correlates of abstract and concrete words: Evidence from brain-damaged patients","type":"article-journal"},"uris":["http://www.mendeley.com/documents/?uuid=324a38fd-a06f-4fe8-8c6a-7b763ac6bd12"]},{"id":"ITEM-4","itemData":{"DOI":"10.1016/j.cortex.2011.11.009","ISSN":"19738102","abstract":"Introduction: Left frontal brain lesions are known to give rise to aphasia and impaired word associations. These associations have previously been difficult to analyze. We used a semantic space method to investigate associations to cue words. The degree of abstractness of the generated words and semantic similarity to the cue words were measured. Method: Three subjects diagnosed with Broca's aphasia and twelve control subjects associated freely to cue words. Results were evaluated with latent semantic analysis (LSA) applied to the Swedish Parole corpus. Results: The aphasic subjects could be clearly distinguished from controls by a lower degree of abstractness in the words they generated. The aphasic group's associations showed a negative correlation between semantic similarity to cue word and abstractness of cue word. Conclusions: By developing novel semantic measures, we showed that Broca's aphasic subjects' word production was characterized by a low degree of abstractness and low degree of coherence in associations to abstract cue words. The results support models where meanings of concrete words are represented in neural networks involving perceptual and motor areas, whereas the meaning of abstract words is more dependent on connections to other word forms in the left frontal region. Semantic spaces can be used in future developments of evaluative tools for both diagnosis and research purposes. © 2011 Elsevier Srl.","author":[{"dropping-particle":"","family":"Roll","given":"Mikael","non-dropping-particle":"","parse-names":false,"suffix":""},{"dropping-particle":"","family":"Mårtensson","given":"Frida","non-dropping-particle":"","parse-names":false,"suffix":""},{"dropping-particle":"","family":"Sikström","given":"Sverker","non-dropping-particle":"","parse-names":false,"suffix":""},{"dropping-particle":"","family":"Apt","given":"Pia","non-dropping-particle":"","parse-names":false,"suffix":""},{"dropping-particle":"","family":"Arnling-Bååth","given":"Rasmus","non-dropping-particle":"","parse-names":false,"suffix":""},{"dropping-particle":"","family":"Horne","given":"Merle","non-dropping-particle":"","parse-names":false,"suffix":""}],"container-title":"Cortex","id":"ITEM-4","issued":{"date-parts":[["2012"]]},"title":"Atypical associations to abstract words in Broca's aphasia","type":"article-journal"},"uris":["http://www.mendeley.com/documents/?uuid=408613a9-4a1b-4ea4-928f-13212903bfcf"]},{"id":"ITEM-5","itemData":{"DOI":"10.1016/j.neuroimage.2005.04.012","ISSN":"10538119","abstract":"A prevailing neurobiological theory of semantic memory proposes that part of our knowledge about concrete, highly imageable concepts is stored in the form of sensory-motor representations. While this theory predicts differential activation of the semantic system by concrete and abstract words, previous functional imaging studies employing this contrast have provided relatively little supporting evidence. We acquired event-related functional magnetic resonance imaging (fMRI) data while participants performed a semantic similarity judgment task on a large number of concrete and abstract noun triads. Task difficulty was manipulated by varying the degree to which the words in the triad were similar in meaning. Concrete nouns, relative to abstract nouns, produced greater activation in a bilateral network of multimodal and heteromodal association areas, including ventral and medial temporal, posterior-inferior parietal, dorsal prefrontal, and posterior cingulate cortex. In contrast, abstract nouns produced greater activation almost exclusively in the left hemisphere in superior temporal and inferior frontal cortex. Increasing task difficulty modulated activation mainly in attention, working memory, and response monitoring systems, with almost no effect on areas that were modulated by imageability. These data provide critical support for the hypothesis that concrete, imageable concepts activate perceptually based representations not available to abstract concepts. In contrast, processing abstract concepts makes greater demands on left perisylvian phonological and lexical retrieval systems. The findings are compatible with dual coding theory and less consistent with single-code models of conceptual representation. The lack of overlap between imageability and task difficulty effects suggests that once the neural representation of a concept is activated, further maintenance and manipulation of that information in working memory does not further increase neural activation in the conceptual store. © 2005 Elsevier Inc. All rights reserved.","author":[{"dropping-particle":"","family":"Sabsevitz","given":"D. S.","non-dropping-particle":"","parse-names":false,"suffix":""},{"dropping-particle":"","family":"Medler","given":"D. A.","non-dropping-particle":"","parse-names":false,"suffix":""},{"dropping-particle":"","family":"Seidenberg","given":"M.","non-dropping-particle":"","parse-names":false,"suffix":""},{"dropping-particle":"","family":"Binder","given":"J. R.","non-dropping-particle":"","parse-names":false,"suffix":""}],"container-title":"NeuroImage","id":"ITEM-5","issued":{"date-parts":[["2005"]]},"title":"Modulation of the semantic system by word imageability","type":"article-journal"},"uris":["http://www.mendeley.com/documents/?uuid=f4c15b76-c7a9-4eb0-a5d0-941cfbe18435"]}],"mendeley":{"formattedCitation":"&lt;sup&gt;62,64–67&lt;/sup&gt;","plainTextFormattedCitation":"62,64–67","previouslyFormattedCitation":"&lt;sup&gt;62,64–67&lt;/sup&gt;"},"properties":{"noteIndex":0},"schema":"https://github.com/citation-style-language/schema/raw/master/csl-citation.json"}</w:instrText>
      </w:r>
      <w:r w:rsidRPr="00E838DB">
        <w:fldChar w:fldCharType="separate"/>
      </w:r>
      <w:r w:rsidR="00B169CE" w:rsidRPr="00B169CE">
        <w:rPr>
          <w:noProof/>
          <w:vertAlign w:val="superscript"/>
        </w:rPr>
        <w:t>62,64–67</w:t>
      </w:r>
      <w:r w:rsidRPr="00E838DB">
        <w:fldChar w:fldCharType="end"/>
      </w:r>
      <w:r w:rsidRPr="00E838DB">
        <w:t>, whereas concrete words may also rely on referentially specific sensory and motor modal areas, diminishing the relative input of core language cortex in their representations</w:t>
      </w:r>
      <w:r w:rsidRPr="00E838DB">
        <w:fldChar w:fldCharType="begin" w:fldLock="1"/>
      </w:r>
      <w:r w:rsidR="00D77509">
        <w:instrText>ADDIN CSL_CITATION {"citationItems":[{"id":"ITEM-1","itemData":{"DOI":"10.1098/rstb.1997.0110","ISSN":"09628436","abstract":"Many models of object identification are bottom-up and serial in nature; processing at a first stage needs to be complete before it is passed on to a subsequent stage, and there is no top-down feedback from the later to the earlier stages. However, data on picture identification in normal observers contradict a strict serial account of processing, since effects of variables on early and late stages of object identification combine in an interactive rather than an additive manner. Recent neuropsychological and functional anatomical data also indicate that object identification involves top-down activation of earlier stages of visual processing. In neuropsychological patients, subtle perceptual deficits can produce naming problems, even when there is good access to associated semantic knowledge; in functional activation studies, there is increased activity in visual processing areas when conditions require object naming relative to object recognition. These studies provide evidence that increased visual processing occurs in identification tasks, suggesting that there is re-current feedback during the identification process.","author":[{"dropping-particle":"","family":"Humphreys","given":"Glyn W.","non-dropping-particle":"","parse-names":false,"suffix":""},{"dropping-particle":"","family":"Riddoch","given":"M. Jane","non-dropping-particle":"","parse-names":false,"suffix":""},{"dropping-particle":"","family":"Price","given":"Cathy J.","non-dropping-particle":"","parse-names":false,"suffix":""}],"container-title":"Philosophical Transactions of the Royal Society B: Biological Sciences","id":"ITEM-1","issued":{"date-parts":[["1997"]]},"title":"Top-down processes in object identification: Evidence from experimental psychology, neuropsychology and functional anatomy","type":"article"},"uris":["http://www.mendeley.com/documents/?uuid=a1019177-e334-453e-9310-82070759d6f1"]},{"id":"ITEM-2","itemData":{"DOI":"10.3389/conf.fnins.2010.14.00113","ISSN":"00651400","abstract":"We present a model relating analysis of abstract and concrete word meaning in terms of semantic features and contextual frames within a general framework of neurocognitive information processing. The approach taken here assumes concrete noun meanings to be intimately related to sensory feature constellations. These features are processed by posterior sensory regions of the brain, e.g. the occipital lobe, which handles visual information. The interpretation of abstract nouns, however, is likely to be more dependent on semantic frames and linguistic context. A greater involvement of more anteriorly located, perisylvian brain areas has previously been found for the processing of abstract words. In the present study, a word association test was carried out in order to compare semantic processing in healthy subjects (n=12) with subjects with aphasia due to perisylvian lesions (n=3) and occipital lesions (n=1). The word associations were coded into different categories depending on their semantic content. A double dissociation was found, where, compared to the controls, the perisylvian aphasic subjects had problems associating to abstract nouns and produced fewer semantic frame-based associations, whereas the occipital aphasic subject showed disturbances in concrete noun processing and made fewer semantic feature based associations. © 2011 by Polish Neuroscience Society - PTBUN, Nencki Institute of Experimental Biology.","author":[{"dropping-particle":"","family":"Mårtensson","given":"Frida","non-dropping-particle":"","parse-names":false,"suffix":""},{"dropping-particle":"","family":"Roll","given":"Mikael","non-dropping-particle":"","parse-names":false,"suffix":""},{"dropping-particle":"","family":"Apt","given":"Pia","non-dropping-particle":"","parse-names":false,"suffix":""},{"dropping-particle":"","family":"Horne","given":"Merle","non-dropping-particle":"","parse-names":false,"suffix":""}],"container-title":"Acta Neurobiologiae Experimentalis","id":"ITEM-2","issued":{"date-parts":[["2011"]]},"title":"Modeling the meaning of words: Neural correlates of abstract and concrete noun processing","type":"article-journal"},"uris":["http://www.mendeley.com/documents/?uuid=ac9c055f-7694-48f1-8ac7-fc8d1d7068bb"]},{"id":"ITEM-3","itemData":{"DOI":"10.1016/j.bandl.2014.03.001","ISSN":"10902155","abstract":"Noun/verb dissociations in the literature defy interpretation due to the confound between lexical category and semantic meaning; nouns and verbs typically describe concrete objects and actions. Abstract words, pertaining to neither, are a critical test case: dissociations along lexical-grammatical lines would support models purporting lexical category as the principle governing brain organisation, whilst semantic models predict dissociation between concrete words but not abstract items. During fMRI scanning, participants read orthogonalised word categories of nouns and verbs, with or without concrete, sensorimotor meaning. Analysis of inferior frontal/insula, precentral and central areas revealed an interaction between lexical class and semantic factors with clear category differences between concrete nouns and verbs but not abstract ones. Though the brain stores the combinatorial and lexical-grammatical properties of words, our data show that topographical differences in brain activation, especially in the motor system and inferior frontal cortex, are driven by semantics and not by lexical class. © 2014 The Authors.","author":[{"dropping-particle":"","family":"Moseley","given":"Rachel L.","non-dropping-particle":"","parse-names":false,"suffix":""},{"dropping-particle":"","family":"Pulvermüller","given":"Friedemann","non-dropping-particle":"","parse-names":false,"suffix":""}],"container-title":"Brain and Language","id":"ITEM-3","issued":{"date-parts":[["2014"]]},"title":"Nouns, verbs, objects, actions, and abstractions: Local fMRI activity indexes semantics, not lexical categories","type":"article-journal"},"uris":["http://www.mendeley.com/documents/?uuid=9f0189f0-8ee8-4b5b-889b-d2563c765abe"]}],"mendeley":{"formattedCitation":"&lt;sup&gt;14,65,68&lt;/sup&gt;","plainTextFormattedCitation":"14,65,68","previouslyFormattedCitation":"&lt;sup&gt;14,65,68&lt;/sup&gt;"},"properties":{"noteIndex":0},"schema":"https://github.com/citation-style-language/schema/raw/master/csl-citation.json"}</w:instrText>
      </w:r>
      <w:r w:rsidRPr="00E838DB">
        <w:fldChar w:fldCharType="separate"/>
      </w:r>
      <w:r w:rsidR="00B169CE" w:rsidRPr="00B169CE">
        <w:rPr>
          <w:noProof/>
          <w:vertAlign w:val="superscript"/>
        </w:rPr>
        <w:t>14,65,68</w:t>
      </w:r>
      <w:r w:rsidRPr="00E838DB">
        <w:fldChar w:fldCharType="end"/>
      </w:r>
      <w:r w:rsidRPr="00E838DB">
        <w:t xml:space="preserve">. Thus, these results suggest overlapping but still distinct memory circuits underpinning encoding and storage of these two types of semantics, indicating a relatively more important role of the core language systems in maintaining </w:t>
      </w:r>
      <w:proofErr w:type="spellStart"/>
      <w:r w:rsidRPr="00E838DB">
        <w:t>amodal</w:t>
      </w:r>
      <w:proofErr w:type="spellEnd"/>
      <w:r w:rsidRPr="00E838DB">
        <w:t xml:space="preserve"> abstract representations.</w:t>
      </w:r>
      <w:r w:rsidRPr="00B96D8F">
        <w:t xml:space="preserve"> </w:t>
      </w:r>
      <w:r w:rsidR="00CE0F68" w:rsidRPr="00CD32FE">
        <w:rPr>
          <w:color w:val="000000" w:themeColor="text1"/>
          <w:u w:val="single"/>
        </w:rPr>
        <w:t xml:space="preserve">Our findings </w:t>
      </w:r>
      <w:r w:rsidR="00907F67" w:rsidRPr="00CD32FE">
        <w:rPr>
          <w:color w:val="000000" w:themeColor="text1"/>
          <w:u w:val="single"/>
        </w:rPr>
        <w:t>along with</w:t>
      </w:r>
      <w:r w:rsidR="007369F0">
        <w:rPr>
          <w:color w:val="000000" w:themeColor="text1"/>
          <w:u w:val="single"/>
        </w:rPr>
        <w:t xml:space="preserve"> previous</w:t>
      </w:r>
      <w:r w:rsidR="00907F67" w:rsidRPr="00CD32FE">
        <w:rPr>
          <w:color w:val="000000" w:themeColor="text1"/>
          <w:u w:val="single"/>
        </w:rPr>
        <w:t xml:space="preserve"> </w:t>
      </w:r>
      <w:r w:rsidR="00227C72" w:rsidRPr="00CD32FE">
        <w:rPr>
          <w:color w:val="000000" w:themeColor="text1"/>
          <w:u w:val="single"/>
        </w:rPr>
        <w:t>neuroimaging</w:t>
      </w:r>
      <w:r w:rsidR="00907F67" w:rsidRPr="00CD32FE">
        <w:rPr>
          <w:color w:val="000000" w:themeColor="text1"/>
          <w:u w:val="single"/>
        </w:rPr>
        <w:t xml:space="preserve"> </w:t>
      </w:r>
      <w:r w:rsidR="00370A7E" w:rsidRPr="00CD32FE">
        <w:rPr>
          <w:color w:val="000000" w:themeColor="text1"/>
          <w:u w:val="single"/>
        </w:rPr>
        <w:t>studies of concrete and abstract word processing</w:t>
      </w:r>
      <w:r w:rsidR="00CA0322" w:rsidRPr="00CD32FE">
        <w:rPr>
          <w:u w:val="single"/>
        </w:rPr>
        <w:fldChar w:fldCharType="begin" w:fldLock="1"/>
      </w:r>
      <w:r w:rsidR="00F95DDC">
        <w:rPr>
          <w:u w:val="single"/>
        </w:rPr>
        <w:instrText>ADDIN CSL_CITATION {"citationItems":[{"id":"ITEM-1","itemData":{"ISSN":"0278-7393","PMID":"10368929","abstract":"Event-related potentials were recorded in 2 experiments while participants read sentences in a word-by-word congruency judgment task. Sentence final words were either congruent, semantically anomalous (Experiments 1 and 2), or neutral (Experiment 2) with respect to sentence context. Half of all final words referred to concrete and half to abstract concepts. A different scalp distribution of the N400 to concrete and abstract final words was found for anomalous and neutral, but not congruent sentences. Although the interaction of context and concreteness is consistent with the context-availability model, the differential scalp distribution of effects for concrete and abstract words, as well as larger context effects for concrete words, was interpreted as being more consistent with an extended dual-code account of semantic processing.","author":[{"dropping-particle":"","family":"Holcomb","given":"P J","non-dropping-particle":"","parse-names":false,"suffix":""},{"dropping-particle":"","family":"Kounios","given":"J","non-dropping-particle":"","parse-names":false,"suffix":""},{"dropping-particle":"","family":"Anderson","given":"J E","non-dropping-particle":"","parse-names":false,"suffix":""},{"dropping-particle":"","family":"West","given":"W C","non-dropping-particle":"","parse-names":false,"suffix":""}],"container-title":"Journal of experimental psychology. Learning, memory, and cognition","id":"ITEM-1","issue":"3","issued":{"date-parts":[["1999","5"]]},"page":"721-42","title":"Dual-coding, context-availability, and concreteness effects in sentence comprehension: an electrophysiological investigation.","type":"article-journal","volume":"25"},"uris":["http://www.mendeley.com/documents/?uuid=f87e7212-e7f4-303e-a6f5-50a9d8aac8d9"]},{"id":"ITEM-2","itemData":{"DOI":"10.1038/s41598-018-25723-y","ISSN":"20452322","abstract":"The processing of word associations in sentence context depends on several factors. EEG studies have shown that when the expectation of the upcoming word is high (high semantic constraint), the within-sentence word association plays a negligible role, whereas in the opposite case, when there is no expectation (as in pseudo-sentences), the role of word association becomes more pronounced. However, what happens when the expectations are not high (mild to moderate semantic constraint) is not yet clear. By adopting a cross-factorial design, crossing sentence congruity with within-sentence word association, our EEG recordings show that association comes into play during semantic processing of the word only when the sentence is meaningless. We also performed an exploratory source localization analysis of our EEG recordings to chart the brain regions putatively implicated in processing the said factors and showed its complementarity to EEG temporal analysis. This study furthers our knowledge on sentence processing and the brain networks involved in it.","author":[{"dropping-particle":"","family":"Khachatryan","given":"Elvira","non-dropping-particle":"","parse-names":false,"suffix":""},{"dropping-particle":"","family":"Hnazaee","given":"Mansoureh Fahimi","non-dropping-particle":"","parse-names":false,"suffix":""},{"dropping-particle":"","family":"Hulle","given":"Marc M.","non-dropping-particle":"Van","parse-names":false,"suffix":""}],"container-title":"Scientific Reports","id":"ITEM-2","issued":{"date-parts":[["2018"]]},"title":"Effect of word association on linguistic event-related potentials in moderately to mildly constraining sentences","type":"article-journal"},"uris":["http://www.mendeley.com/documents/?uuid=73934335-c4a7-4770-a287-1e12d3920a7c"]},{"id":"ITEM-3","itemData":{"DOI":"10.1016/j.neuroimage.2018.04.021","ISSN":"10959572","abstract":"Evidence from both neuropsychology and neuroimaging suggests that different types of information are necessary for representing and processing concrete and abstract word meanings. Both abstract and concrete concepts, however, conjointly rely on perceptual, verbal and contextual knowledge, with abstract concepts characterized by low values of imageability (IMG) (low sensory-motor grounding) and low context availability (CA) (more difficult to contextualize). Imaging studies supporting differences between abstract and concrete concepts show a greater recruitment of the left inferior frontal gyrus (LIFG) for abstract concepts, which has been attributed either to the representation of abstract-specific semantic knowledge or to the request for more executive control than in the case of concrete concepts. We conducted an fMRI study on 27 participants, using a lexical decision task involving both abstract and concrete words, whose IMG and CA values were explicitly modelled in separate parametric analyses. The LIFG was significantly more activated for abstract than for concrete words, and a conjunction analysis showed a common activation for words with low IMG or low CA only in the LIFG, in the same area reported for abstract words. A regional template map of brain activations was then traced for words with low IMG or low CA, and BOLD regional time-series were extracted and correlated with the specific LIFG neural activity elicited for abstract words. The regions associated to low IMG, which were functionally correlated with LIFG, were mainly in the left hemisphere, while those associated with low CA were in the right hemisphere. Finally, in order to reveal which LIFG-related network increased its connectivity with decreases of IMG or CA, we conducted generalized psychophysiological interaction analyses. The connectivity strength values extracted from each region connected with the LIFG were correlated with specific LIFG neural activity for abstract words, and a regression analysis was conducted to highlight which areas recruited by low IMG or low CA predicted the greater activation of the IFG for abstract concepts. Only the left middle temporal gyrus/angular gyrus, known to be involved in semantic processing, was a significant predictor of LIFG activity differentiating abstract from concrete words. The results show that the abstract conceptual processing requires the interplay of multiple brain regions, necessary for both the intrinsic and extrinsic properties…","author":[{"dropping-particle":"","family":"Rosa","given":"Pasquale Anthony","non-dropping-particle":"Della","parse-names":false,"suffix":""},{"dropping-particle":"","family":"Catricalà","given":"Eleonora","non-dropping-particle":"","parse-names":false,"suffix":""},{"dropping-particle":"","family":"Canini","given":"Matteo","non-dropping-particle":"","parse-names":false,"suffix":""},{"dropping-particle":"","family":"Vigliocco","given":"Gabriella","non-dropping-particle":"","parse-names":false,"suffix":""},{"dropping-particle":"","family":"Cappa","given":"Stefano F.","non-dropping-particle":"","parse-names":false,"suffix":""}],"container-title":"NeuroImage","id":"ITEM-3","issued":{"date-parts":[["2018"]]},"title":"The left inferior frontal gyrus: A neural crossroads between abstract and concrete knowledge","type":"article-journal"},"uris":["http://www.mendeley.com/documents/?uuid=8436c23f-eabc-4f79-8e01-13aba562089f"]},{"id":"ITEM-4","itemData":{"DOI":"10.1016/j.bandl.2014.03.001","ISSN":"10902155","abstract":"Noun/verb dissociations in the literature defy interpretation due to the confound between lexical category and semantic meaning; nouns and verbs typically describe concrete objects and actions. Abstract words, pertaining to neither, are a critical test case: dissociations along lexical-grammatical lines would support models purporting lexical category as the principle governing brain organisation, whilst semantic models predict dissociation between concrete words but not abstract items. During fMRI scanning, participants read orthogonalised word categories of nouns and verbs, with or without concrete, sensorimotor meaning. Analysis of inferior frontal/insula, precentral and central areas revealed an interaction between lexical class and semantic factors with clear category differences between concrete nouns and verbs but not abstract ones. Though the brain stores the combinatorial and lexical-grammatical properties of words, our data show that topographical differences in brain activation, especially in the motor system and inferior frontal cortex, are driven by semantics and not by lexical class. © 2014 The Authors.","author":[{"dropping-particle":"","family":"Moseley","given":"Rachel L.","non-dropping-particle":"","parse-names":false,"suffix":""},{"dropping-particle":"","family":"Pulvermüller","given":"Friedemann","non-dropping-particle":"","parse-names":false,"suffix":""}],"container-title":"Brain and Language","id":"ITEM-4","issued":{"date-parts":[["2014"]]},"title":"Nouns, verbs, objects, actions, and abstractions: Local fMRI activity indexes semantics, not lexical categories","type":"article-journal"},"uris":["http://www.mendeley.com/documents/?uuid=9f0189f0-8ee8-4b5b-889b-d2563c765abe"]},{"id":"ITEM-5","itemData":{"DOI":"10.1016/j.cortex.2017.10.021","ISSN":"19738102","abstract":"Previous research showed that modality-preferential sensorimotor areas are relevant for processing concrete words used to speak about actions. However, whether modality-preferential areas also play a role for abstract words is still under debate. Whereas recent functional magnetic resonance imaging (fMRI) studies suggest an involvement of motor cortex in processing the meaning of abstract emotion words as, for example, ‘love’, other non-emotional abstract words, in particular ‘mental words’, such as ‘thought’ or ‘logic’, are believed to engage ‘amodal’ semantic systems only. In the present event-related fMRI experiment, subjects passively read abstract emotional and mental nouns along with concrete action related words. Contrary to expectation, the results indicate a specific involvement of face motor areas in the processing of mental nouns, resembling that seen for face related action words. This result was confirmed when subject-specific regions of interest (ROIs) defined by motor localizers were used. We conclude that a role of motor systems in semantic processing is not restricted to concrete words but extends to at least some abstract mental symbols previously thought to be entirely ‘disembodied’ and divorced from semantically related sensorimotor processing. Implications for neurocognitive theories of semantics and clinical applications will be highlighted, paying specific attention to the role of brain activations as indexes of cognitive processes and their relationships to ‘causal’ studies addressing lesion and transcranial magnetic stimulation (TMS) effects. Possible implications for clinical practice, in particular speech language therapy, are discussed in closing.","author":[{"dropping-particle":"","family":"Dreyer","given":"Felix R.","non-dropping-particle":"","parse-names":false,"suffix":""},{"dropping-particle":"","family":"Pulvermüller","given":"Friedemann","non-dropping-particle":"","parse-names":false,"suffix":""}],"container-title":"Cortex","id":"ITEM-5","issued":{"date-parts":[["2018"]]},"title":"Abstract semantics in the motor system? – An event-related fMRI study on passive reading of semantic word categories carrying abstract emotional and mental meaning","type":"article-journal"},"uris":["http://www.mendeley.com/documents/?uuid=aad226a8-3e9d-4c96-a5fb-ec486664f708"]}],"mendeley":{"formattedCitation":"&lt;sup&gt;11–15&lt;/sup&gt;","plainTextFormattedCitation":"11–15","previouslyFormattedCitation":"&lt;sup&gt;11–15&lt;/sup&gt;"},"properties":{"noteIndex":0},"schema":"https://github.com/citation-style-language/schema/raw/master/csl-citation.json"}</w:instrText>
      </w:r>
      <w:r w:rsidR="00CA0322" w:rsidRPr="00CD32FE">
        <w:rPr>
          <w:u w:val="single"/>
        </w:rPr>
        <w:fldChar w:fldCharType="separate"/>
      </w:r>
      <w:r w:rsidR="00C3420B" w:rsidRPr="00C3420B">
        <w:rPr>
          <w:noProof/>
          <w:vertAlign w:val="superscript"/>
        </w:rPr>
        <w:t>11–15</w:t>
      </w:r>
      <w:r w:rsidR="00CA0322" w:rsidRPr="00CD32FE">
        <w:rPr>
          <w:u w:val="single"/>
        </w:rPr>
        <w:fldChar w:fldCharType="end"/>
      </w:r>
      <w:r w:rsidR="00907F67" w:rsidRPr="00CD32FE">
        <w:rPr>
          <w:color w:val="000000" w:themeColor="text1"/>
          <w:u w:val="single"/>
        </w:rPr>
        <w:t xml:space="preserve"> </w:t>
      </w:r>
      <w:r w:rsidR="00831BD8" w:rsidRPr="00CD32FE">
        <w:rPr>
          <w:color w:val="000000" w:themeColor="text1"/>
          <w:u w:val="single"/>
        </w:rPr>
        <w:t xml:space="preserve">therefore </w:t>
      </w:r>
      <w:r w:rsidR="00CE0F68" w:rsidRPr="00CD32FE">
        <w:rPr>
          <w:color w:val="000000" w:themeColor="text1"/>
          <w:u w:val="single"/>
        </w:rPr>
        <w:t>support the</w:t>
      </w:r>
      <w:r w:rsidR="00946D49" w:rsidRPr="00CD32FE">
        <w:rPr>
          <w:color w:val="000000" w:themeColor="text1"/>
          <w:u w:val="single"/>
        </w:rPr>
        <w:t xml:space="preserve"> extended</w:t>
      </w:r>
      <w:r w:rsidR="00CE0F68" w:rsidRPr="00CD32FE">
        <w:rPr>
          <w:color w:val="000000" w:themeColor="text1"/>
          <w:u w:val="single"/>
        </w:rPr>
        <w:t xml:space="preserve"> dual-coding approach</w:t>
      </w:r>
      <w:r w:rsidR="00831BD8" w:rsidRPr="00CD32FE">
        <w:rPr>
          <w:color w:val="000000" w:themeColor="text1"/>
          <w:u w:val="single"/>
        </w:rPr>
        <w:t>, which explains the differences between abstract and concrete representations by positing</w:t>
      </w:r>
      <w:r w:rsidR="00320D4A" w:rsidRPr="00CD32FE">
        <w:rPr>
          <w:color w:val="000000" w:themeColor="text1"/>
          <w:u w:val="single"/>
        </w:rPr>
        <w:t xml:space="preserve"> their differential dependence on</w:t>
      </w:r>
      <w:r w:rsidR="00831BD8" w:rsidRPr="00CD32FE">
        <w:rPr>
          <w:color w:val="000000" w:themeColor="text1"/>
          <w:u w:val="single"/>
        </w:rPr>
        <w:t xml:space="preserve"> verbal-based and imagery-based (non-verbal) </w:t>
      </w:r>
      <w:r w:rsidR="00320D4A" w:rsidRPr="00CD32FE">
        <w:rPr>
          <w:color w:val="000000" w:themeColor="text1"/>
          <w:u w:val="single"/>
        </w:rPr>
        <w:t>semantic memory systems. Although</w:t>
      </w:r>
      <w:r w:rsidR="00831BD8" w:rsidRPr="00CD32FE">
        <w:rPr>
          <w:color w:val="000000" w:themeColor="text1"/>
          <w:u w:val="single"/>
        </w:rPr>
        <w:t xml:space="preserve"> interrelated</w:t>
      </w:r>
      <w:r w:rsidR="00320D4A" w:rsidRPr="00CD32FE">
        <w:rPr>
          <w:color w:val="000000" w:themeColor="text1"/>
          <w:u w:val="single"/>
        </w:rPr>
        <w:t>,</w:t>
      </w:r>
      <w:r w:rsidR="00831BD8" w:rsidRPr="00CD32FE">
        <w:rPr>
          <w:color w:val="000000" w:themeColor="text1"/>
          <w:u w:val="single"/>
        </w:rPr>
        <w:t xml:space="preserve"> </w:t>
      </w:r>
      <w:r w:rsidR="00320D4A" w:rsidRPr="00CD32FE">
        <w:rPr>
          <w:color w:val="000000" w:themeColor="text1"/>
          <w:u w:val="single"/>
        </w:rPr>
        <w:t>they are recruited to different d</w:t>
      </w:r>
      <w:r w:rsidR="00276954">
        <w:rPr>
          <w:color w:val="000000" w:themeColor="text1"/>
          <w:u w:val="single"/>
        </w:rPr>
        <w:t>e</w:t>
      </w:r>
      <w:r w:rsidR="00320D4A" w:rsidRPr="00CD32FE">
        <w:rPr>
          <w:color w:val="000000" w:themeColor="text1"/>
          <w:u w:val="single"/>
        </w:rPr>
        <w:t xml:space="preserve">grees, with </w:t>
      </w:r>
      <w:r w:rsidR="00831BD8" w:rsidRPr="00CD32FE">
        <w:rPr>
          <w:color w:val="000000" w:themeColor="text1"/>
          <w:u w:val="single"/>
        </w:rPr>
        <w:t xml:space="preserve">the verbal system </w:t>
      </w:r>
      <w:r w:rsidR="00320D4A" w:rsidRPr="00CD32FE">
        <w:rPr>
          <w:color w:val="000000" w:themeColor="text1"/>
          <w:u w:val="single"/>
        </w:rPr>
        <w:t xml:space="preserve">involved in </w:t>
      </w:r>
      <w:r w:rsidR="00831BD8" w:rsidRPr="00CD32FE">
        <w:rPr>
          <w:color w:val="000000" w:themeColor="text1"/>
          <w:u w:val="single"/>
        </w:rPr>
        <w:t>coding both concrete and abstract concepts linguistically,</w:t>
      </w:r>
      <w:r w:rsidR="00320D4A" w:rsidRPr="00CD32FE">
        <w:rPr>
          <w:color w:val="000000" w:themeColor="text1"/>
          <w:u w:val="single"/>
        </w:rPr>
        <w:t xml:space="preserve"> while </w:t>
      </w:r>
      <w:r w:rsidR="00831BD8" w:rsidRPr="00CD32FE">
        <w:rPr>
          <w:color w:val="000000" w:themeColor="text1"/>
          <w:u w:val="single"/>
        </w:rPr>
        <w:t>the imagery system is primarily involved in coding concrete</w:t>
      </w:r>
      <w:r w:rsidR="00B96B4B">
        <w:rPr>
          <w:color w:val="000000" w:themeColor="text1"/>
          <w:u w:val="single"/>
        </w:rPr>
        <w:t>, but not abstract</w:t>
      </w:r>
      <w:r w:rsidR="00831BD8" w:rsidRPr="00CD32FE">
        <w:rPr>
          <w:color w:val="000000" w:themeColor="text1"/>
          <w:u w:val="single"/>
        </w:rPr>
        <w:t xml:space="preserve"> concepts</w:t>
      </w:r>
      <w:r w:rsidR="00A51546">
        <w:rPr>
          <w:color w:val="000000" w:themeColor="text1"/>
          <w:u w:val="single"/>
        </w:rPr>
        <w:fldChar w:fldCharType="begin" w:fldLock="1"/>
      </w:r>
      <w:r w:rsidR="00C3420B">
        <w:rPr>
          <w:color w:val="000000" w:themeColor="text1"/>
          <w:u w:val="single"/>
        </w:rPr>
        <w:instrText>ADDIN CSL_CITATION {"citationItems":[{"id":"ITEM-1","itemData":{"ISBN":"0195362004","abstract":"\"\"Contents\"\"; \"\"1. Meta-theoretical Issues and Perspectives\"\"; \"\"2. The Concept of Representation\"\"; \"\"3. Attitudes and Approaches to Representation\"\"; \"\"4. Dual Coding Theory\"\"; \"\"5. Development of Representational Systems\"\"; \"\"6. Individual Differences\"\"; \"\"7. Meaning and Semantic Memory\"\"; \"\"8. Episodic Memory\"\"; \"\"9. Manipulation and Use of Representational Information\"\"; \"\"10. Language Comprehension and Production\"\"; \"\"11. Bilingual Cognitive Representation\"\"; \"\"12. Neuropsychological Evidence\"\"; \"\"References\"\"; \"\"Author Index\"\"; \"\"A\"\"; \"\"B\"\"; \"\"C\"\"; \"\"D\"\"; \"\"E\"\"; \"\"F\"\"; \"\"G\"\"; \"\"H\"\" \"\"I\"\"\"\"J\"\"; \"\"K\"\"; \"\"L\"\"; \"\"M\"\"; \"\"N\"\"; \"\"O\"\"; \"\"P\"\"; \"\"R\"\"; \"\"S\"\"; \"\"T\"\"; \"\"U\"\"; \"\"V\"\"; \"\"W\"\"; \"\"Y\"\"; \"\"Z\"\"; \"\"Subject Index\"\"; \"\"A\"\"; \"\"B\"\"; \"\"C\"\"; \"\"D\"\"; \"\"E\"\"; \"\"F\"\"; \"\"G\"\"; \"\"H\"\"; \"\"I\"\"; \"\"K\"\"; \"\"L\"\"; \"\"M\"\"; \"\"N\"\"; \"\"O\"\"; \"\"P\"\"; \"\"R\"\"; \"\"S\"\"; \"\"T\"\"; \"\"U\"\"; \"\"V\"\"; \"\"W\"\"","author":[{"dropping-particle":"","family":"Paivio","given":"Allan.","non-dropping-particle":"","parse-names":false,"suffix":""}],"id":"ITEM-1","issued":{"date-parts":[["1990"]]},"number-of-pages":"335","publisher":"Oxford University Press, Incorporated","title":"Mental Representations : a Dual Coding Approach.","type":"book"},"uris":["http://www.mendeley.com/documents/?uuid=1fc06bb2-4229-3ba4-a16e-83e87b736841"]},{"id":"ITEM-2","itemData":{"ISSN":"0278-7393","PMID":"10368929","abstract":"Event-related potentials were recorded in 2 experiments while participants read sentences in a word-by-word congruency judgment task. Sentence final words were either congruent, semantically anomalous (Experiments 1 and 2), or neutral (Experiment 2) with respect to sentence context. Half of all final words referred to concrete and half to abstract concepts. A different scalp distribution of the N400 to concrete and abstract final words was found for anomalous and neutral, but not congruent sentences. Although the interaction of context and concreteness is consistent with the context-availability model, the differential scalp distribution of effects for concrete and abstract words, as well as larger context effects for concrete words, was interpreted as being more consistent with an extended dual-code account of semantic processing.","author":[{"dropping-particle":"","family":"Holcomb","given":"P J","non-dropping-particle":"","parse-names":false,"suffix":""},{"dropping-particle":"","family":"Kounios","given":"J","non-dropping-particle":"","parse-names":false,"suffix":""},{"dropping-particle":"","family":"Anderson","given":"J E","non-dropping-particle":"","parse-names":false,"suffix":""},{"dropping-particle":"","family":"West","given":"W C","non-dropping-particle":"","parse-names":false,"suffix":""}],"container-title":"Journal of experimental psychology. Learning, memory, and cognition","id":"ITEM-2","issue":"3","issued":{"date-parts":[["1999","5"]]},"page":"721-42","title":"Dual-coding, context-availability, and concreteness effects in sentence comprehension: an electrophysiological investigation.","type":"article-journal","volume":"25"},"uris":["http://www.mendeley.com/documents/?uuid=f87e7212-e7f4-303e-a6f5-50a9d8aac8d9"]}],"mendeley":{"formattedCitation":"&lt;sup&gt;8,11&lt;/sup&gt;","plainTextFormattedCitation":"8,11","previouslyFormattedCitation":"&lt;sup&gt;8,11&lt;/sup&gt;"},"properties":{"noteIndex":0},"schema":"https://github.com/citation-style-language/schema/raw/master/csl-citation.json"}</w:instrText>
      </w:r>
      <w:r w:rsidR="00A51546">
        <w:rPr>
          <w:color w:val="000000" w:themeColor="text1"/>
          <w:u w:val="single"/>
        </w:rPr>
        <w:fldChar w:fldCharType="separate"/>
      </w:r>
      <w:r w:rsidR="00C3420B" w:rsidRPr="00C3420B">
        <w:rPr>
          <w:noProof/>
          <w:color w:val="000000" w:themeColor="text1"/>
          <w:vertAlign w:val="superscript"/>
        </w:rPr>
        <w:t>8,11</w:t>
      </w:r>
      <w:r w:rsidR="00A51546">
        <w:rPr>
          <w:color w:val="000000" w:themeColor="text1"/>
          <w:u w:val="single"/>
        </w:rPr>
        <w:fldChar w:fldCharType="end"/>
      </w:r>
      <w:r w:rsidR="00831BD8" w:rsidRPr="00CD32FE">
        <w:rPr>
          <w:color w:val="000000" w:themeColor="text1"/>
          <w:u w:val="single"/>
        </w:rPr>
        <w:t>,</w:t>
      </w:r>
      <w:r w:rsidR="00320D4A" w:rsidRPr="00CD32FE">
        <w:rPr>
          <w:color w:val="000000" w:themeColor="text1"/>
          <w:u w:val="single"/>
        </w:rPr>
        <w:t xml:space="preserve"> </w:t>
      </w:r>
      <w:r w:rsidR="00B96B4B">
        <w:rPr>
          <w:color w:val="000000" w:themeColor="text1"/>
          <w:u w:val="single"/>
        </w:rPr>
        <w:t xml:space="preserve">thereby </w:t>
      </w:r>
      <w:r w:rsidR="00320D4A" w:rsidRPr="00CD32FE">
        <w:rPr>
          <w:color w:val="000000" w:themeColor="text1"/>
          <w:u w:val="single"/>
        </w:rPr>
        <w:t>putting a heavier load on the linguistic system – and thus the core language areas of the left hemisphere -  in storing abstract knowledge</w:t>
      </w:r>
      <w:r w:rsidR="00BE74F6" w:rsidRPr="00CD32FE">
        <w:rPr>
          <w:color w:val="000000" w:themeColor="text1"/>
          <w:u w:val="single"/>
        </w:rPr>
        <w:t>.</w:t>
      </w:r>
      <w:r w:rsidR="00907F67" w:rsidRPr="00CD32FE">
        <w:rPr>
          <w:u w:val="single"/>
        </w:rPr>
        <w:t xml:space="preserve"> </w:t>
      </w:r>
      <w:r w:rsidRPr="00227C72">
        <w:t xml:space="preserve">This framework would also predict a similar divergence between concrete and abstract word acquisition for stimulation of other key parts of the language system, such as Broca’s area </w:t>
      </w:r>
      <w:r w:rsidRPr="00B96B4B">
        <w:rPr>
          <w:u w:val="single"/>
        </w:rPr>
        <w:t>and anterior-temporal lobe</w:t>
      </w:r>
      <w:r w:rsidR="00B96B4B" w:rsidRPr="00B96B4B">
        <w:rPr>
          <w:u w:val="single"/>
        </w:rPr>
        <w:t xml:space="preserve"> (ATL/temporal pole</w:t>
      </w:r>
      <w:r w:rsidR="00B96B4B">
        <w:t>)</w:t>
      </w:r>
      <w:r w:rsidRPr="00227C72">
        <w:t>, which should be tested in future studies.</w:t>
      </w:r>
      <w:r w:rsidR="00CE0F68" w:rsidRPr="00227C72">
        <w:t xml:space="preserve"> </w:t>
      </w:r>
    </w:p>
    <w:p w14:paraId="1A81B8B4" w14:textId="10FC42BC" w:rsidR="00966B3D" w:rsidRDefault="00966B3D" w:rsidP="00966B3D">
      <w:pPr>
        <w:pStyle w:val="a3"/>
        <w:spacing w:before="102" w:line="249" w:lineRule="auto"/>
        <w:ind w:left="126" w:right="138" w:firstLine="7"/>
        <w:jc w:val="both"/>
      </w:pPr>
      <w:r w:rsidRPr="00B96D8F">
        <w:t xml:space="preserve">The present data corroborate previous results, which showed that the application of anodal </w:t>
      </w:r>
      <w:proofErr w:type="spellStart"/>
      <w:r w:rsidRPr="00B96D8F">
        <w:t>tDCS</w:t>
      </w:r>
      <w:proofErr w:type="spellEnd"/>
      <w:r w:rsidRPr="00B96D8F">
        <w:t xml:space="preserve"> over Wernicke’s area while learning new words significantly improved the accuracy and decreased latencies in a picture-naming task</w:t>
      </w:r>
      <w:r>
        <w:fldChar w:fldCharType="begin" w:fldLock="1"/>
      </w:r>
      <w:r w:rsidR="00F86F06">
        <w:instrText>ADDIN CSL_CITATION {"citationItems":[{"id":"ITEM-1","itemData":{"DOI":"10.1162/jocn.2010.21579","ISSN":"0898929X","abstract":"A number of studies have shown that modulating cortical activity by means of transcranial direct current stimulation (tDCS) affects performances of both healthy and brain-damaged subjects. In this study, we investigated the potential of tDCS to enhance associative verbal learning in 10 healthy individuals and to improve word retrieval deficits in three patients with strokeinduced aphasia. In healthy individuals, tDCS (20 min, 1 mA) was applied over Wernicke's area (position CP5 of the International 10-20 EEG System) while they learned 20 new ''words'' (legal nonwords arbitrarily assigned to 20 different pictures). The healthy subjects participated in a randomized counterbalanced double-blind procedure in which they were subjected to one session of anodic tDCS over left Wernicke's area, one sham session over this location and one session of anodic tDCS stimulating the right occipito-parietal area. Each experimental session was performed during a different week (over three consecutive weeks) with 6 days of intersession interval. Over 2 weeks, three aphasic subjects participated in a randomized double-blind experiment involving intensive language training for their anomic difficulties in two tDCS conditions. Each subject participated in five consecutive daily sessions of anodic tDCS (20 min, 1 mA) and sham stimulation over Wernicke's area while they performed a picture-naming task. By the end of each week, anodic tDCS had significantly improved their accuracy on the picture-naming task. Both normal subjects and aphasic patients also had shorter naming latencies during anodic tDCS than during sham condition. At two follow-ups (1 and 3 weeks after the end of treatment), performed only in two aphasic subjects, response accuracy and reaction times were still significantly better in the anodic than in the sham condition, suggesting a long-term effect on recovery of their anomic disturbances. © 2011 Massachusetts Institute of Technology.","author":[{"dropping-particle":"","family":"Fiori","given":"Valentina","non-dropping-particle":"","parse-names":false,"suffix":""},{"dropping-particle":"","family":"Coccia","given":"Michela","non-dropping-particle":"","parse-names":false,"suffix":""},{"dropping-particle":"V.","family":"Marinelli","given":"Chiara","non-dropping-particle":"","parse-names":false,"suffix":""},{"dropping-particle":"","family":"Vecchi","given":"Veronica","non-dropping-particle":"","parse-names":false,"suffix":""},{"dropping-particle":"","family":"Bonifazi","given":"Silvia","non-dropping-particle":"","parse-names":false,"suffix":""},{"dropping-particle":"","family":"Gabriella Ceravolo","given":"M.","non-dropping-particle":"","parse-names":false,"suffix":""},{"dropping-particle":"","family":"Provinciali","given":"Leandro","non-dropping-particle":"","parse-names":false,"suffix":""},{"dropping-particle":"","family":"Tomaiuolo","given":"Francesco","non-dropping-particle":"","parse-names":false,"suffix":""},{"dropping-particle":"","family":"Marangolo","given":"Paola","non-dropping-particle":"","parse-names":false,"suffix":""}],"container-title":"Journal of Cognitive Neuroscience","id":"ITEM-1","issued":{"date-parts":[["2011"]]},"title":"Transcranial direct current stimulation improves word retrieval in healthy and nonfluent aphasic subjects","type":"article-journal"},"uris":["http://www.mendeley.com/documents/?uuid=a953d9f4-bcb5-4c87-b590-017a1a3a98eb"]}],"mendeley":{"formattedCitation":"&lt;sup&gt;34&lt;/sup&gt;","plainTextFormattedCitation":"34","previouslyFormattedCitation":"&lt;sup&gt;34&lt;/sup&gt;"},"properties":{"noteIndex":0},"schema":"https://github.com/citation-style-language/schema/raw/master/csl-citation.json"}</w:instrText>
      </w:r>
      <w:r>
        <w:fldChar w:fldCharType="separate"/>
      </w:r>
      <w:r w:rsidR="00356A19" w:rsidRPr="00356A19">
        <w:rPr>
          <w:noProof/>
          <w:vertAlign w:val="superscript"/>
        </w:rPr>
        <w:t>34</w:t>
      </w:r>
      <w:r>
        <w:fldChar w:fldCharType="end"/>
      </w:r>
      <w:r w:rsidRPr="00B96D8F">
        <w:t xml:space="preserve">, whereas anodal </w:t>
      </w:r>
      <w:proofErr w:type="spellStart"/>
      <w:r w:rsidRPr="00B96D8F">
        <w:t>tDCS</w:t>
      </w:r>
      <w:proofErr w:type="spellEnd"/>
      <w:r w:rsidRPr="00B96D8F">
        <w:t xml:space="preserve"> over posterior left </w:t>
      </w:r>
      <w:proofErr w:type="spellStart"/>
      <w:r w:rsidRPr="00B96D8F">
        <w:t>perisylvian</w:t>
      </w:r>
      <w:proofErr w:type="spellEnd"/>
      <w:r w:rsidRPr="00B96D8F">
        <w:t xml:space="preserve"> areas has been demonstrated to positively affect associative verbal learning</w:t>
      </w:r>
      <w:r>
        <w:fldChar w:fldCharType="begin" w:fldLock="1"/>
      </w:r>
      <w:r w:rsidR="00F86F06">
        <w:instrText>ADDIN CSL_CITATION {"citationItems":[{"id":"ITEM-1","itemData":{"DOI":"10.1162/jocn.2008.20098","ISSN":"0898929X","abstract":"Anodal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Neuroscience","id":"ITEM-1","issued":{"date-parts":[["2008"]]},"title":"Noninvasive brain stimulation improves language learning","type":"article-journal"},"uris":["http://www.mendeley.com/documents/?uuid=f7a87da0-6860-43e4-af2f-cb3fe26c4356"]}],"mendeley":{"formattedCitation":"&lt;sup&gt;28&lt;/sup&gt;","plainTextFormattedCitation":"28","previouslyFormattedCitation":"&lt;sup&gt;28&lt;/sup&gt;"},"properties":{"noteIndex":0},"schema":"https://github.com/citation-style-language/schema/raw/master/csl-citation.json"}</w:instrText>
      </w:r>
      <w:r>
        <w:fldChar w:fldCharType="separate"/>
      </w:r>
      <w:r w:rsidR="00356A19" w:rsidRPr="00356A19">
        <w:rPr>
          <w:noProof/>
          <w:vertAlign w:val="superscript"/>
        </w:rPr>
        <w:t>28</w:t>
      </w:r>
      <w:r>
        <w:fldChar w:fldCharType="end"/>
      </w:r>
      <w:r w:rsidRPr="00B96D8F">
        <w:t>. However, unlike previous studies, we have also attempted to compare the acquisition of abstract and concrete semantics in a controlled fashion, finding subtle differences between these processes</w:t>
      </w:r>
      <w:r>
        <w:t xml:space="preserve"> as detailed above</w:t>
      </w:r>
      <w:r w:rsidRPr="00B96D8F">
        <w:t>.</w:t>
      </w:r>
    </w:p>
    <w:p w14:paraId="7C84501F" w14:textId="613C379F" w:rsidR="000C6639" w:rsidRPr="00CD32FE" w:rsidRDefault="00966B3D" w:rsidP="00966B3D">
      <w:pPr>
        <w:pStyle w:val="a3"/>
        <w:spacing w:before="102" w:line="249" w:lineRule="auto"/>
        <w:ind w:left="126" w:right="138" w:firstLine="7"/>
        <w:jc w:val="both"/>
        <w:rPr>
          <w:u w:val="single"/>
        </w:rPr>
      </w:pPr>
      <w:r>
        <w:t>A</w:t>
      </w:r>
      <w:r w:rsidRPr="00B96D8F">
        <w:t xml:space="preserve">lthough we find this putatively better expressed word learning advantage for cathodal stimulation over the sham condition, the direct comparison between the anodal and cathodal </w:t>
      </w:r>
      <w:proofErr w:type="spellStart"/>
      <w:r w:rsidRPr="00B96D8F">
        <w:t>tDCS</w:t>
      </w:r>
      <w:proofErr w:type="spellEnd"/>
      <w:r w:rsidRPr="00B96D8F">
        <w:t xml:space="preserve"> groups did not produce </w:t>
      </w:r>
      <w:r w:rsidR="00B96B4B">
        <w:t>clear statistical</w:t>
      </w:r>
      <w:r w:rsidRPr="00B96D8F">
        <w:t xml:space="preserve"> effects. Numerically, both conditions indicate</w:t>
      </w:r>
      <w:r>
        <w:t>d</w:t>
      </w:r>
      <w:r w:rsidRPr="00B96D8F">
        <w:t xml:space="preserve"> better performance over the sham one, even though, likely due to variance, the anodal stimulation led</w:t>
      </w:r>
      <w:r>
        <w:t xml:space="preserve"> </w:t>
      </w:r>
      <w:r w:rsidRPr="00B96D8F">
        <w:t xml:space="preserve">to statistically less clear improvements in learning outcomes. This is in contrast to what is known from </w:t>
      </w:r>
      <w:proofErr w:type="spellStart"/>
      <w:r w:rsidRPr="00B96D8F">
        <w:t>tDCS</w:t>
      </w:r>
      <w:proofErr w:type="spellEnd"/>
      <w:r w:rsidRPr="00B96D8F">
        <w:t xml:space="preserve"> studies of the motor system, which indicated inhibitory effects of cathodal </w:t>
      </w:r>
      <w:proofErr w:type="spellStart"/>
      <w:r w:rsidRPr="00B96D8F">
        <w:t>tDCS</w:t>
      </w:r>
      <w:proofErr w:type="spellEnd"/>
      <w:r w:rsidRPr="00B96D8F">
        <w:t xml:space="preserve"> and excitatory influence of anodal stimulation on motor performance and learning</w:t>
      </w:r>
      <w:r>
        <w:fldChar w:fldCharType="begin" w:fldLock="1"/>
      </w:r>
      <w:r w:rsidR="00D77509">
        <w:instrText>ADDIN CSL_CITATION {"citationItems":[{"id":"ITEM-1","itemData":{"DOI":"10.1016/j.neuroscience.2011.03.058","ISSN":"03064522","abstract":"Previous studies have demonstrated that transcranial direct current stimulation (tDCS) can be proficiently used to modulate attentional and cognitive functions. For instance, in the language domain there is evidence that tDCS can fasten picture naming in both healthy individuals and aphasic patients, or improve grammar learning. In this study, we investigated whether tDCS can be used to increase healthy subjects' performance in phonemic and semantic fluency tasks, that are typically used in clinical assessment of language. Ten healthy individuals performed a semantic and a phonemic fluency task following anodal tDCS applied over Broca's region. Each participant underwent a real and a sham tDCS session. Participants were found to produce more words following real anodal tDCS both in the phonemic and in the semantic fluency. Control experiments ascertained that this finding did not depend upon unspecific effects of tDCS over levels of general arousal or attention or upon participants' expectations. These data confirm the efficacy of tDCS in transiently improving language functions by showing that anodal stimulation of Broca's region can enhance verbal fluency. Implications of these results for the treatment of language functions in aphasia are considered. © 2011 IBRO.","author":[{"dropping-particle":"","family":"Cattaneo","given":"Z.","non-dropping-particle":"","parse-names":false,"suffix":""},{"dropping-particle":"","family":"Pisoni","given":"A.","non-dropping-particle":"","parse-names":false,"suffix":""},{"dropping-particle":"","family":"Papagno","given":"C.","non-dropping-particle":"","parse-names":false,"suffix":""}],"container-title":"Neuroscience","id":"ITEM-1","issued":{"date-parts":[["2011"]]},"title":"Transcranial direct current stimulation over Broca's region improves phonemic and semantic fluency in healthy individuals","type":"article-journal"},"uris":["http://www.mendeley.com/documents/?uuid=a6a4a1c5-cef9-49fb-a3af-58546ce5337d"]},{"id":"ITEM-2","itemData":{"DOI":"10.1016/j.bbr.2009.10.030","ISSN":"01664328","abstract":"Transcranial direct current stimulation (tDCS) is able to generate a long-term increase or decrease in the neuronal excitability that can modulate cognitive tasks, similar to repetitive transcranial magnetic stimulation. The aim of this study was to explore the effects of tDCS on a language task in young healthy subjects. Anodal, cathodal and sham tDCS were applied to the left dorsolateral prefrontal cortex (DLPFC) before two picture naming experiments, a preliminary study (i.e., experiment 1) and a main study (i.e., experiment 2). The results show that anodal tDCS of the left DLPFC improves naming performance, speeding up verbal reaction times after the end of the stimulation, whereas cathodal stimulation had no effect. We hypothesize that the cerebral network dedicated to lexical retrieval processing is facilitated by anodal tDCS to the left DLPFC. Although the mechanisms responsible for facilitation are not yet clear, the results presented herein implicate a facilitation lasting beyond the end of the stimulation that imply cortical plasticity mechanisms. The opportunity to non-invasively interact with the functioning of these plasticity mechanisms will surely open new and promising scenarios in language studies in basic and clinical neuroscience fields. © 2010.","author":[{"dropping-particle":"","family":"Fertonani","given":"Anna","non-dropping-particle":"","parse-names":false,"suffix":""},{"dropping-particle":"","family":"Rosini","given":"Sandra","non-dropping-particle":"","parse-names":false,"suffix":""},{"dropping-particle":"","family":"Cotelli","given":"Maria","non-dropping-particle":"","parse-names":false,"suffix":""},{"dropping-particle":"","family":"Rossini","given":"Paolo Maria","non-dropping-particle":"","parse-names":false,"suffix":""},{"dropping-particle":"","family":"Miniussi","given":"Carlo","non-dropping-particle":"","parse-names":false,"suffix":""}],"container-title":"Behavioural Brain Research","id":"ITEM-2","issued":{"date-parts":[["2010"]]},"title":"Naming facilitation induced by transcranial direct current stimulation","type":"article-journal"},"uris":["http://www.mendeley.com/documents/?uuid=d8a09f25-a507-4443-89bc-1e317177c321"]},{"id":"ITEM-3","itemData":{"DOI":"10.1212/01.WNL.0000152986.07469.E9","ISSN":"00283878","abstract":"Background: Data from the human motor cortex suggest that, depending on polarity, direct current (DC) brain polarization can depress or activate cortical neurons. Activating effects on the frontal lobe might be beneficial for patients with frontal lobe disorders. This phase 1 study tested the safety of frontal DC, including its effects on frontal and other brain functions. Methods: The authors applied 20 minutes of anodal, cathodal, or sham DC to the left prefrontal cortex in three groups of right-handed subjects and looked for effects on global measures of processing and psychomotor speed, emotion, and verbal fluency, a measure of local cortical function. In one experiment (n = 30), the authors tested before and after 1 mA DC and monitored EEG in 9 subjects. In two other experiments using 1 mA (n = 43) and 2 mA (n = 30), the authors tested before and then starting 5 minutes after the onset of DC. Results: All subjects tolerated DC well. There were no significant effects on performance with 1 mA DC. At 2 mA, verbal fluency improved significantly with anodal and decreased mildly with cathodal DC. There were no clinically significant effects on the other measures. Conclusions: Limited exposure to direct current polarization of the prefrontal cortex is safe and can enhance verbal fluency selectively in healthy subjects. As such, it deserves consideration as a procedure to improve frontal lobe function in patients. Copyright © 2005 by AAN Enterprises, Inc.","author":[{"dropping-particle":"","family":"Iyer","given":"M. B.","non-dropping-particle":"","parse-names":false,"suffix":""},{"dropping-particle":"","family":"Mattu","given":"U.","non-dropping-particle":"","parse-names":false,"suffix":""},{"dropping-particle":"","family":"Grafman","given":"J.","non-dropping-particle":"","parse-names":false,"suffix":""},{"dropping-particle":"","family":"Lomarev","given":"M.","non-dropping-particle":"","parse-names":false,"suffix":""},{"dropping-particle":"","family":"Sato","given":"S.","non-dropping-particle":"","parse-names":false,"suffix":""},{"dropping-particle":"","family":"Wassermann","given":"E. M.","non-dropping-particle":"","parse-names":false,"suffix":""}],"container-title":"Neurology","id":"ITEM-3","issued":{"date-parts":[["2005"]]},"title":"Safety and cognitive effect of frontal DC brain polarization in healthy individuals","type":"article-journal"},"uris":["http://www.mendeley.com/documents/?uuid=b2c2ae3d-2149-4d24-a7a0-2d447503d3dd"]}],"mendeley":{"formattedCitation":"&lt;sup&gt;39,69,70&lt;/sup&gt;","plainTextFormattedCitation":"39,69,70","previouslyFormattedCitation":"&lt;sup&gt;39,69,70&lt;/sup&gt;"},"properties":{"noteIndex":0},"schema":"https://github.com/citation-style-language/schema/raw/master/csl-citation.json"}</w:instrText>
      </w:r>
      <w:r>
        <w:fldChar w:fldCharType="separate"/>
      </w:r>
      <w:r w:rsidR="00B169CE" w:rsidRPr="00B169CE">
        <w:rPr>
          <w:noProof/>
          <w:vertAlign w:val="superscript"/>
        </w:rPr>
        <w:t>39,69,70</w:t>
      </w:r>
      <w:r>
        <w:fldChar w:fldCharType="end"/>
      </w:r>
      <w:r w:rsidRPr="00B96D8F">
        <w:t xml:space="preserve">. This suggests that the polarity effects, known from motor system stimulation, are not universal and may instead be specific to particular neurocognitive functions, which, in turn, is most likely related to the cortical geometry (e.g. curvature, gyrification, density, and other tissue properties, affecting the spread of currents) as well as possibly other (e.g. cytochemical) properties of the area stimulated. Indeed, </w:t>
      </w:r>
      <w:r>
        <w:t xml:space="preserve">whereas </w:t>
      </w:r>
      <w:r w:rsidRPr="00B96D8F">
        <w:t xml:space="preserve">previous studies have confirmed excitatory effects (higher accuracy and/or decreased latencies) of anodal </w:t>
      </w:r>
      <w:proofErr w:type="spellStart"/>
      <w:r w:rsidRPr="00B96D8F">
        <w:t>tDCS</w:t>
      </w:r>
      <w:proofErr w:type="spellEnd"/>
      <w:r w:rsidRPr="00B96D8F">
        <w:t xml:space="preserve"> on verbal fluency</w:t>
      </w:r>
      <w:r>
        <w:fldChar w:fldCharType="begin" w:fldLock="1"/>
      </w:r>
      <w:r w:rsidR="00F86F06">
        <w:instrText>ADDIN CSL_CITATION {"citationItems":[{"id":"ITEM-1","itemData":{"DOI":"10.1212/01.WNL.0000152986.07469.E9","ISSN":"00283878","abstract":"Background: Data from the human motor cortex suggest that, depending on polarity, direct current (DC) brain polarization can depress or activate cortical neurons. Activating effects on the frontal lobe might be beneficial for patients with frontal lobe disorders. This phase 1 study tested the safety of frontal DC, including its effects on frontal and other brain functions. Methods: The authors applied 20 minutes of anodal, cathodal, or sham DC to the left prefrontal cortex in three groups of right-handed subjects and looked for effects on global measures of processing and psychomotor speed, emotion, and verbal fluency, a measure of local cortical function. In one experiment (n = 30), the authors tested before and after 1 mA DC and monitored EEG in 9 subjects. In two other experiments using 1 mA (n = 43) and 2 mA (n = 30), the authors tested before and then starting 5 minutes after the onset of DC. Results: All subjects tolerated DC well. There were no significant effects on performance with 1 mA DC. At 2 mA, verbal fluency improved significantly with anodal and decreased mildly with cathodal DC. There were no clinically significant effects on the other measures. Conclusions: Limited exposure to direct current polarization of the prefrontal cortex is safe and can enhance verbal fluency selectively in healthy subjects. As such, it deserves consideration as a procedure to improve frontal lobe function in patients. Copyright © 2005 by AAN Enterprises, Inc.","author":[{"dropping-particle":"","family":"Iyer","given":"M. B.","non-dropping-particle":"","parse-names":false,"suffix":""},{"dropping-particle":"","family":"Mattu","given":"U.","non-dropping-particle":"","parse-names":false,"suffix":""},{"dropping-particle":"","family":"Grafman","given":"J.","non-dropping-particle":"","parse-names":false,"suffix":""},{"dropping-particle":"","family":"Lomarev","given":"M.","non-dropping-particle":"","parse-names":false,"suffix":""},{"dropping-particle":"","family":"Sato","given":"S.","non-dropping-particle":"","parse-names":false,"suffix":""},{"dropping-particle":"","family":"Wassermann","given":"E. M.","non-dropping-particle":"","parse-names":false,"suffix":""}],"container-title":"Neurology","id":"ITEM-1","issued":{"date-parts":[["2005"]]},"title":"Safety and cognitive effect of frontal DC brain polarization in healthy individuals","type":"article-journal"},"uris":["http://www.mendeley.com/documents/?uuid=b2c2ae3d-2149-4d24-a7a0-2d447503d3dd"]}],"mendeley":{"formattedCitation":"&lt;sup&gt;39&lt;/sup&gt;","plainTextFormattedCitation":"39","previouslyFormattedCitation":"&lt;sup&gt;39&lt;/sup&gt;"},"properties":{"noteIndex":0},"schema":"https://github.com/citation-style-language/schema/raw/master/csl-citation.json"}</w:instrText>
      </w:r>
      <w:r>
        <w:fldChar w:fldCharType="separate"/>
      </w:r>
      <w:r w:rsidR="00356A19" w:rsidRPr="00356A19">
        <w:rPr>
          <w:noProof/>
          <w:vertAlign w:val="superscript"/>
        </w:rPr>
        <w:t>39</w:t>
      </w:r>
      <w:r>
        <w:fldChar w:fldCharType="end"/>
      </w:r>
      <w:r w:rsidRPr="00B96D8F">
        <w:t>, picture-naming task</w:t>
      </w:r>
      <w:r>
        <w:fldChar w:fldCharType="begin" w:fldLock="1"/>
      </w:r>
      <w:r w:rsidR="00F86F06">
        <w:instrText>ADDIN CSL_CITATION {"citationItems":[{"id":"ITEM-1","itemData":{"DOI":"10.1162/jocn.2010.21579","ISSN":"0898929X","abstract":"A number of studies have shown that modulating cortical activity by means of transcranial direct current stimulation (tDCS) affects performances of both healthy and brain-damaged subjects. In this study, we investigated the potential of tDCS to enhance associative verbal learning in 10 healthy individuals and to improve word retrieval deficits in three patients with strokeinduced aphasia. In healthy individuals, tDCS (20 min, 1 mA) was applied over Wernicke's area (position CP5 of the International 10-20 EEG System) while they learned 20 new ''words'' (legal nonwords arbitrarily assigned to 20 different pictures). The healthy subjects participated in a randomized counterbalanced double-blind procedure in which they were subjected to one session of anodic tDCS over left Wernicke's area, one sham session over this location and one session of anodic tDCS stimulating the right occipito-parietal area. Each experimental session was performed during a different week (over three consecutive weeks) with 6 days of intersession interval. Over 2 weeks, three aphasic subjects participated in a randomized double-blind experiment involving intensive language training for their anomic difficulties in two tDCS conditions. Each subject participated in five consecutive daily sessions of anodic tDCS (20 min, 1 mA) and sham stimulation over Wernicke's area while they performed a picture-naming task. By the end of each week, anodic tDCS had significantly improved their accuracy on the picture-naming task. Both normal subjects and aphasic patients also had shorter naming latencies during anodic tDCS than during sham condition. At two follow-ups (1 and 3 weeks after the end of treatment), performed only in two aphasic subjects, response accuracy and reaction times were still significantly better in the anodic than in the sham condition, suggesting a long-term effect on recovery of their anomic disturbances. © 2011 Massachusetts Institute of Technology.","author":[{"dropping-particle":"","family":"Fiori","given":"Valentina","non-dropping-particle":"","parse-names":false,"suffix":""},{"dropping-particle":"","family":"Coccia","given":"Michela","non-dropping-particle":"","parse-names":false,"suffix":""},{"dropping-particle":"V.","family":"Marinelli","given":"Chiara","non-dropping-particle":"","parse-names":false,"suffix":""},{"dropping-particle":"","family":"Vecchi","given":"Veronica","non-dropping-particle":"","parse-names":false,"suffix":""},{"dropping-particle":"","family":"Bonifazi","given":"Silvia","non-dropping-particle":"","parse-names":false,"suffix":""},{"dropping-particle":"","family":"Gabriella Ceravolo","given":"M.","non-dropping-particle":"","parse-names":false,"suffix":""},{"dropping-particle":"","family":"Provinciali","given":"Leandro","non-dropping-particle":"","parse-names":false,"suffix":""},{"dropping-particle":"","family":"Tomaiuolo","given":"Francesco","non-dropping-particle":"","parse-names":false,"suffix":""},{"dropping-particle":"","family":"Marangolo","given":"Paola","non-dropping-particle":"","parse-names":false,"suffix":""}],"container-title":"Journal of Cognitive Neuroscience","id":"ITEM-1","issued":{"date-parts":[["2011"]]},"title":"Transcranial direct current stimulation improves word retrieval in healthy and nonfluent aphasic subjects","type":"article-journal"},"uris":["http://www.mendeley.com/documents/?uuid=a953d9f4-bcb5-4c87-b590-017a1a3a98eb"]}],"mendeley":{"formattedCitation":"&lt;sup&gt;34&lt;/sup&gt;","plainTextFormattedCitation":"34","previouslyFormattedCitation":"&lt;sup&gt;34&lt;/sup&gt;"},"properties":{"noteIndex":0},"schema":"https://github.com/citation-style-language/schema/raw/master/csl-citation.json"}</w:instrText>
      </w:r>
      <w:r>
        <w:fldChar w:fldCharType="separate"/>
      </w:r>
      <w:r w:rsidR="00356A19" w:rsidRPr="00356A19">
        <w:rPr>
          <w:noProof/>
          <w:vertAlign w:val="superscript"/>
        </w:rPr>
        <w:t>34</w:t>
      </w:r>
      <w:r>
        <w:fldChar w:fldCharType="end"/>
      </w:r>
      <w:r>
        <w:t xml:space="preserve">, </w:t>
      </w:r>
      <w:r w:rsidRPr="00B96D8F">
        <w:lastRenderedPageBreak/>
        <w:t>working memory</w:t>
      </w:r>
      <w:r>
        <w:fldChar w:fldCharType="begin" w:fldLock="1"/>
      </w:r>
      <w:r w:rsidR="00D77509">
        <w:instrText>ADDIN CSL_CITATION {"citationItems":[{"id":"ITEM-1","itemData":{"DOI":"10.1016/j.brs.2011.03.002","ISSN":"1935861X","PMID":"22037126","abstract":"Background: Transcranial direct current stimulation (tDCS) is a neuromodulatory technique that delivers low-intensity, direct current to cortical areas facilitating or inhibiting spontaneous neuronal activity. In the past 10 years, tDCS physiologic mechanisms of action have been intensively investigated giving support for the investigation of its applications in clinical neuropsychiatry and rehabilitation. However, new methodologic, ethical, and regulatory issues emerge when translating the findings of preclinical and phase I studies into phase II and III clinical studies. The aim of this comprehensive review is to discuss the key challenges of this process and possible methods to address them. Methods: We convened a workgroup of researchers in the field to review, discuss, and provide updates and key challenges of tDCS use in clinical research. Main Findings/Discussion: We reviewed several basic and clinical studies in the field and identified potential limitations, taking into account the particularities of the technique. We review and discuss the findings into four topics: (1) mechanisms of action of tDCS, parameters of use and computer-based human brain modeling investigating electric current fields and magnitude induced by tDCS; (2) methodologic aspects related to the clinical research of tDCS as divided according to study phase (ie, preclinical, phase I, phase II, and phase III studies); (3) ethical and regulatory concerns; and (4) future directions regarding novel approaches, novel devices, and future studies involving tDCS. Finally, we propose some alternative methods to facilitate clinical research on tDCS. © 2012 Elsevier Inc. All rights reserved.","author":[{"dropping-particle":"","family":"Brunoni","given":"Andre Russowsky","non-dropping-particle":"","parse-names":false,"suffix":""},{"dropping-particle":"","family":"Nitsche","given":"Michael A.","non-dropping-particle":"","parse-names":false,"suffix":""},{"dropping-particle":"","family":"Bolognini","given":"Nadia","non-dropping-particle":"","parse-names":false,"suffix":""},{"dropping-particle":"","family":"Bikson","given":"Marom","non-dropping-particle":"","parse-names":false,"suffix":""},{"dropping-particle":"","family":"Wagner","given":"Tim","non-dropping-particle":"","parse-names":false,"suffix":""},{"dropping-particle":"","family":"Merabet","given":"Lotfi","non-dropping-particle":"","parse-names":false,"suffix":""},{"dropping-particle":"","family":"Edwards","given":"Dylan J.","non-dropping-particle":"","parse-names":false,"suffix":""},{"dropping-particle":"","family":"Valero-Cabre","given":"Antoni","non-dropping-particle":"","parse-names":false,"suffix":""},{"dropping-particle":"","family":"Rotenberg","given":"Alexander","non-dropping-particle":"","parse-names":false,"suffix":""},{"dropping-particle":"","family":"Pascual-Leone","given":"Alvaro","non-dropping-particle":"","parse-names":false,"suffix":""},{"dropping-particle":"","family":"Ferrucci","given":"Roberta","non-dropping-particle":"","parse-names":false,"suffix":""},{"dropping-particle":"","family":"Priori","given":"Alberto","non-dropping-particle":"","parse-names":false,"suffix":""},{"dropping-particle":"","family":"Boggio","given":"Paulo Sergio","non-dropping-particle":"","parse-names":false,"suffix":""},{"dropping-particle":"","family":"Fregni","given":"Felipe","non-dropping-particle":"","parse-names":false,"suffix":""}],"container-title":"Brain Stimulation","id":"ITEM-1","issued":{"date-parts":[["2012"]]},"title":"Clinical research with transcranial direct current stimulation (tDCS): Challenges and future directions","type":"article"},"uris":["http://www.mendeley.com/documents/?uuid=0f96dc4f-0bc8-48ef-8f51-a78dcf0c5fab"]}],"mendeley":{"formattedCitation":"&lt;sup&gt;71&lt;/sup&gt;","plainTextFormattedCitation":"71","previouslyFormattedCitation":"&lt;sup&gt;71&lt;/sup&gt;"},"properties":{"noteIndex":0},"schema":"https://github.com/citation-style-language/schema/raw/master/csl-citation.json"}</w:instrText>
      </w:r>
      <w:r>
        <w:fldChar w:fldCharType="separate"/>
      </w:r>
      <w:r w:rsidR="00B169CE" w:rsidRPr="00B169CE">
        <w:rPr>
          <w:noProof/>
          <w:vertAlign w:val="superscript"/>
        </w:rPr>
        <w:t>71</w:t>
      </w:r>
      <w:r>
        <w:fldChar w:fldCharType="end"/>
      </w:r>
      <w:r w:rsidRPr="00B96D8F">
        <w:t>, associative verbal learning</w:t>
      </w:r>
      <w:r>
        <w:fldChar w:fldCharType="begin" w:fldLock="1"/>
      </w:r>
      <w:r w:rsidR="00F86F06">
        <w:instrText>ADDIN CSL_CITATION {"citationItems":[{"id":"ITEM-1","itemData":{"DOI":"10.1162/jocn.2008.20098","ISSN":"0898929X","abstract":"Anodal transcranial direct current stimulation (tDCS) is a reliable technique to improve motor learning. We here wanted to test its potential to enhance associative verbal learning, a skill crucial for both acquiring new languages in healthy individuals and for language reacquisition after stroke-induced aphasia. We applied tDCS (20 min, 1 mA) over the posterior part of the left peri-sylvian area of 19 young right-handed individuals while subjects acquired a miniature lexicon of 30 novel object names. Every subject participated in one session of anodal tDCS, one session of cathodal tDCS, and one sham session in a randomized and double-blinded design with three parallel versions of the miniature lexicon. Outcome measures were learning speed and learning success at the end of each session, and the transfer to the subjects' native language after the respective stimulation. With anodal stimulation, subjects showed faster and better associative learning as compared to sham stimulation. Mood ratings, reaction times, and response styles were comparable between stimulation conditions. Our results demonstrate that anodal tDCS is a promising technique to enhance language learning in healthy adults and may also have the potential to improve language reacquisition after stroke. © 2008 Massachusetts Institute of Technology.","author":[{"dropping-particle":"","family":"Flöel","given":"Agnes","non-dropping-particle":"","parse-names":false,"suffix":""},{"dropping-particle":"","family":"Rösser","given":"Nina","non-dropping-particle":"","parse-names":false,"suffix":""},{"dropping-particle":"","family":"Michka","given":"Olesya","non-dropping-particle":"","parse-names":false,"suffix":""},{"dropping-particle":"","family":"Knecht","given":"Stefan","non-dropping-particle":"","parse-names":false,"suffix":""},{"dropping-particle":"","family":"Breitenstein","given":"Caterina","non-dropping-particle":"","parse-names":false,"suffix":""}],"container-title":"Journal of Cognitive Neuroscience","id":"ITEM-1","issued":{"date-parts":[["2008"]]},"title":"Noninvasive brain stimulation improves language learning","type":"article-journal"},"uris":["http://www.mendeley.com/documents/?uuid=f7a87da0-6860-43e4-af2f-cb3fe26c4356"]}],"mendeley":{"formattedCitation":"&lt;sup&gt;28&lt;/sup&gt;","plainTextFormattedCitation":"28","previouslyFormattedCitation":"&lt;sup&gt;28&lt;/sup&gt;"},"properties":{"noteIndex":0},"schema":"https://github.com/citation-style-language/schema/raw/master/csl-citation.json"}</w:instrText>
      </w:r>
      <w:r>
        <w:fldChar w:fldCharType="separate"/>
      </w:r>
      <w:r w:rsidR="00356A19" w:rsidRPr="00356A19">
        <w:rPr>
          <w:noProof/>
          <w:vertAlign w:val="superscript"/>
        </w:rPr>
        <w:t>28</w:t>
      </w:r>
      <w:r>
        <w:fldChar w:fldCharType="end"/>
      </w:r>
      <w:r w:rsidRPr="00B96D8F">
        <w:t>, semantic retrieval</w:t>
      </w:r>
      <w:r>
        <w:fldChar w:fldCharType="begin" w:fldLock="1"/>
      </w:r>
      <w:r w:rsidR="00D77509">
        <w:instrText>ADDIN CSL_CITATION {"citationItems":[{"id":"ITEM-1","itemData":{"DOI":"10.1162/jocn_a_00703","ISSN":"15308898","abstract":"Previous studies suggest that the left inferior frontal cortex is involved in the resolution of lexical ambiguities for language comprehension. In this study, we hypothesized that processing of lexical ambiguities is improved when the excitability of the left inferior frontal cortex is enhanced. To test the hypothesis, we conducted an experiment with transcranial direct current stimulation (tDCS). We investigated the effect of anodal tDCS over the left inferior frontal cortex on behavioral indexes for semantic judgment on lexically ambiguous and unambiguous words within a context. Supporting the hypothesis, the RT was shorter in the anodal tDCS session than in the sham session for ambiguous words. The results suggest that controlled semantic retrieval and contextual selection were facilitated by anodal tDCS over the left inferior frontal cortex.","author":[{"dropping-particle":"","family":"Ihara","given":"Aya S.","non-dropping-particle":"","parse-names":false,"suffix":""},{"dropping-particle":"","family":"Mimura","given":"Takanori","non-dropping-particle":"","parse-names":false,"suffix":""},{"dropping-particle":"","family":"Soshi","given":"Takahiro","non-dropping-particle":"","parse-names":false,"suffix":""},{"dropping-particle":"","family":"Yorifuji","given":"Shiro","non-dropping-particle":"","parse-names":false,"suffix":""},{"dropping-particle":"","family":"Hirata","given":"Masayuki","non-dropping-particle":"","parse-names":false,"suffix":""},{"dropping-particle":"","family":"Goto","given":"Tetsu","non-dropping-particle":"","parse-names":false,"suffix":""},{"dropping-particle":"","family":"Yoshinime","given":"Toshiki","non-dropping-particle":"","parse-names":false,"suffix":""},{"dropping-particle":"","family":"Umehara","given":"Hiroaki","non-dropping-particle":"","parse-names":false,"suffix":""},{"dropping-particle":"","family":"Fujimaki","given":"Norio","non-dropping-particle":"","parse-names":false,"suffix":""}],"container-title":"Journal of Cognitive Neuroscience","id":"ITEM-1","issued":{"date-parts":[["2015"]]},"title":"Facilitated lexical ambiguity processing by transcranial direct current stimulation over the left inferior frontal cortex","type":"article-journal"},"uris":["http://www.mendeley.com/documents/?uuid=b4b891b3-750e-4296-87f3-314636b323de"]}],"mendeley":{"formattedCitation":"&lt;sup&gt;72&lt;/sup&gt;","plainTextFormattedCitation":"72","previouslyFormattedCitation":"&lt;sup&gt;72&lt;/sup&gt;"},"properties":{"noteIndex":0},"schema":"https://github.com/citation-style-language/schema/raw/master/csl-citation.json"}</w:instrText>
      </w:r>
      <w:r>
        <w:fldChar w:fldCharType="separate"/>
      </w:r>
      <w:r w:rsidR="00B169CE" w:rsidRPr="00B169CE">
        <w:rPr>
          <w:noProof/>
          <w:vertAlign w:val="superscript"/>
        </w:rPr>
        <w:t>72</w:t>
      </w:r>
      <w:r>
        <w:fldChar w:fldCharType="end"/>
      </w:r>
      <w:r w:rsidRPr="00B96D8F">
        <w:t>, language comprehension</w:t>
      </w:r>
      <w:r>
        <w:fldChar w:fldCharType="begin" w:fldLock="1"/>
      </w:r>
      <w:r w:rsidR="00F86F06">
        <w:instrText>ADDIN CSL_CITATION {"citationItems":[{"id":"ITEM-1","itemData":{"DOI":"10.1016/j.neuropsychologia.2007.07.009","ISSN":"00283932","abstract":"In humans, transcranial direct current stimulation (tDCS) can be used to induce, depending on polarity, increases or decreases of cortical excitability by polarization of the underlying brain tissue. Cognitive enhancement as a result of tDCS has been reported. The purpose of this study was to test whether weak tDCS (current density, 57 μA/cm2) can be used to modify language processing. Fifteen healthy subjects performed a visual picture naming task before, during and after tDCS applied over the posterior perisylvian region (PPR), i.e. an area which includes Wernicke's area [BA 22]. Four different sessions were carried out: (1) anodal and (2) cathodal stimulation of left PPR and, for control, (3) anodal stimulation of the homologous region of the right hemisphere and (4) sham stimulation. We found that subjects responded significantly faster following anodal tDCS to the left PPR (p &lt; 0.01). No decreases in performance were detected. Our finding of a transient improvement in a language task following the application of tDCS together with previous studies which investigated the modulation of picture naming latency by transcranial magnetic stimulation (TMS) and repetitive TMS (rTMS) suggest that tDCS applied to the left PPR (including Wernicke's area [BA 22]) can be used to enhance language processing in healthy subjects. Whether this safe, low cost, and easy to use brain stimulation technique can be used to ameliorate deficits of picture naming in aphasic patients needs further investigations. © 2007 Elsevier Ltd. All rights reserved.","author":[{"dropping-particle":"","family":"Sparing","given":"Roland","non-dropping-particle":"","parse-names":false,"suffix":""},{"dropping-particle":"","family":"Dafotakis","given":"Manuel","non-dropping-particle":"","parse-names":false,"suffix":""},{"dropping-particle":"","family":"Meister","given":"Ingo G.","non-dropping-particle":"","parse-names":false,"suffix":""},{"dropping-particle":"","family":"Thirugnanasambandam","given":"Nivethida","non-dropping-particle":"","parse-names":false,"suffix":""},{"dropping-particle":"","family":"Fink","given":"Gereon R.","non-dropping-particle":"","parse-names":false,"suffix":""}],"container-title":"Neuropsychologia","id":"ITEM-1","issued":{"date-parts":[["2008"]]},"title":"Enhancing language performance with non-invasive brain stimulation-A transcranial direct current stimulation study in healthy humans","type":"article-journal"},"uris":["http://www.mendeley.com/documents/?uuid=5463a2ab-297d-4d70-9456-302657b50668"]}],"mendeley":{"formattedCitation":"&lt;sup&gt;40&lt;/sup&gt;","plainTextFormattedCitation":"40","previouslyFormattedCitation":"&lt;sup&gt;40&lt;/sup&gt;"},"properties":{"noteIndex":0},"schema":"https://github.com/citation-style-language/schema/raw/master/csl-citation.json"}</w:instrText>
      </w:r>
      <w:r>
        <w:fldChar w:fldCharType="separate"/>
      </w:r>
      <w:r w:rsidR="00356A19" w:rsidRPr="00356A19">
        <w:rPr>
          <w:noProof/>
          <w:vertAlign w:val="superscript"/>
        </w:rPr>
        <w:t>40</w:t>
      </w:r>
      <w:r>
        <w:fldChar w:fldCharType="end"/>
      </w:r>
      <w:r w:rsidRPr="00B96D8F">
        <w:t xml:space="preserve">, </w:t>
      </w:r>
      <w:r w:rsidRPr="004251BC">
        <w:t xml:space="preserve">there was </w:t>
      </w:r>
      <w:r w:rsidRPr="00B96D8F">
        <w:t xml:space="preserve">no inhibitory effect of cathodal </w:t>
      </w:r>
      <w:proofErr w:type="spellStart"/>
      <w:r w:rsidRPr="00B96D8F">
        <w:t>tDCS</w:t>
      </w:r>
      <w:proofErr w:type="spellEnd"/>
      <w:r w:rsidRPr="00B96D8F">
        <w:t xml:space="preserve"> observed in those studies</w:t>
      </w:r>
      <w:r w:rsidRPr="00CD32FE">
        <w:rPr>
          <w:u w:val="single"/>
        </w:rPr>
        <w:t>.</w:t>
      </w:r>
      <w:r w:rsidR="000C6639" w:rsidRPr="00CD32FE">
        <w:rPr>
          <w:rFonts w:cstheme="minorHAnsi"/>
          <w:u w:val="single"/>
          <w:lang w:val="en-GB"/>
        </w:rPr>
        <w:t xml:space="preserve"> This, as we said, may be linked to specific tissue properties as well as to the balance of inhibition and excitation, where inhibiting some neurons may in fact lead to </w:t>
      </w:r>
      <w:r w:rsidR="000C6639" w:rsidRPr="00CD32FE">
        <w:rPr>
          <w:rFonts w:cstheme="minorHAnsi"/>
          <w:i/>
          <w:iCs/>
          <w:u w:val="single"/>
          <w:lang w:val="en-GB"/>
        </w:rPr>
        <w:t>dis</w:t>
      </w:r>
      <w:r w:rsidR="000C6639" w:rsidRPr="00CD32FE">
        <w:rPr>
          <w:rFonts w:cstheme="minorHAnsi"/>
          <w:u w:val="single"/>
          <w:lang w:val="en-GB"/>
        </w:rPr>
        <w:t>inhibiting certain functional circuits, making them more plastic in the case of a learning study.</w:t>
      </w:r>
    </w:p>
    <w:p w14:paraId="7D979041" w14:textId="5EEE7486" w:rsidR="00966B3D" w:rsidRPr="002B6672" w:rsidRDefault="0062578F" w:rsidP="00966B3D">
      <w:pPr>
        <w:pStyle w:val="a3"/>
        <w:spacing w:before="102" w:line="249" w:lineRule="auto"/>
        <w:ind w:left="126" w:right="138" w:firstLine="7"/>
        <w:jc w:val="both"/>
        <w:rPr>
          <w:color w:val="FF0000"/>
        </w:rPr>
      </w:pPr>
      <w:r w:rsidRPr="00CD32FE">
        <w:rPr>
          <w:u w:val="single"/>
        </w:rPr>
        <w:t>Together with</w:t>
      </w:r>
      <w:r w:rsidR="000C6639" w:rsidRPr="00CD32FE">
        <w:rPr>
          <w:u w:val="single"/>
        </w:rPr>
        <w:t xml:space="preserve"> some of the previous</w:t>
      </w:r>
      <w:r w:rsidRPr="00CD32FE">
        <w:rPr>
          <w:u w:val="single"/>
        </w:rPr>
        <w:t xml:space="preserve"> </w:t>
      </w:r>
      <w:r w:rsidR="002F3487" w:rsidRPr="00CD32FE">
        <w:rPr>
          <w:u w:val="single"/>
        </w:rPr>
        <w:t>studies</w:t>
      </w:r>
      <w:r w:rsidR="00276954">
        <w:rPr>
          <w:u w:val="single"/>
        </w:rPr>
        <w:t>,</w:t>
      </w:r>
      <w:r w:rsidR="002F3487" w:rsidRPr="00CD32FE">
        <w:rPr>
          <w:u w:val="single"/>
        </w:rPr>
        <w:t xml:space="preserve"> our finding</w:t>
      </w:r>
      <w:r w:rsidR="00110FEB" w:rsidRPr="00CD32FE">
        <w:rPr>
          <w:u w:val="single"/>
        </w:rPr>
        <w:t>s</w:t>
      </w:r>
      <w:r w:rsidR="002F3487" w:rsidRPr="00CD32FE">
        <w:rPr>
          <w:u w:val="single"/>
        </w:rPr>
        <w:t xml:space="preserve"> </w:t>
      </w:r>
      <w:r w:rsidR="000C6639" w:rsidRPr="00CD32FE">
        <w:rPr>
          <w:u w:val="single"/>
        </w:rPr>
        <w:t>m</w:t>
      </w:r>
      <w:r w:rsidR="00212759" w:rsidRPr="00CD32FE">
        <w:rPr>
          <w:u w:val="single"/>
        </w:rPr>
        <w:t>a</w:t>
      </w:r>
      <w:r w:rsidR="000C6639" w:rsidRPr="00CD32FE">
        <w:rPr>
          <w:u w:val="single"/>
        </w:rPr>
        <w:t xml:space="preserve">y </w:t>
      </w:r>
      <w:r w:rsidR="002F3487" w:rsidRPr="00CD32FE">
        <w:rPr>
          <w:u w:val="single"/>
        </w:rPr>
        <w:t>suggest</w:t>
      </w:r>
      <w:r w:rsidR="000A3A58" w:rsidRPr="00CD32FE">
        <w:rPr>
          <w:u w:val="single"/>
        </w:rPr>
        <w:t xml:space="preserve"> a</w:t>
      </w:r>
      <w:r w:rsidR="002F3487" w:rsidRPr="00CD32FE">
        <w:rPr>
          <w:u w:val="single"/>
        </w:rPr>
        <w:t xml:space="preserve"> general effect of stimulation rather than the effect of </w:t>
      </w:r>
      <w:r w:rsidR="00FB6382" w:rsidRPr="00CD32FE">
        <w:rPr>
          <w:u w:val="single"/>
        </w:rPr>
        <w:t xml:space="preserve">a </w:t>
      </w:r>
      <w:r w:rsidR="002F3487" w:rsidRPr="00CD32FE">
        <w:rPr>
          <w:u w:val="single"/>
        </w:rPr>
        <w:t>certain polarity.</w:t>
      </w:r>
      <w:r w:rsidR="001E496C">
        <w:rPr>
          <w:u w:val="single"/>
        </w:rPr>
        <w:t xml:space="preserve"> </w:t>
      </w:r>
      <w:r w:rsidR="008145A2" w:rsidRPr="00CD32FE">
        <w:rPr>
          <w:u w:val="single"/>
        </w:rPr>
        <w:t>One</w:t>
      </w:r>
      <w:r w:rsidR="00320D4A" w:rsidRPr="00C7769C">
        <w:rPr>
          <w:u w:val="single"/>
          <w:lang w:val="en-GB"/>
        </w:rPr>
        <w:t xml:space="preserve"> </w:t>
      </w:r>
      <w:r w:rsidR="008145A2" w:rsidRPr="00CD32FE">
        <w:rPr>
          <w:u w:val="single"/>
        </w:rPr>
        <w:t xml:space="preserve">explanation of the </w:t>
      </w:r>
      <w:r w:rsidR="00320D4A" w:rsidRPr="00CD32FE">
        <w:rPr>
          <w:u w:val="single"/>
        </w:rPr>
        <w:t xml:space="preserve">more </w:t>
      </w:r>
      <w:r w:rsidR="008145A2" w:rsidRPr="00CD32FE">
        <w:rPr>
          <w:u w:val="single"/>
        </w:rPr>
        <w:t>general</w:t>
      </w:r>
      <w:r w:rsidR="000C6639" w:rsidRPr="00CD32FE">
        <w:rPr>
          <w:u w:val="single"/>
        </w:rPr>
        <w:t xml:space="preserve"> polarity-independent</w:t>
      </w:r>
      <w:r w:rsidR="008145A2" w:rsidRPr="00CD32FE">
        <w:rPr>
          <w:u w:val="single"/>
        </w:rPr>
        <w:t xml:space="preserve"> effect </w:t>
      </w:r>
      <w:r w:rsidR="00320D4A" w:rsidRPr="00CD32FE">
        <w:rPr>
          <w:u w:val="single"/>
        </w:rPr>
        <w:t xml:space="preserve">could be </w:t>
      </w:r>
      <w:proofErr w:type="spellStart"/>
      <w:r w:rsidR="00320D4A" w:rsidRPr="00CD32FE">
        <w:rPr>
          <w:u w:val="single"/>
        </w:rPr>
        <w:t>tDCS</w:t>
      </w:r>
      <w:proofErr w:type="spellEnd"/>
      <w:r w:rsidR="008145A2" w:rsidRPr="00CD32FE">
        <w:rPr>
          <w:u w:val="single"/>
        </w:rPr>
        <w:t xml:space="preserve"> interference</w:t>
      </w:r>
      <w:r w:rsidR="00212759" w:rsidRPr="00CD32FE">
        <w:rPr>
          <w:u w:val="single"/>
        </w:rPr>
        <w:t xml:space="preserve"> with</w:t>
      </w:r>
      <w:r w:rsidR="008145A2" w:rsidRPr="00CD32FE">
        <w:rPr>
          <w:u w:val="single"/>
        </w:rPr>
        <w:t xml:space="preserve"> </w:t>
      </w:r>
      <w:r w:rsidR="00212759" w:rsidRPr="00CD32FE">
        <w:rPr>
          <w:u w:val="single"/>
        </w:rPr>
        <w:t xml:space="preserve">or upregulating influence on </w:t>
      </w:r>
      <w:r w:rsidR="008145A2" w:rsidRPr="00CD32FE">
        <w:rPr>
          <w:u w:val="single"/>
        </w:rPr>
        <w:t>the arousal and attention level</w:t>
      </w:r>
      <w:r w:rsidR="00212759" w:rsidRPr="00CD32FE">
        <w:rPr>
          <w:u w:val="single"/>
        </w:rPr>
        <w:t>s, possibly related to its ability to affect a variety of co</w:t>
      </w:r>
      <w:r w:rsidR="00276954">
        <w:rPr>
          <w:u w:val="single"/>
        </w:rPr>
        <w:t>gn</w:t>
      </w:r>
      <w:r w:rsidR="00212759" w:rsidRPr="00CD32FE">
        <w:rPr>
          <w:u w:val="single"/>
        </w:rPr>
        <w:t>itive brain functions (Reinhart et al., 2017</w:t>
      </w:r>
      <w:r w:rsidR="00B96B4B">
        <w:rPr>
          <w:u w:val="single"/>
        </w:rPr>
        <w:t>,</w:t>
      </w:r>
      <w:r w:rsidR="00320D4A" w:rsidRPr="00CD32FE">
        <w:rPr>
          <w:u w:val="single"/>
        </w:rPr>
        <w:t xml:space="preserve"> although, notably, this would also apply in case of previous motor studies</w:t>
      </w:r>
      <w:r w:rsidR="00B96B4B">
        <w:rPr>
          <w:u w:val="single"/>
        </w:rPr>
        <w:t>)</w:t>
      </w:r>
      <w:r w:rsidR="008145A2" w:rsidRPr="00CD32FE">
        <w:rPr>
          <w:u w:val="single"/>
        </w:rPr>
        <w:t xml:space="preserve">. </w:t>
      </w:r>
      <w:r w:rsidR="000C6639" w:rsidRPr="00CD32FE">
        <w:rPr>
          <w:rFonts w:cstheme="minorHAnsi"/>
          <w:u w:val="single"/>
          <w:lang w:val="en-GB"/>
        </w:rPr>
        <w:t xml:space="preserve">It is also possible that the change in the activity of neurons during the stimulation </w:t>
      </w:r>
      <w:r w:rsidR="00212759" w:rsidRPr="00CD32FE">
        <w:rPr>
          <w:rFonts w:cstheme="minorHAnsi"/>
          <w:u w:val="single"/>
          <w:lang w:val="en-GB"/>
        </w:rPr>
        <w:t>affects</w:t>
      </w:r>
      <w:r w:rsidR="000C6639" w:rsidRPr="00CD32FE">
        <w:rPr>
          <w:rFonts w:cstheme="minorHAnsi"/>
          <w:u w:val="single"/>
          <w:lang w:val="en-GB"/>
        </w:rPr>
        <w:t xml:space="preserve"> the</w:t>
      </w:r>
      <w:r w:rsidR="00212759" w:rsidRPr="00CD32FE">
        <w:rPr>
          <w:rFonts w:cstheme="minorHAnsi"/>
          <w:u w:val="single"/>
          <w:lang w:val="en-GB"/>
        </w:rPr>
        <w:t xml:space="preserve"> post-stimulation</w:t>
      </w:r>
      <w:r w:rsidR="000C6639" w:rsidRPr="00CD32FE">
        <w:rPr>
          <w:rFonts w:cstheme="minorHAnsi"/>
          <w:u w:val="single"/>
          <w:lang w:val="en-GB"/>
        </w:rPr>
        <w:t xml:space="preserve"> balance between the signal and noise that the brain is constantly trying to maintain. Ultimately, as it seems, this issue of polarity can only be satisfactorily addressed in </w:t>
      </w:r>
      <w:r w:rsidR="00B96B4B">
        <w:rPr>
          <w:rFonts w:cstheme="minorHAnsi"/>
          <w:u w:val="single"/>
          <w:lang w:val="en-GB"/>
        </w:rPr>
        <w:t xml:space="preserve">wet </w:t>
      </w:r>
      <w:r w:rsidR="00B96B4B" w:rsidRPr="00B96B4B">
        <w:rPr>
          <w:rFonts w:cstheme="minorHAnsi"/>
          <w:i/>
          <w:iCs/>
          <w:u w:val="single"/>
          <w:lang w:val="en-GB"/>
        </w:rPr>
        <w:t xml:space="preserve">in </w:t>
      </w:r>
      <w:r w:rsidR="000C6639" w:rsidRPr="00B96B4B">
        <w:rPr>
          <w:rFonts w:cstheme="minorHAnsi"/>
          <w:i/>
          <w:iCs/>
          <w:u w:val="single"/>
          <w:lang w:val="en-GB"/>
        </w:rPr>
        <w:t>vivo</w:t>
      </w:r>
      <w:r w:rsidR="000C6639" w:rsidRPr="00CD32FE">
        <w:rPr>
          <w:rFonts w:cstheme="minorHAnsi"/>
          <w:u w:val="single"/>
          <w:lang w:val="en-GB"/>
        </w:rPr>
        <w:t xml:space="preserve"> </w:t>
      </w:r>
      <w:r w:rsidR="00B96B4B">
        <w:rPr>
          <w:rFonts w:cstheme="minorHAnsi"/>
          <w:u w:val="single"/>
          <w:lang w:val="en-GB"/>
        </w:rPr>
        <w:t xml:space="preserve">or </w:t>
      </w:r>
      <w:r w:rsidR="00B96B4B" w:rsidRPr="00B96B4B">
        <w:rPr>
          <w:rFonts w:cstheme="minorHAnsi"/>
          <w:i/>
          <w:iCs/>
          <w:u w:val="single"/>
          <w:lang w:val="en-GB"/>
        </w:rPr>
        <w:t>in vitro</w:t>
      </w:r>
      <w:r w:rsidR="00B96B4B">
        <w:rPr>
          <w:rFonts w:cstheme="minorHAnsi"/>
          <w:u w:val="single"/>
          <w:lang w:val="en-GB"/>
        </w:rPr>
        <w:t xml:space="preserve"> </w:t>
      </w:r>
      <w:r w:rsidR="000C6639" w:rsidRPr="00CD32FE">
        <w:rPr>
          <w:rFonts w:cstheme="minorHAnsi"/>
          <w:u w:val="single"/>
          <w:lang w:val="en-GB"/>
        </w:rPr>
        <w:t>tissue studies, and we can only speculate abo</w:t>
      </w:r>
      <w:r w:rsidR="0074608A">
        <w:rPr>
          <w:rFonts w:cstheme="minorHAnsi"/>
          <w:u w:val="single"/>
          <w:lang w:val="en-GB"/>
        </w:rPr>
        <w:t>u</w:t>
      </w:r>
      <w:r w:rsidR="000C6639" w:rsidRPr="00CD32FE">
        <w:rPr>
          <w:rFonts w:cstheme="minorHAnsi"/>
          <w:u w:val="single"/>
          <w:lang w:val="en-GB"/>
        </w:rPr>
        <w:t xml:space="preserve">t its possible underlying mechanisms in </w:t>
      </w:r>
      <w:r w:rsidR="00B96B4B">
        <w:rPr>
          <w:rFonts w:cstheme="minorHAnsi"/>
          <w:u w:val="single"/>
          <w:lang w:val="en-GB"/>
        </w:rPr>
        <w:t xml:space="preserve">such </w:t>
      </w:r>
      <w:r w:rsidR="000C6639" w:rsidRPr="00CD32FE">
        <w:rPr>
          <w:rFonts w:cstheme="minorHAnsi"/>
          <w:u w:val="single"/>
          <w:lang w:val="en-GB"/>
        </w:rPr>
        <w:t>non-invasive human experiments</w:t>
      </w:r>
      <w:r w:rsidR="00B96B4B">
        <w:rPr>
          <w:rFonts w:cstheme="minorHAnsi"/>
          <w:u w:val="single"/>
          <w:lang w:val="en-GB"/>
        </w:rPr>
        <w:t xml:space="preserve"> as the present one</w:t>
      </w:r>
      <w:r w:rsidR="000C6639" w:rsidRPr="00CD32FE">
        <w:rPr>
          <w:rFonts w:cstheme="minorHAnsi"/>
          <w:u w:val="single"/>
          <w:lang w:val="en-GB"/>
        </w:rPr>
        <w:t xml:space="preserve">. </w:t>
      </w:r>
    </w:p>
    <w:p w14:paraId="3A85F6AA" w14:textId="79BFC931" w:rsidR="00966B3D" w:rsidRDefault="00966B3D" w:rsidP="00966B3D">
      <w:pPr>
        <w:pStyle w:val="a3"/>
        <w:spacing w:before="102" w:line="249" w:lineRule="auto"/>
        <w:ind w:left="126" w:right="138" w:firstLine="7"/>
        <w:jc w:val="both"/>
      </w:pPr>
      <w:r w:rsidRPr="00B96D8F">
        <w:t xml:space="preserve">Crucially, we found the effects of </w:t>
      </w:r>
      <w:proofErr w:type="spellStart"/>
      <w:r w:rsidRPr="00B96D8F">
        <w:t>tDCS</w:t>
      </w:r>
      <w:proofErr w:type="spellEnd"/>
      <w:r w:rsidRPr="00B96D8F">
        <w:t xml:space="preserve"> not only and not so much in the immediate learning outcomes after the learning session, but also on a longer-term scale, after a 24-hour period including an overnight sleep. It has been suggested that sleep may play an important role in word acquisit</w:t>
      </w:r>
      <w:r>
        <w:t>ion and other types of learning</w:t>
      </w:r>
      <w:r>
        <w:fldChar w:fldCharType="begin" w:fldLock="1"/>
      </w:r>
      <w:r w:rsidR="00943416">
        <w:instrText>ADDIN CSL_CITATION {"citationItems":[{"id":"ITEM-1","itemData":{"DOI":"10.1098/rstb.2009.0111","ISSN":"14712970","abstract":"In this paper we present a novel theory of the cognitive and neural processes by which adults learn new spoken words. This proposal builds on neurocomputational accounts of lexical processing and spoken word recognition and complementary learning systems (CLS) models of memory. We review evidence from behavioural studies of word learning that, consistent with the CLS account, show two stages of lexical acquisition: rapid initial familiarization followed by slow lexical consolidation. These stages map broadly onto two systems involved in different aspects of word learning: (i) rapid, initial acquisition supported by medial temporal and hippocampal learning, (ii) slower neocortical learning achieved by offline consolidation of previously acquired information. We review behavioural and neuroscientific evidence consistent with this account, including a meta-analysis of PET and functional Magnetic Resonance Imaging (fMRI) studies that contrast responses to spoken words and pseudowords. From this meta-analysis we derive predictions for the location and direction of cortical response changes following familiarization with pseudowords. This allows us to assess evidence for learning-induced changes that convert pseudoword responses into real word responses. Results provide unique support for the CLS account since hippocampal responses change during initial learning, whereas cortical responses to pseudowords only become word-like if overnight consolidation follows initial learning. © 2009 The Royal Society.","author":[{"dropping-particle":"","family":"Davis","given":"Matthew H.","non-dropping-particle":"","parse-names":false,"suffix":""},{"dropping-particle":"","family":"Gaskell","given":"M. Gareth","non-dropping-particle":"","parse-names":false,"suffix":""}],"container-title":"Philosophical Transactions of the Royal Society B: Biological Sciences","id":"ITEM-1","issue":"1536","issued":{"date-parts":[["2009"]]},"page":"3773-3800","title":"A complementary systems account of word learning: Neural and behavioural evidence","type":"article","volume":"364"},"uris":["http://www.mendeley.com/documents/?uuid=7b61b552-2dc7-4655-b6e2-780655ea856b"]}],"mendeley":{"formattedCitation":"&lt;sup&gt;59&lt;/sup&gt;","plainTextFormattedCitation":"59","previouslyFormattedCitation":"&lt;sup&gt;59&lt;/sup&gt;"},"properties":{"noteIndex":0},"schema":"https://github.com/citation-style-language/schema/raw/master/csl-citation.json"}</w:instrText>
      </w:r>
      <w:r>
        <w:fldChar w:fldCharType="separate"/>
      </w:r>
      <w:r w:rsidR="00B169CE" w:rsidRPr="00B169CE">
        <w:rPr>
          <w:noProof/>
          <w:vertAlign w:val="superscript"/>
        </w:rPr>
        <w:t>59</w:t>
      </w:r>
      <w:r>
        <w:fldChar w:fldCharType="end"/>
      </w:r>
      <w:r w:rsidRPr="00B96D8F">
        <w:t xml:space="preserve"> possibly due to its key role in memory consolidation and transfer of new traces from</w:t>
      </w:r>
      <w:r>
        <w:t xml:space="preserve"> short-term to long-term memory</w:t>
      </w:r>
      <w:r>
        <w:fldChar w:fldCharType="begin" w:fldLock="1"/>
      </w:r>
      <w:r w:rsidR="00D77509">
        <w:instrText>ADDIN CSL_CITATION {"citationItems":[{"id":"ITEM-1","itemData":{"DOI":"10.1152/physrev.00032.2012","ISSN":"00319333","PMID":"23589831","abstract":"Over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 © 2013 the American Physiological Society.","author":[{"dropping-particle":"","family":"Rasch","given":"Björn","non-dropping-particle":"","parse-names":false,"suffix":""},{"dropping-particle":"","family":"Born","given":"Jan","non-dropping-particle":"","parse-names":false,"suffix":""}],"container-title":"Physiological Reviews","id":"ITEM-1","issued":{"date-parts":[["2013"]]},"title":"About sleep's role in memory","type":"article-journal"},"uris":["http://www.mendeley.com/documents/?uuid=abb97bb5-8a47-4f20-8dbb-a52dd2140afa"]}],"mendeley":{"formattedCitation":"&lt;sup&gt;58&lt;/sup&gt;","plainTextFormattedCitation":"58","previouslyFormattedCitation":"&lt;sup&gt;58&lt;/sup&gt;"},"properties":{"noteIndex":0},"schema":"https://github.com/citation-style-language/schema/raw/master/csl-citation.json"}</w:instrText>
      </w:r>
      <w:r>
        <w:fldChar w:fldCharType="separate"/>
      </w:r>
      <w:r w:rsidR="00B169CE" w:rsidRPr="00B169CE">
        <w:rPr>
          <w:noProof/>
          <w:vertAlign w:val="superscript"/>
        </w:rPr>
        <w:t>58</w:t>
      </w:r>
      <w:r>
        <w:fldChar w:fldCharType="end"/>
      </w:r>
      <w:r w:rsidRPr="00B96D8F">
        <w:t>. Sleep appears to facilitate memory for abstract relations of words of an artificial language in infants</w:t>
      </w:r>
      <w:r>
        <w:t xml:space="preserve"> </w:t>
      </w:r>
      <w:r>
        <w:fldChar w:fldCharType="begin" w:fldLock="1"/>
      </w:r>
      <w:r w:rsidR="00D77509">
        <w:instrText>ADDIN CSL_CITATION {"citationItems":[{"id":"ITEM-1","itemData":{"DOI":"10.1111/j.1467-9280.2006.01764.x","ISSN":"09567976","abstract":"Infants engage in an extraordinary amount of learning during their waking hours even though much of their day is consumed by sleep. What role does sleep play in infant learning? Fifteen-month-olds were familiarized with an artificial language 4 hr prior to a lab visit. Learning the language involved relating initial and final words in auditory strings by remembering the exact word dependencies or by remembering an abstract relation between initial and final words. One group napped during the interval between familiarization and test. Another group did not nap. Infants who napped appeared to remember a more abstract relation, one they could apply to stimuli that were similar but not identical to those from familiarization. Infants who did not nap showed a memory effect. Naps appear to promote a qualitative change in memory, one involving greater flexibility in learning. Copyright © 2006 Association for Psychological Science.","author":[{"dropping-particle":"","family":"Gómez","given":"Rebecca L.","non-dropping-particle":"","parse-names":false,"suffix":""},{"dropping-particle":"","family":"Bootzin","given":"Richard R.","non-dropping-particle":"","parse-names":false,"suffix":""},{"dropping-particle":"","family":"Nadel","given":"Lynn","non-dropping-particle":"","parse-names":false,"suffix":""}],"container-title":"Psychological Science","id":"ITEM-1","issued":{"date-parts":[["2006"]]},"title":"Naps promote abstraction in language-learning infants","type":"article-journal"},"uris":["http://www.mendeley.com/documents/?uuid=e00b2fc0-6507-400f-b750-420619afa616"]}],"mendeley":{"formattedCitation":"&lt;sup&gt;73&lt;/sup&gt;","plainTextFormattedCitation":"73","previouslyFormattedCitation":"&lt;sup&gt;73&lt;/sup&gt;"},"properties":{"noteIndex":0},"schema":"https://github.com/citation-style-language/schema/raw/master/csl-citation.json"}</w:instrText>
      </w:r>
      <w:r>
        <w:fldChar w:fldCharType="separate"/>
      </w:r>
      <w:r w:rsidR="00B169CE" w:rsidRPr="00B169CE">
        <w:rPr>
          <w:noProof/>
          <w:vertAlign w:val="superscript"/>
        </w:rPr>
        <w:t>73</w:t>
      </w:r>
      <w:r>
        <w:fldChar w:fldCharType="end"/>
      </w:r>
      <w:r w:rsidRPr="00B96D8F">
        <w:t xml:space="preserve"> and benefits the integration of newly learned words into pre-existing knowledge in both school children and adults</w:t>
      </w:r>
      <w:r>
        <w:fldChar w:fldCharType="begin" w:fldLock="1"/>
      </w:r>
      <w:r w:rsidR="00D77509">
        <w:instrText>ADDIN CSL_CITATION {"citationItems":[{"id":"ITEM-1","itemData":{"DOI":"10.1111/j.1467-9280.2007.01845.x","ISSN":"09567976","abstract":"The integration of a newly learned spoken word form with existing knowledge in the mental lexicon is characterized by the word form's ability to compete with similar-sounding entries during auditory word recognition. Here we show that although the mere acquisition of a spoken form is swift, its engagement in lexical competition requires an incubation-like period that is crucially associated with sleep. Words learned at 8 p.m. do not induce (inhibitory) competition effects immediately, but do so after a 12-hr interval including a night's sleep, and continue to induce such effects after 24 hr. In contrast, words learned at 8 a.m. do not show such effects immediately or after 12 hr of wakefulness, but show the effects only after 24 hr, after sleep has occurred. This time-course dissociation is best accommodated by connectionist and neural models of learning in which sleep provides an opportunity for hippocampal information to be fed into long-term neocortical memory. Copyright © 2007 Association for Psychological Science.","author":[{"dropping-particle":"","family":"Dumay","given":"Nicolas","non-dropping-particle":"","parse-names":false,"suffix":""},{"dropping-particle":"","family":"Gaskell","given":"M. Gareth","non-dropping-particle":"","parse-names":false,"suffix":""}],"container-title":"Psychological Science","id":"ITEM-1","issued":{"date-parts":[["2007"]]},"title":"Sleep-associated changes in the mental representation of spoken words: Research report","type":"article-journal"},"uris":["http://www.mendeley.com/documents/?uuid=7bfec599-cb56-4e2f-acbb-f417146b4116"]},{"id":"ITEM-2","itemData":{"DOI":"10.1111/j.1467-7687.2012.01172.x","ISSN":"1363755X","PMID":"22925515","abstract":"Although the acquisition of a novel word is apparently rapid, adult research suggests that integration of novel and existing knowledge (measured by engagement in lexical competition) requires sleep-associated consolidation. We present the first investigation of whether a similar time-course dissociation characterizes word learning across development. Consistent with previous research but counter to adults, 7-12-year-olds showed sleep-associated consolidation effects in declarative but not procedural memory. Nevertheless, the relationship between sleep and word learning in children was remarkably similar to the pattern for adults. Following exposure to nonword competitors (e.g. biscal) in the a.m. or p.m., children's ability to recognize and recall the nonwords improved only after sleep (after approximately 12-hrs for the p.m. group and 24-hrs for the a.m. group), with performance stable 1week later. Novel nonwords only induced lexical competition effects after sleep. These findings suggest that children utilize a dual memory system when acquiring and integrating new vocabulary and highlight sleep as integral to this process. A video abstract of this article can be viewed at http://www.youtube.com/watch?feature=youtube_gdata&amp;v=2UNuKCAakOk&amp;gl=GB. © 2012 Blackwell Publishing Ltd.","author":[{"dropping-particle":"","family":"Henderson","given":"Lisa M.","non-dropping-particle":"","parse-names":false,"suffix":""},{"dropping-particle":"","family":"Weighall","given":"Anna R.","non-dropping-particle":"","parse-names":false,"suffix":""},{"dropping-particle":"","family":"Brown","given":"Helen","non-dropping-particle":"","parse-names":false,"suffix":""},{"dropping-particle":"","family":"Gaskell","given":"M. Gareth","non-dropping-particle":"","parse-names":false,"suffix":""}],"container-title":"Developmental Science","id":"ITEM-2","issued":{"date-parts":[["2012"]]},"title":"Consolidation of vocabulary is associated with sleep in children","type":"article-journal"},"uris":["http://www.mendeley.com/documents/?uuid=a9222ddf-c075-4f29-bba8-6653ae2dd708"]}],"mendeley":{"formattedCitation":"&lt;sup&gt;74,75&lt;/sup&gt;","plainTextFormattedCitation":"74,75","previouslyFormattedCitation":"&lt;sup&gt;74,75&lt;/sup&gt;"},"properties":{"noteIndex":0},"schema":"https://github.com/citation-style-language/schema/raw/master/csl-citation.json"}</w:instrText>
      </w:r>
      <w:r>
        <w:fldChar w:fldCharType="separate"/>
      </w:r>
      <w:r w:rsidR="00B169CE" w:rsidRPr="00B169CE">
        <w:rPr>
          <w:noProof/>
          <w:vertAlign w:val="superscript"/>
        </w:rPr>
        <w:t>74,75</w:t>
      </w:r>
      <w:r>
        <w:fldChar w:fldCharType="end"/>
      </w:r>
      <w:r>
        <w:t xml:space="preserve">. </w:t>
      </w:r>
      <w:r w:rsidRPr="00B96D8F">
        <w:t xml:space="preserve">The longer-term effects of </w:t>
      </w:r>
      <w:proofErr w:type="spellStart"/>
      <w:r w:rsidRPr="00B96D8F">
        <w:t>tDCS</w:t>
      </w:r>
      <w:proofErr w:type="spellEnd"/>
      <w:r w:rsidRPr="00B96D8F">
        <w:t xml:space="preserve"> on language learning shown for the first time here may putatively suggest its potential applicability as a non-invasive assistive technology for ameliorating developmental learning deficits and acquired language disorders and possibly even as an educational aid. However, it goes without saying that substantial research will be needed to assess its usability and safety for such purposes.</w:t>
      </w:r>
    </w:p>
    <w:p w14:paraId="70CB3960" w14:textId="126D5F3E" w:rsidR="00212759" w:rsidRPr="0024664A" w:rsidRDefault="00212759" w:rsidP="00966B3D">
      <w:pPr>
        <w:pStyle w:val="a3"/>
        <w:spacing w:before="102" w:line="249" w:lineRule="auto"/>
        <w:ind w:left="126" w:right="138" w:firstLine="7"/>
        <w:jc w:val="both"/>
        <w:rPr>
          <w:u w:val="single"/>
        </w:rPr>
      </w:pPr>
      <w:r w:rsidRPr="0024664A">
        <w:rPr>
          <w:u w:val="single"/>
        </w:rPr>
        <w:t>Whereas we</w:t>
      </w:r>
      <w:r w:rsidR="00B96B4B">
        <w:rPr>
          <w:u w:val="single"/>
        </w:rPr>
        <w:t xml:space="preserve"> aimed at</w:t>
      </w:r>
      <w:r w:rsidRPr="0024664A">
        <w:rPr>
          <w:u w:val="single"/>
        </w:rPr>
        <w:t xml:space="preserve"> target</w:t>
      </w:r>
      <w:r w:rsidR="00B96B4B">
        <w:rPr>
          <w:u w:val="single"/>
        </w:rPr>
        <w:t>ing functionally specific brain</w:t>
      </w:r>
      <w:r w:rsidRPr="0024664A">
        <w:rPr>
          <w:u w:val="single"/>
        </w:rPr>
        <w:t xml:space="preserve"> area, caution should be still applied with respect to neuroanatomical precision of </w:t>
      </w:r>
      <w:proofErr w:type="spellStart"/>
      <w:r w:rsidRPr="0024664A">
        <w:rPr>
          <w:u w:val="single"/>
        </w:rPr>
        <w:t>tDCS</w:t>
      </w:r>
      <w:proofErr w:type="spellEnd"/>
      <w:r w:rsidRPr="0024664A">
        <w:rPr>
          <w:u w:val="single"/>
        </w:rPr>
        <w:t xml:space="preserve">. Unlike direct cortical stimulation or TMS, the precision of </w:t>
      </w:r>
      <w:proofErr w:type="spellStart"/>
      <w:r w:rsidRPr="0024664A">
        <w:rPr>
          <w:u w:val="single"/>
        </w:rPr>
        <w:t>tDCS</w:t>
      </w:r>
      <w:proofErr w:type="spellEnd"/>
      <w:r w:rsidRPr="0024664A">
        <w:rPr>
          <w:u w:val="single"/>
        </w:rPr>
        <w:t xml:space="preserve"> is generally considered low and</w:t>
      </w:r>
      <w:r w:rsidRPr="0024664A">
        <w:rPr>
          <w:rFonts w:cstheme="minorHAnsi"/>
          <w:u w:val="single"/>
          <w:lang w:val="en-GB"/>
        </w:rPr>
        <w:t xml:space="preserve"> </w:t>
      </w:r>
      <w:r w:rsidR="00B96B4B">
        <w:rPr>
          <w:rFonts w:cstheme="minorHAnsi"/>
          <w:u w:val="single"/>
          <w:lang w:val="en-GB"/>
        </w:rPr>
        <w:t xml:space="preserve">thus </w:t>
      </w:r>
      <w:r w:rsidRPr="0024664A">
        <w:rPr>
          <w:rFonts w:cstheme="minorHAnsi"/>
          <w:u w:val="single"/>
          <w:lang w:val="en-GB"/>
        </w:rPr>
        <w:t>we cannot assume focal stimulation of Wernicke's area only</w:t>
      </w:r>
      <w:r w:rsidR="00B96B4B">
        <w:rPr>
          <w:u w:val="single"/>
        </w:rPr>
        <w:t>.</w:t>
      </w:r>
      <w:r w:rsidRPr="0024664A">
        <w:rPr>
          <w:u w:val="single"/>
        </w:rPr>
        <w:t xml:space="preserve"> </w:t>
      </w:r>
      <w:r w:rsidR="00B96B4B">
        <w:rPr>
          <w:u w:val="single"/>
        </w:rPr>
        <w:t>On the positive side,</w:t>
      </w:r>
      <w:r w:rsidRPr="0024664A">
        <w:rPr>
          <w:u w:val="single"/>
        </w:rPr>
        <w:t xml:space="preserve"> the current distribution model calculated for our stimulation setting</w:t>
      </w:r>
      <w:r w:rsidR="00B96B4B">
        <w:rPr>
          <w:u w:val="single"/>
        </w:rPr>
        <w:t>s</w:t>
      </w:r>
      <w:r w:rsidRPr="0024664A">
        <w:rPr>
          <w:u w:val="single"/>
        </w:rPr>
        <w:t xml:space="preserve"> clearly indicate</w:t>
      </w:r>
      <w:r w:rsidR="00B96B4B">
        <w:rPr>
          <w:u w:val="single"/>
        </w:rPr>
        <w:t>d</w:t>
      </w:r>
      <w:r w:rsidRPr="0024664A">
        <w:rPr>
          <w:u w:val="single"/>
        </w:rPr>
        <w:t xml:space="preserve"> that most of the stimulation effect is concentrated temporo-parietally, with maxima within Wernicke’s area</w:t>
      </w:r>
      <w:r w:rsidR="00276954">
        <w:rPr>
          <w:u w:val="single"/>
        </w:rPr>
        <w:t>.</w:t>
      </w:r>
      <w:r w:rsidRPr="0024664A">
        <w:rPr>
          <w:u w:val="single"/>
        </w:rPr>
        <w:t xml:space="preserve"> </w:t>
      </w:r>
      <w:r w:rsidR="00B96B4B">
        <w:rPr>
          <w:u w:val="single"/>
        </w:rPr>
        <w:t>Still, t</w:t>
      </w:r>
      <w:r w:rsidRPr="0024664A">
        <w:rPr>
          <w:u w:val="single"/>
        </w:rPr>
        <w:t>his, on the one ha</w:t>
      </w:r>
      <w:r w:rsidR="00C22AA4" w:rsidRPr="0024664A">
        <w:rPr>
          <w:u w:val="single"/>
        </w:rPr>
        <w:t>nd</w:t>
      </w:r>
      <w:r w:rsidRPr="0024664A">
        <w:rPr>
          <w:u w:val="single"/>
        </w:rPr>
        <w:t xml:space="preserve">, does not rule stimulation of other </w:t>
      </w:r>
      <w:r w:rsidR="00C22AA4" w:rsidRPr="0024664A">
        <w:rPr>
          <w:u w:val="single"/>
        </w:rPr>
        <w:t>areas</w:t>
      </w:r>
      <w:r w:rsidRPr="0024664A">
        <w:rPr>
          <w:u w:val="single"/>
        </w:rPr>
        <w:t xml:space="preserve"> which the current passes</w:t>
      </w:r>
      <w:r w:rsidR="00C22AA4" w:rsidRPr="0024664A">
        <w:rPr>
          <w:u w:val="single"/>
        </w:rPr>
        <w:t xml:space="preserve"> through, and, on the other hand, does not guarantee complete stimulation of the target zone with even intensity throughout. This is, however, a general </w:t>
      </w:r>
      <w:r w:rsidR="00B96B4B">
        <w:rPr>
          <w:u w:val="single"/>
        </w:rPr>
        <w:t>feature</w:t>
      </w:r>
      <w:r w:rsidR="00C22AA4" w:rsidRPr="0024664A">
        <w:rPr>
          <w:u w:val="single"/>
        </w:rPr>
        <w:t xml:space="preserve"> of this techniq</w:t>
      </w:r>
      <w:r w:rsidR="006D7564">
        <w:rPr>
          <w:u w:val="single"/>
        </w:rPr>
        <w:t>u</w:t>
      </w:r>
      <w:r w:rsidR="00C22AA4" w:rsidRPr="0024664A">
        <w:rPr>
          <w:u w:val="single"/>
        </w:rPr>
        <w:t>e, which, on the more positive side, is well compensated by its safety, non-invasiveness, ease of use</w:t>
      </w:r>
      <w:r w:rsidR="00276954">
        <w:rPr>
          <w:u w:val="single"/>
        </w:rPr>
        <w:t>,</w:t>
      </w:r>
      <w:r w:rsidR="00C22AA4" w:rsidRPr="0024664A">
        <w:rPr>
          <w:u w:val="single"/>
        </w:rPr>
        <w:t xml:space="preserve"> and low cost. Future studies may use a more focal stimulation technique, such as TMS, to verify the present results.</w:t>
      </w:r>
    </w:p>
    <w:p w14:paraId="49E47B0C" w14:textId="14B72185" w:rsidR="000C6639" w:rsidRPr="0024664A" w:rsidRDefault="00E546A6" w:rsidP="00966B3D">
      <w:pPr>
        <w:pStyle w:val="a3"/>
        <w:spacing w:before="102" w:line="249" w:lineRule="auto"/>
        <w:ind w:left="126" w:right="138" w:firstLine="7"/>
        <w:jc w:val="both"/>
        <w:rPr>
          <w:u w:val="single"/>
        </w:rPr>
      </w:pPr>
      <w:r w:rsidRPr="0024664A">
        <w:rPr>
          <w:u w:val="single"/>
        </w:rPr>
        <w:t>On another cautio</w:t>
      </w:r>
      <w:r w:rsidR="00276954">
        <w:rPr>
          <w:u w:val="single"/>
        </w:rPr>
        <w:t>u</w:t>
      </w:r>
      <w:r w:rsidRPr="0024664A">
        <w:rPr>
          <w:u w:val="single"/>
        </w:rPr>
        <w:t>s note, t</w:t>
      </w:r>
      <w:r w:rsidR="000C6639" w:rsidRPr="0024664A">
        <w:rPr>
          <w:u w:val="single"/>
        </w:rPr>
        <w:t xml:space="preserve">he present study used </w:t>
      </w:r>
      <w:r w:rsidRPr="0024664A">
        <w:rPr>
          <w:u w:val="single"/>
        </w:rPr>
        <w:t xml:space="preserve">a between-group design, which is open to criticisms with respect to its lower statistical sensitivity as well as possible confounds related to </w:t>
      </w:r>
      <w:r w:rsidR="00B96B4B">
        <w:rPr>
          <w:u w:val="single"/>
        </w:rPr>
        <w:t xml:space="preserve">potential </w:t>
      </w:r>
      <w:r w:rsidRPr="0024664A">
        <w:rPr>
          <w:u w:val="single"/>
        </w:rPr>
        <w:t xml:space="preserve">baseline group differences. </w:t>
      </w:r>
      <w:r w:rsidR="000C6639" w:rsidRPr="0024664A">
        <w:rPr>
          <w:u w:val="single"/>
        </w:rPr>
        <w:t xml:space="preserve">The choice of between-group design in the study was determined by the </w:t>
      </w:r>
      <w:r w:rsidRPr="0024664A">
        <w:rPr>
          <w:u w:val="single"/>
        </w:rPr>
        <w:t>learning paradi</w:t>
      </w:r>
      <w:r w:rsidR="00276954">
        <w:rPr>
          <w:u w:val="single"/>
        </w:rPr>
        <w:t>g</w:t>
      </w:r>
      <w:r w:rsidRPr="0024664A">
        <w:rPr>
          <w:u w:val="single"/>
        </w:rPr>
        <w:t xml:space="preserve">m, which made it impossible to test the same subjects three times in the same learning task. That said, the critical findings </w:t>
      </w:r>
      <w:r w:rsidR="00CF0625">
        <w:rPr>
          <w:u w:val="single"/>
        </w:rPr>
        <w:t>were</w:t>
      </w:r>
      <w:r w:rsidRPr="0024664A">
        <w:rPr>
          <w:u w:val="single"/>
        </w:rPr>
        <w:t xml:space="preserve"> produced </w:t>
      </w:r>
      <w:r w:rsidR="00CF0625">
        <w:rPr>
          <w:u w:val="single"/>
        </w:rPr>
        <w:t xml:space="preserve">here </w:t>
      </w:r>
      <w:r w:rsidRPr="0024664A">
        <w:rPr>
          <w:u w:val="single"/>
        </w:rPr>
        <w:t>by within-group contrasts, comparing stimuli and days of ass</w:t>
      </w:r>
      <w:r w:rsidR="00276954">
        <w:rPr>
          <w:u w:val="single"/>
        </w:rPr>
        <w:t>ess</w:t>
      </w:r>
      <w:r w:rsidRPr="0024664A">
        <w:rPr>
          <w:u w:val="single"/>
        </w:rPr>
        <w:t>ment within each group. At the same time, the</w:t>
      </w:r>
      <w:r w:rsidR="000C6639" w:rsidRPr="0024664A">
        <w:rPr>
          <w:u w:val="single"/>
        </w:rPr>
        <w:t xml:space="preserve"> groups were verified by gender, age, han</w:t>
      </w:r>
      <w:r w:rsidR="00276954">
        <w:rPr>
          <w:u w:val="single"/>
        </w:rPr>
        <w:t>de</w:t>
      </w:r>
      <w:r w:rsidR="000C6639" w:rsidRPr="0024664A">
        <w:rPr>
          <w:u w:val="single"/>
        </w:rPr>
        <w:t xml:space="preserve">dness, </w:t>
      </w:r>
      <w:r w:rsidR="00276954">
        <w:rPr>
          <w:u w:val="single"/>
        </w:rPr>
        <w:t xml:space="preserve">the </w:t>
      </w:r>
      <w:r w:rsidRPr="0024664A">
        <w:rPr>
          <w:u w:val="single"/>
        </w:rPr>
        <w:t>experience of</w:t>
      </w:r>
      <w:r w:rsidR="000C6639" w:rsidRPr="0024664A">
        <w:rPr>
          <w:u w:val="single"/>
        </w:rPr>
        <w:t xml:space="preserve"> foreign language learning</w:t>
      </w:r>
      <w:r w:rsidR="00276954">
        <w:rPr>
          <w:u w:val="single"/>
        </w:rPr>
        <w:t>,</w:t>
      </w:r>
      <w:r w:rsidR="000C6639" w:rsidRPr="0024664A">
        <w:rPr>
          <w:u w:val="single"/>
        </w:rPr>
        <w:t xml:space="preserve"> and the level of education</w:t>
      </w:r>
      <w:r w:rsidRPr="0024664A">
        <w:rPr>
          <w:u w:val="single"/>
        </w:rPr>
        <w:t>, largely ruling out any baseline group differences as the explanation of the effects found</w:t>
      </w:r>
      <w:r w:rsidR="000C6639" w:rsidRPr="0024664A">
        <w:rPr>
          <w:u w:val="single"/>
        </w:rPr>
        <w:t xml:space="preserve">. However, </w:t>
      </w:r>
      <w:r w:rsidRPr="0024664A">
        <w:rPr>
          <w:u w:val="single"/>
        </w:rPr>
        <w:t>future studies could still attempt to modify this paradi</w:t>
      </w:r>
      <w:r w:rsidR="00276954">
        <w:rPr>
          <w:u w:val="single"/>
        </w:rPr>
        <w:t>gm</w:t>
      </w:r>
      <w:r w:rsidRPr="0024664A">
        <w:rPr>
          <w:u w:val="single"/>
        </w:rPr>
        <w:t xml:space="preserve"> and use</w:t>
      </w:r>
      <w:r w:rsidR="000C6639" w:rsidRPr="0024664A">
        <w:rPr>
          <w:u w:val="single"/>
        </w:rPr>
        <w:t xml:space="preserve"> a within-</w:t>
      </w:r>
      <w:r w:rsidRPr="0024664A">
        <w:rPr>
          <w:u w:val="single"/>
        </w:rPr>
        <w:t>sub</w:t>
      </w:r>
      <w:r w:rsidR="00276954">
        <w:rPr>
          <w:u w:val="single"/>
        </w:rPr>
        <w:t>je</w:t>
      </w:r>
      <w:r w:rsidRPr="0024664A">
        <w:rPr>
          <w:u w:val="single"/>
        </w:rPr>
        <w:t>ct</w:t>
      </w:r>
      <w:r w:rsidR="000C6639" w:rsidRPr="0024664A">
        <w:rPr>
          <w:u w:val="single"/>
        </w:rPr>
        <w:t xml:space="preserve"> design to overcome </w:t>
      </w:r>
      <w:r w:rsidRPr="0024664A">
        <w:rPr>
          <w:u w:val="single"/>
        </w:rPr>
        <w:t>the drawbacks pertinent to group comparisons.</w:t>
      </w:r>
    </w:p>
    <w:p w14:paraId="4054A4B6" w14:textId="7DC0CB3D" w:rsidR="00966B3D" w:rsidRPr="00327603" w:rsidRDefault="00966B3D" w:rsidP="00966B3D">
      <w:pPr>
        <w:pStyle w:val="a3"/>
        <w:spacing w:before="102" w:line="249" w:lineRule="auto"/>
        <w:ind w:left="126" w:right="138" w:firstLine="7"/>
        <w:jc w:val="both"/>
      </w:pPr>
      <w:r w:rsidRPr="004251BC">
        <w:t>In sum, the present results suggest that Wernicke’s area direct current stimulation may improve contextual acquisition o</w:t>
      </w:r>
      <w:r>
        <w:t xml:space="preserve">f new words at both lexical and </w:t>
      </w:r>
      <w:r w:rsidRPr="004251BC">
        <w:t xml:space="preserve">semantic levels generally, and of novel concrete and abstract semantics specifically. Furthermore, they demonstrate a somewhat more robust effect of cathodal stimulation on learning in general and on the acquisition of novel abstract knowledge in particular, indicating overlapping but diverging brain mechanisms for concrete and abstract semantics, and highlighting a possibly more important role of core language areas in storing abstract knowledge. </w:t>
      </w:r>
      <w:r w:rsidRPr="00B96D8F">
        <w:t xml:space="preserve">The results of this study, while they may potentially pave the way for future </w:t>
      </w:r>
      <w:proofErr w:type="spellStart"/>
      <w:r w:rsidRPr="00B96D8F">
        <w:t>neuroassistive</w:t>
      </w:r>
      <w:proofErr w:type="spellEnd"/>
      <w:r w:rsidRPr="00B96D8F">
        <w:t xml:space="preserve"> technologies, should still be treated with caution, and must be verified and extended in future studies. Further investigations could use different learning paradigms (for instance, explicit encoding, fast-mapping, word-picture association, visual and auditory inputs, etc.), stimulation regimes (e.g. duration, intensity, and shape of the current), brain areas (e.g. Broca’s area, left anterior-temporal pole, their right-hemispheric homologues, etc.), and experimental languages to fully elucidate the potential of </w:t>
      </w:r>
      <w:proofErr w:type="spellStart"/>
      <w:r w:rsidRPr="00B96D8F">
        <w:t>tDCS</w:t>
      </w:r>
      <w:proofErr w:type="spellEnd"/>
      <w:r w:rsidRPr="00B96D8F">
        <w:t xml:space="preserve"> for modulating language learning and the role of different brain areas in acquiring different types of semantics.</w:t>
      </w:r>
      <w:r w:rsidR="0042653D">
        <w:t xml:space="preserve"> </w:t>
      </w:r>
    </w:p>
    <w:p w14:paraId="5DA770B3" w14:textId="77777777" w:rsidR="0066397A" w:rsidRDefault="0066397A">
      <w:pPr>
        <w:pStyle w:val="a3"/>
        <w:spacing w:before="6"/>
        <w:rPr>
          <w:sz w:val="23"/>
        </w:rPr>
      </w:pPr>
    </w:p>
    <w:p w14:paraId="7B9B7584" w14:textId="77777777" w:rsidR="0066397A" w:rsidRDefault="00AE2457">
      <w:pPr>
        <w:pStyle w:val="1"/>
      </w:pPr>
      <w:r>
        <w:t>References</w:t>
      </w:r>
    </w:p>
    <w:p w14:paraId="0058A1E0" w14:textId="616FA8B2" w:rsidR="00AB1796" w:rsidRPr="00AB1796" w:rsidRDefault="00591DF0" w:rsidP="00AB1796">
      <w:pPr>
        <w:adjustRightInd w:val="0"/>
        <w:spacing w:before="100"/>
        <w:ind w:left="640" w:hanging="640"/>
        <w:rPr>
          <w:noProof/>
          <w:sz w:val="20"/>
          <w:szCs w:val="24"/>
        </w:rPr>
      </w:pPr>
      <w:r w:rsidRPr="00591DF0">
        <w:fldChar w:fldCharType="begin" w:fldLock="1"/>
      </w:r>
      <w:r w:rsidRPr="00591DF0">
        <w:instrText xml:space="preserve">ADDIN Mendeley Bibliography CSL_BIBLIOGRAPHY </w:instrText>
      </w:r>
      <w:r w:rsidRPr="00591DF0">
        <w:fldChar w:fldCharType="separate"/>
      </w:r>
      <w:r w:rsidR="00AB1796" w:rsidRPr="00AB1796">
        <w:rPr>
          <w:noProof/>
          <w:sz w:val="20"/>
          <w:szCs w:val="24"/>
        </w:rPr>
        <w:t>1.</w:t>
      </w:r>
      <w:r w:rsidR="00AB1796" w:rsidRPr="00AB1796">
        <w:rPr>
          <w:noProof/>
          <w:sz w:val="20"/>
          <w:szCs w:val="24"/>
        </w:rPr>
        <w:tab/>
        <w:t>Borghi, A. M. &amp; Binkofski, F. Words as Social Tools: An Embodied View on Abstract Concepts. (2014). doi:10.1007/978-1-4614-9539-0</w:t>
      </w:r>
    </w:p>
    <w:p w14:paraId="6346CCCA" w14:textId="77777777" w:rsidR="00AB1796" w:rsidRPr="00AB1796" w:rsidRDefault="00AB1796" w:rsidP="00AB1796">
      <w:pPr>
        <w:adjustRightInd w:val="0"/>
        <w:spacing w:before="100"/>
        <w:ind w:left="640" w:hanging="640"/>
        <w:rPr>
          <w:noProof/>
          <w:sz w:val="20"/>
          <w:szCs w:val="24"/>
        </w:rPr>
      </w:pPr>
      <w:r w:rsidRPr="00AB1796">
        <w:rPr>
          <w:noProof/>
          <w:sz w:val="20"/>
          <w:szCs w:val="24"/>
        </w:rPr>
        <w:lastRenderedPageBreak/>
        <w:t>2.</w:t>
      </w:r>
      <w:r w:rsidRPr="00AB1796">
        <w:rPr>
          <w:noProof/>
          <w:sz w:val="20"/>
          <w:szCs w:val="24"/>
        </w:rPr>
        <w:tab/>
        <w:t xml:space="preserve">Carruthers, P. &amp; Cummins, R. Meaning and Mental Representation. </w:t>
      </w:r>
      <w:r w:rsidRPr="00AB1796">
        <w:rPr>
          <w:i/>
          <w:iCs/>
          <w:noProof/>
          <w:sz w:val="20"/>
          <w:szCs w:val="24"/>
        </w:rPr>
        <w:t>Philos. Q.</w:t>
      </w:r>
      <w:r w:rsidRPr="00AB1796">
        <w:rPr>
          <w:noProof/>
          <w:sz w:val="20"/>
          <w:szCs w:val="24"/>
        </w:rPr>
        <w:t xml:space="preserve"> (1990). doi:10.2307/2220119</w:t>
      </w:r>
    </w:p>
    <w:p w14:paraId="2E2B46FD" w14:textId="77777777" w:rsidR="00AB1796" w:rsidRPr="00AB1796" w:rsidRDefault="00AB1796" w:rsidP="00AB1796">
      <w:pPr>
        <w:adjustRightInd w:val="0"/>
        <w:spacing w:before="100"/>
        <w:ind w:left="640" w:hanging="640"/>
        <w:rPr>
          <w:noProof/>
          <w:sz w:val="20"/>
          <w:szCs w:val="24"/>
        </w:rPr>
      </w:pPr>
      <w:r w:rsidRPr="00AB1796">
        <w:rPr>
          <w:noProof/>
          <w:sz w:val="20"/>
          <w:szCs w:val="24"/>
        </w:rPr>
        <w:t>3.</w:t>
      </w:r>
      <w:r w:rsidRPr="00AB1796">
        <w:rPr>
          <w:noProof/>
          <w:sz w:val="20"/>
          <w:szCs w:val="24"/>
        </w:rPr>
        <w:tab/>
        <w:t xml:space="preserve">Pexman, P. M., Hargreaves, I. S., Edwards, J. D., Henry, L. C. &amp; Goodyear, B. G. Neural correlates of concreteness in semantic categorization. </w:t>
      </w:r>
      <w:r w:rsidRPr="00AB1796">
        <w:rPr>
          <w:i/>
          <w:iCs/>
          <w:noProof/>
          <w:sz w:val="20"/>
          <w:szCs w:val="24"/>
        </w:rPr>
        <w:t>J. Cogn. Neurosci.</w:t>
      </w:r>
      <w:r w:rsidRPr="00AB1796">
        <w:rPr>
          <w:noProof/>
          <w:sz w:val="20"/>
          <w:szCs w:val="24"/>
        </w:rPr>
        <w:t xml:space="preserve"> (2007). doi:10.1162/jocn.2007.19.8.1407</w:t>
      </w:r>
    </w:p>
    <w:p w14:paraId="4D4F2576" w14:textId="77777777" w:rsidR="00AB1796" w:rsidRPr="00AB1796" w:rsidRDefault="00AB1796" w:rsidP="00AB1796">
      <w:pPr>
        <w:adjustRightInd w:val="0"/>
        <w:spacing w:before="100"/>
        <w:ind w:left="640" w:hanging="640"/>
        <w:rPr>
          <w:noProof/>
          <w:sz w:val="20"/>
          <w:szCs w:val="24"/>
        </w:rPr>
      </w:pPr>
      <w:r w:rsidRPr="00AB1796">
        <w:rPr>
          <w:noProof/>
          <w:sz w:val="20"/>
          <w:szCs w:val="24"/>
        </w:rPr>
        <w:t>4.</w:t>
      </w:r>
      <w:r w:rsidRPr="00AB1796">
        <w:rPr>
          <w:noProof/>
          <w:sz w:val="20"/>
          <w:szCs w:val="24"/>
        </w:rPr>
        <w:tab/>
        <w:t xml:space="preserve">Schwanenflugel, P. J., Akin, C. &amp; Luh, W. M. Context availability and the recall of abstract and concrete words. </w:t>
      </w:r>
      <w:r w:rsidRPr="00AB1796">
        <w:rPr>
          <w:i/>
          <w:iCs/>
          <w:noProof/>
          <w:sz w:val="20"/>
          <w:szCs w:val="24"/>
        </w:rPr>
        <w:t>Mem. Cognit.</w:t>
      </w:r>
      <w:r w:rsidRPr="00AB1796">
        <w:rPr>
          <w:noProof/>
          <w:sz w:val="20"/>
          <w:szCs w:val="24"/>
        </w:rPr>
        <w:t xml:space="preserve"> (1992). doi:10.3758/BF03208259</w:t>
      </w:r>
    </w:p>
    <w:p w14:paraId="705CF9A1" w14:textId="77777777" w:rsidR="00AB1796" w:rsidRPr="00AB1796" w:rsidRDefault="00AB1796" w:rsidP="00AB1796">
      <w:pPr>
        <w:adjustRightInd w:val="0"/>
        <w:spacing w:before="100"/>
        <w:ind w:left="640" w:hanging="640"/>
        <w:rPr>
          <w:noProof/>
          <w:sz w:val="20"/>
          <w:szCs w:val="24"/>
        </w:rPr>
      </w:pPr>
      <w:r w:rsidRPr="00AB1796">
        <w:rPr>
          <w:noProof/>
          <w:sz w:val="20"/>
          <w:szCs w:val="24"/>
        </w:rPr>
        <w:t>5.</w:t>
      </w:r>
      <w:r w:rsidRPr="00AB1796">
        <w:rPr>
          <w:noProof/>
          <w:sz w:val="20"/>
          <w:szCs w:val="24"/>
        </w:rPr>
        <w:tab/>
        <w:t xml:space="preserve">Fliessbach, K., Weis, S., Klaver, P., Elger, C. E. &amp; Weber, B. The effect of word concreteness on recognition memory. </w:t>
      </w:r>
      <w:r w:rsidRPr="00AB1796">
        <w:rPr>
          <w:i/>
          <w:iCs/>
          <w:noProof/>
          <w:sz w:val="20"/>
          <w:szCs w:val="24"/>
        </w:rPr>
        <w:t>Neuroimage</w:t>
      </w:r>
      <w:r w:rsidRPr="00AB1796">
        <w:rPr>
          <w:noProof/>
          <w:sz w:val="20"/>
          <w:szCs w:val="24"/>
        </w:rPr>
        <w:t xml:space="preserve"> </w:t>
      </w:r>
      <w:r w:rsidRPr="00AB1796">
        <w:rPr>
          <w:b/>
          <w:bCs/>
          <w:noProof/>
          <w:sz w:val="20"/>
          <w:szCs w:val="24"/>
        </w:rPr>
        <w:t>32</w:t>
      </w:r>
      <w:r w:rsidRPr="00AB1796">
        <w:rPr>
          <w:noProof/>
          <w:sz w:val="20"/>
          <w:szCs w:val="24"/>
        </w:rPr>
        <w:t>, 1413–1421 (2006).</w:t>
      </w:r>
    </w:p>
    <w:p w14:paraId="39E1868E" w14:textId="77777777" w:rsidR="00AB1796" w:rsidRPr="00AB1796" w:rsidRDefault="00AB1796" w:rsidP="00AB1796">
      <w:pPr>
        <w:adjustRightInd w:val="0"/>
        <w:spacing w:before="100"/>
        <w:ind w:left="640" w:hanging="640"/>
        <w:rPr>
          <w:noProof/>
          <w:sz w:val="20"/>
          <w:szCs w:val="24"/>
        </w:rPr>
      </w:pPr>
      <w:r w:rsidRPr="00AB1796">
        <w:rPr>
          <w:noProof/>
          <w:sz w:val="20"/>
          <w:szCs w:val="24"/>
        </w:rPr>
        <w:t>6.</w:t>
      </w:r>
      <w:r w:rsidRPr="00AB1796">
        <w:rPr>
          <w:noProof/>
          <w:sz w:val="20"/>
          <w:szCs w:val="24"/>
        </w:rPr>
        <w:tab/>
        <w:t xml:space="preserve">Schwanenflugel, P. J. &amp; Shoben, E. J. Differential context effects in the comprehension of abstract and concrete verbal materials. </w:t>
      </w:r>
      <w:r w:rsidRPr="00AB1796">
        <w:rPr>
          <w:i/>
          <w:iCs/>
          <w:noProof/>
          <w:sz w:val="20"/>
          <w:szCs w:val="24"/>
        </w:rPr>
        <w:t>J. Exp. Psychol. Learn. Mem. Cogn.</w:t>
      </w:r>
      <w:r w:rsidRPr="00AB1796">
        <w:rPr>
          <w:noProof/>
          <w:sz w:val="20"/>
          <w:szCs w:val="24"/>
        </w:rPr>
        <w:t xml:space="preserve"> </w:t>
      </w:r>
      <w:r w:rsidRPr="00AB1796">
        <w:rPr>
          <w:b/>
          <w:bCs/>
          <w:noProof/>
          <w:sz w:val="20"/>
          <w:szCs w:val="24"/>
        </w:rPr>
        <w:t>9</w:t>
      </w:r>
      <w:r w:rsidRPr="00AB1796">
        <w:rPr>
          <w:noProof/>
          <w:sz w:val="20"/>
          <w:szCs w:val="24"/>
        </w:rPr>
        <w:t>, 82–102 (1983).</w:t>
      </w:r>
    </w:p>
    <w:p w14:paraId="1BF3D32D" w14:textId="77777777" w:rsidR="00AB1796" w:rsidRPr="00AB1796" w:rsidRDefault="00AB1796" w:rsidP="00AB1796">
      <w:pPr>
        <w:adjustRightInd w:val="0"/>
        <w:spacing w:before="100"/>
        <w:ind w:left="640" w:hanging="640"/>
        <w:rPr>
          <w:noProof/>
          <w:sz w:val="20"/>
          <w:szCs w:val="24"/>
        </w:rPr>
      </w:pPr>
      <w:r w:rsidRPr="00AB1796">
        <w:rPr>
          <w:noProof/>
          <w:sz w:val="20"/>
          <w:szCs w:val="24"/>
        </w:rPr>
        <w:t>7.</w:t>
      </w:r>
      <w:r w:rsidRPr="00AB1796">
        <w:rPr>
          <w:noProof/>
          <w:sz w:val="20"/>
          <w:szCs w:val="24"/>
        </w:rPr>
        <w:tab/>
        <w:t xml:space="preserve">Mestres-Missé, A., Münte, T. F. &amp; Rodriguez-Fornells, A. Mapping concrete and abstract meanings to new words using verbal contexts. </w:t>
      </w:r>
      <w:r w:rsidRPr="00AB1796">
        <w:rPr>
          <w:i/>
          <w:iCs/>
          <w:noProof/>
          <w:sz w:val="20"/>
          <w:szCs w:val="24"/>
        </w:rPr>
        <w:t>Second Lang. Res.</w:t>
      </w:r>
      <w:r w:rsidRPr="00AB1796">
        <w:rPr>
          <w:noProof/>
          <w:sz w:val="20"/>
          <w:szCs w:val="24"/>
        </w:rPr>
        <w:t xml:space="preserve"> </w:t>
      </w:r>
      <w:r w:rsidRPr="00AB1796">
        <w:rPr>
          <w:b/>
          <w:bCs/>
          <w:noProof/>
          <w:sz w:val="20"/>
          <w:szCs w:val="24"/>
        </w:rPr>
        <w:t>30</w:t>
      </w:r>
      <w:r w:rsidRPr="00AB1796">
        <w:rPr>
          <w:noProof/>
          <w:sz w:val="20"/>
          <w:szCs w:val="24"/>
        </w:rPr>
        <w:t>, 191–223 (2014).</w:t>
      </w:r>
    </w:p>
    <w:p w14:paraId="73F913CD" w14:textId="77777777" w:rsidR="00AB1796" w:rsidRPr="00AB1796" w:rsidRDefault="00AB1796" w:rsidP="00AB1796">
      <w:pPr>
        <w:adjustRightInd w:val="0"/>
        <w:spacing w:before="100"/>
        <w:ind w:left="640" w:hanging="640"/>
        <w:rPr>
          <w:noProof/>
          <w:sz w:val="20"/>
          <w:szCs w:val="24"/>
        </w:rPr>
      </w:pPr>
      <w:r w:rsidRPr="00AB1796">
        <w:rPr>
          <w:noProof/>
          <w:sz w:val="20"/>
          <w:szCs w:val="24"/>
        </w:rPr>
        <w:t>8.</w:t>
      </w:r>
      <w:r w:rsidRPr="00AB1796">
        <w:rPr>
          <w:noProof/>
          <w:sz w:val="20"/>
          <w:szCs w:val="24"/>
        </w:rPr>
        <w:tab/>
        <w:t xml:space="preserve">Paivio, A. </w:t>
      </w:r>
      <w:r w:rsidRPr="00AB1796">
        <w:rPr>
          <w:i/>
          <w:iCs/>
          <w:noProof/>
          <w:sz w:val="20"/>
          <w:szCs w:val="24"/>
        </w:rPr>
        <w:t>Mental Representations : a Dual Coding Approach.</w:t>
      </w:r>
      <w:r w:rsidRPr="00AB1796">
        <w:rPr>
          <w:noProof/>
          <w:sz w:val="20"/>
          <w:szCs w:val="24"/>
        </w:rPr>
        <w:t xml:space="preserve"> (Oxford University Press, Incorporated, 1990).</w:t>
      </w:r>
    </w:p>
    <w:p w14:paraId="357990FD" w14:textId="77777777" w:rsidR="00AB1796" w:rsidRPr="00AB1796" w:rsidRDefault="00AB1796" w:rsidP="00AB1796">
      <w:pPr>
        <w:adjustRightInd w:val="0"/>
        <w:spacing w:before="100"/>
        <w:ind w:left="640" w:hanging="640"/>
        <w:rPr>
          <w:noProof/>
          <w:sz w:val="20"/>
          <w:szCs w:val="24"/>
        </w:rPr>
      </w:pPr>
      <w:r w:rsidRPr="00AB1796">
        <w:rPr>
          <w:noProof/>
          <w:sz w:val="20"/>
          <w:szCs w:val="24"/>
        </w:rPr>
        <w:t>9.</w:t>
      </w:r>
      <w:r w:rsidRPr="00AB1796">
        <w:rPr>
          <w:noProof/>
          <w:sz w:val="20"/>
          <w:szCs w:val="24"/>
        </w:rPr>
        <w:tab/>
        <w:t xml:space="preserve">Crutch, S. J. Qualitatively different semantic representations for abstract and concrete words: Further evidence from the semantic reading errors of deep dyslexic patients. </w:t>
      </w:r>
      <w:r w:rsidRPr="00AB1796">
        <w:rPr>
          <w:i/>
          <w:iCs/>
          <w:noProof/>
          <w:sz w:val="20"/>
          <w:szCs w:val="24"/>
        </w:rPr>
        <w:t>Neurocase</w:t>
      </w:r>
      <w:r w:rsidRPr="00AB1796">
        <w:rPr>
          <w:noProof/>
          <w:sz w:val="20"/>
          <w:szCs w:val="24"/>
        </w:rPr>
        <w:t xml:space="preserve"> </w:t>
      </w:r>
      <w:r w:rsidRPr="00AB1796">
        <w:rPr>
          <w:b/>
          <w:bCs/>
          <w:noProof/>
          <w:sz w:val="20"/>
          <w:szCs w:val="24"/>
        </w:rPr>
        <w:t>12</w:t>
      </w:r>
      <w:r w:rsidRPr="00AB1796">
        <w:rPr>
          <w:noProof/>
          <w:sz w:val="20"/>
          <w:szCs w:val="24"/>
        </w:rPr>
        <w:t>, 91–97 (2006).</w:t>
      </w:r>
    </w:p>
    <w:p w14:paraId="13BC1AF2" w14:textId="77777777" w:rsidR="00AB1796" w:rsidRPr="00AB1796" w:rsidRDefault="00AB1796" w:rsidP="00AB1796">
      <w:pPr>
        <w:adjustRightInd w:val="0"/>
        <w:spacing w:before="100"/>
        <w:ind w:left="640" w:hanging="640"/>
        <w:rPr>
          <w:noProof/>
          <w:sz w:val="20"/>
          <w:szCs w:val="24"/>
        </w:rPr>
      </w:pPr>
      <w:r w:rsidRPr="00AB1796">
        <w:rPr>
          <w:noProof/>
          <w:sz w:val="20"/>
          <w:szCs w:val="24"/>
        </w:rPr>
        <w:t>10.</w:t>
      </w:r>
      <w:r w:rsidRPr="00AB1796">
        <w:rPr>
          <w:noProof/>
          <w:sz w:val="20"/>
          <w:szCs w:val="24"/>
        </w:rPr>
        <w:tab/>
        <w:t xml:space="preserve">Mkrtychian, N. </w:t>
      </w:r>
      <w:r w:rsidRPr="00AB1796">
        <w:rPr>
          <w:i/>
          <w:iCs/>
          <w:noProof/>
          <w:sz w:val="20"/>
          <w:szCs w:val="24"/>
        </w:rPr>
        <w:t>et al.</w:t>
      </w:r>
      <w:r w:rsidRPr="00AB1796">
        <w:rPr>
          <w:noProof/>
          <w:sz w:val="20"/>
          <w:szCs w:val="24"/>
        </w:rPr>
        <w:t xml:space="preserve"> Concrete vs. Abstract Semantics: From Mental Representations to Functional Brain Mapping. </w:t>
      </w:r>
      <w:r w:rsidRPr="00AB1796">
        <w:rPr>
          <w:i/>
          <w:iCs/>
          <w:noProof/>
          <w:sz w:val="20"/>
          <w:szCs w:val="24"/>
        </w:rPr>
        <w:t>Frontiers in Human Neuroscience</w:t>
      </w:r>
      <w:r w:rsidRPr="00AB1796">
        <w:rPr>
          <w:noProof/>
          <w:sz w:val="20"/>
          <w:szCs w:val="24"/>
        </w:rPr>
        <w:t xml:space="preserve"> (2019). doi:10.3389/fnhum.2019.00267</w:t>
      </w:r>
    </w:p>
    <w:p w14:paraId="32627202" w14:textId="77777777" w:rsidR="00AB1796" w:rsidRPr="00AB1796" w:rsidRDefault="00AB1796" w:rsidP="00AB1796">
      <w:pPr>
        <w:adjustRightInd w:val="0"/>
        <w:spacing w:before="100"/>
        <w:ind w:left="640" w:hanging="640"/>
        <w:rPr>
          <w:noProof/>
          <w:sz w:val="20"/>
          <w:szCs w:val="24"/>
        </w:rPr>
      </w:pPr>
      <w:r w:rsidRPr="00AB1796">
        <w:rPr>
          <w:noProof/>
          <w:sz w:val="20"/>
          <w:szCs w:val="24"/>
        </w:rPr>
        <w:t>11.</w:t>
      </w:r>
      <w:r w:rsidRPr="00AB1796">
        <w:rPr>
          <w:noProof/>
          <w:sz w:val="20"/>
          <w:szCs w:val="24"/>
        </w:rPr>
        <w:tab/>
        <w:t xml:space="preserve">Holcomb, P. J., Kounios, J., Anderson, J. E. &amp; West, W. C. Dual-coding, context-availability, and concreteness effects in sentence comprehension: an electrophysiological investigation. </w:t>
      </w:r>
      <w:r w:rsidRPr="00AB1796">
        <w:rPr>
          <w:i/>
          <w:iCs/>
          <w:noProof/>
          <w:sz w:val="20"/>
          <w:szCs w:val="24"/>
        </w:rPr>
        <w:t>J. Exp. Psychol. Learn. Mem. Cogn.</w:t>
      </w:r>
      <w:r w:rsidRPr="00AB1796">
        <w:rPr>
          <w:noProof/>
          <w:sz w:val="20"/>
          <w:szCs w:val="24"/>
        </w:rPr>
        <w:t xml:space="preserve"> </w:t>
      </w:r>
      <w:r w:rsidRPr="00AB1796">
        <w:rPr>
          <w:b/>
          <w:bCs/>
          <w:noProof/>
          <w:sz w:val="20"/>
          <w:szCs w:val="24"/>
        </w:rPr>
        <w:t>25</w:t>
      </w:r>
      <w:r w:rsidRPr="00AB1796">
        <w:rPr>
          <w:noProof/>
          <w:sz w:val="20"/>
          <w:szCs w:val="24"/>
        </w:rPr>
        <w:t>, 721–42 (1999).</w:t>
      </w:r>
    </w:p>
    <w:p w14:paraId="05BC8422" w14:textId="77777777" w:rsidR="00AB1796" w:rsidRPr="00AB1796" w:rsidRDefault="00AB1796" w:rsidP="00AB1796">
      <w:pPr>
        <w:adjustRightInd w:val="0"/>
        <w:spacing w:before="100"/>
        <w:ind w:left="640" w:hanging="640"/>
        <w:rPr>
          <w:noProof/>
          <w:sz w:val="20"/>
          <w:szCs w:val="24"/>
        </w:rPr>
      </w:pPr>
      <w:r w:rsidRPr="00AB1796">
        <w:rPr>
          <w:noProof/>
          <w:sz w:val="20"/>
          <w:szCs w:val="24"/>
        </w:rPr>
        <w:t>12.</w:t>
      </w:r>
      <w:r w:rsidRPr="00AB1796">
        <w:rPr>
          <w:noProof/>
          <w:sz w:val="20"/>
          <w:szCs w:val="24"/>
        </w:rPr>
        <w:tab/>
        <w:t xml:space="preserve">Khachatryan, E., Hnazaee, M. F. &amp; Van Hulle, M. M. Effect of word association on linguistic event-related potentials in moderately to mildly constraining sentences. </w:t>
      </w:r>
      <w:r w:rsidRPr="00AB1796">
        <w:rPr>
          <w:i/>
          <w:iCs/>
          <w:noProof/>
          <w:sz w:val="20"/>
          <w:szCs w:val="24"/>
        </w:rPr>
        <w:t>Sci. Rep.</w:t>
      </w:r>
      <w:r w:rsidRPr="00AB1796">
        <w:rPr>
          <w:noProof/>
          <w:sz w:val="20"/>
          <w:szCs w:val="24"/>
        </w:rPr>
        <w:t xml:space="preserve"> (2018). doi:10.1038/s41598-018-25723-y</w:t>
      </w:r>
    </w:p>
    <w:p w14:paraId="2C25B1D1" w14:textId="77777777" w:rsidR="00AB1796" w:rsidRPr="00AB1796" w:rsidRDefault="00AB1796" w:rsidP="00AB1796">
      <w:pPr>
        <w:adjustRightInd w:val="0"/>
        <w:spacing w:before="100"/>
        <w:ind w:left="640" w:hanging="640"/>
        <w:rPr>
          <w:noProof/>
          <w:sz w:val="20"/>
          <w:szCs w:val="24"/>
        </w:rPr>
      </w:pPr>
      <w:r w:rsidRPr="00AB1796">
        <w:rPr>
          <w:noProof/>
          <w:sz w:val="20"/>
          <w:szCs w:val="24"/>
        </w:rPr>
        <w:t>13.</w:t>
      </w:r>
      <w:r w:rsidRPr="00AB1796">
        <w:rPr>
          <w:noProof/>
          <w:sz w:val="20"/>
          <w:szCs w:val="24"/>
        </w:rPr>
        <w:tab/>
        <w:t xml:space="preserve">Della Rosa, P. A., Catricalà, E., Canini, M., Vigliocco, G. &amp; Cappa, S. F. The left inferior frontal gyrus: A neural crossroads between abstract and concrete knowledge. </w:t>
      </w:r>
      <w:r w:rsidRPr="00AB1796">
        <w:rPr>
          <w:i/>
          <w:iCs/>
          <w:noProof/>
          <w:sz w:val="20"/>
          <w:szCs w:val="24"/>
        </w:rPr>
        <w:t>Neuroimage</w:t>
      </w:r>
      <w:r w:rsidRPr="00AB1796">
        <w:rPr>
          <w:noProof/>
          <w:sz w:val="20"/>
          <w:szCs w:val="24"/>
        </w:rPr>
        <w:t xml:space="preserve"> (2018). doi:10.1016/j.neuroimage.2018.04.021</w:t>
      </w:r>
    </w:p>
    <w:p w14:paraId="3D2371DF" w14:textId="77777777" w:rsidR="00AB1796" w:rsidRPr="00AB1796" w:rsidRDefault="00AB1796" w:rsidP="00AB1796">
      <w:pPr>
        <w:adjustRightInd w:val="0"/>
        <w:spacing w:before="100"/>
        <w:ind w:left="640" w:hanging="640"/>
        <w:rPr>
          <w:noProof/>
          <w:sz w:val="20"/>
          <w:szCs w:val="24"/>
        </w:rPr>
      </w:pPr>
      <w:r w:rsidRPr="00AB1796">
        <w:rPr>
          <w:noProof/>
          <w:sz w:val="20"/>
          <w:szCs w:val="24"/>
        </w:rPr>
        <w:t>14.</w:t>
      </w:r>
      <w:r w:rsidRPr="00AB1796">
        <w:rPr>
          <w:noProof/>
          <w:sz w:val="20"/>
          <w:szCs w:val="24"/>
        </w:rPr>
        <w:tab/>
        <w:t xml:space="preserve">Moseley, R. L. &amp; Pulvermüller, F. Nouns, verbs, objects, actions, and abstractions: Local fMRI activity indexes semantics, not lexical categories. </w:t>
      </w:r>
      <w:r w:rsidRPr="00AB1796">
        <w:rPr>
          <w:i/>
          <w:iCs/>
          <w:noProof/>
          <w:sz w:val="20"/>
          <w:szCs w:val="24"/>
        </w:rPr>
        <w:t>Brain Lang.</w:t>
      </w:r>
      <w:r w:rsidRPr="00AB1796">
        <w:rPr>
          <w:noProof/>
          <w:sz w:val="20"/>
          <w:szCs w:val="24"/>
        </w:rPr>
        <w:t xml:space="preserve"> (2014). doi:10.1016/j.bandl.2014.03.001</w:t>
      </w:r>
    </w:p>
    <w:p w14:paraId="13D454C7" w14:textId="77777777" w:rsidR="00AB1796" w:rsidRPr="00AB1796" w:rsidRDefault="00AB1796" w:rsidP="00AB1796">
      <w:pPr>
        <w:adjustRightInd w:val="0"/>
        <w:spacing w:before="100"/>
        <w:ind w:left="640" w:hanging="640"/>
        <w:rPr>
          <w:noProof/>
          <w:sz w:val="20"/>
          <w:szCs w:val="24"/>
        </w:rPr>
      </w:pPr>
      <w:r w:rsidRPr="00AB1796">
        <w:rPr>
          <w:noProof/>
          <w:sz w:val="20"/>
          <w:szCs w:val="24"/>
        </w:rPr>
        <w:t>15.</w:t>
      </w:r>
      <w:r w:rsidRPr="00AB1796">
        <w:rPr>
          <w:noProof/>
          <w:sz w:val="20"/>
          <w:szCs w:val="24"/>
        </w:rPr>
        <w:tab/>
        <w:t xml:space="preserve">Dreyer, F. R. &amp; Pulvermüller, F. Abstract semantics in the motor system? – An event-related fMRI study on passive reading of semantic word categories carrying abstract emotional and mental meaning. </w:t>
      </w:r>
      <w:r w:rsidRPr="00AB1796">
        <w:rPr>
          <w:i/>
          <w:iCs/>
          <w:noProof/>
          <w:sz w:val="20"/>
          <w:szCs w:val="24"/>
        </w:rPr>
        <w:t>Cortex</w:t>
      </w:r>
      <w:r w:rsidRPr="00AB1796">
        <w:rPr>
          <w:noProof/>
          <w:sz w:val="20"/>
          <w:szCs w:val="24"/>
        </w:rPr>
        <w:t xml:space="preserve"> (2018). doi:10.1016/j.cortex.2017.10.021</w:t>
      </w:r>
    </w:p>
    <w:p w14:paraId="53C504D3" w14:textId="77777777" w:rsidR="00AB1796" w:rsidRPr="00AB1796" w:rsidRDefault="00AB1796" w:rsidP="00AB1796">
      <w:pPr>
        <w:adjustRightInd w:val="0"/>
        <w:spacing w:before="100"/>
        <w:ind w:left="640" w:hanging="640"/>
        <w:rPr>
          <w:noProof/>
          <w:sz w:val="20"/>
          <w:szCs w:val="24"/>
        </w:rPr>
      </w:pPr>
      <w:r w:rsidRPr="00AB1796">
        <w:rPr>
          <w:noProof/>
          <w:sz w:val="20"/>
          <w:szCs w:val="24"/>
        </w:rPr>
        <w:t>16.</w:t>
      </w:r>
      <w:r w:rsidRPr="00AB1796">
        <w:rPr>
          <w:noProof/>
          <w:sz w:val="20"/>
          <w:szCs w:val="24"/>
        </w:rPr>
        <w:tab/>
        <w:t xml:space="preserve">Binder, J. R., Westbury, C. F., McKiernan, K. A., Possing, E. T. &amp; Medler, D. A. Distinct brain systems for processing concrete and abstract concepts. </w:t>
      </w:r>
      <w:r w:rsidRPr="00AB1796">
        <w:rPr>
          <w:i/>
          <w:iCs/>
          <w:noProof/>
          <w:sz w:val="20"/>
          <w:szCs w:val="24"/>
        </w:rPr>
        <w:t>J. Cogn. Neurosci.</w:t>
      </w:r>
      <w:r w:rsidRPr="00AB1796">
        <w:rPr>
          <w:noProof/>
          <w:sz w:val="20"/>
          <w:szCs w:val="24"/>
        </w:rPr>
        <w:t xml:space="preserve"> (2005). doi:10.1162/0898929054021102</w:t>
      </w:r>
    </w:p>
    <w:p w14:paraId="4856E4C6" w14:textId="77777777" w:rsidR="00AB1796" w:rsidRPr="00AB1796" w:rsidRDefault="00AB1796" w:rsidP="00AB1796">
      <w:pPr>
        <w:adjustRightInd w:val="0"/>
        <w:spacing w:before="100"/>
        <w:ind w:left="640" w:hanging="640"/>
        <w:rPr>
          <w:noProof/>
          <w:sz w:val="20"/>
          <w:szCs w:val="24"/>
        </w:rPr>
      </w:pPr>
      <w:r w:rsidRPr="00AB1796">
        <w:rPr>
          <w:noProof/>
          <w:sz w:val="20"/>
          <w:szCs w:val="24"/>
        </w:rPr>
        <w:t>17.</w:t>
      </w:r>
      <w:r w:rsidRPr="00AB1796">
        <w:rPr>
          <w:noProof/>
          <w:sz w:val="20"/>
          <w:szCs w:val="24"/>
        </w:rPr>
        <w:tab/>
        <w:t xml:space="preserve">Anzellotti, S., Caramazza, A. &amp; Saxe, R. Multivariate pattern dependence. </w:t>
      </w:r>
      <w:r w:rsidRPr="00AB1796">
        <w:rPr>
          <w:i/>
          <w:iCs/>
          <w:noProof/>
          <w:sz w:val="20"/>
          <w:szCs w:val="24"/>
        </w:rPr>
        <w:t>PLoS Comput. Biol.</w:t>
      </w:r>
      <w:r w:rsidRPr="00AB1796">
        <w:rPr>
          <w:noProof/>
          <w:sz w:val="20"/>
          <w:szCs w:val="24"/>
        </w:rPr>
        <w:t xml:space="preserve"> (2017). doi:10.1371/journal.pcbi.1005799</w:t>
      </w:r>
    </w:p>
    <w:p w14:paraId="48935CC4" w14:textId="77777777" w:rsidR="00AB1796" w:rsidRPr="00AB1796" w:rsidRDefault="00AB1796" w:rsidP="00AB1796">
      <w:pPr>
        <w:adjustRightInd w:val="0"/>
        <w:spacing w:before="100"/>
        <w:ind w:left="640" w:hanging="640"/>
        <w:rPr>
          <w:noProof/>
          <w:sz w:val="20"/>
          <w:szCs w:val="24"/>
        </w:rPr>
      </w:pPr>
      <w:r w:rsidRPr="00AB1796">
        <w:rPr>
          <w:noProof/>
          <w:sz w:val="20"/>
          <w:szCs w:val="24"/>
        </w:rPr>
        <w:t>18.</w:t>
      </w:r>
      <w:r w:rsidRPr="00AB1796">
        <w:rPr>
          <w:noProof/>
          <w:sz w:val="20"/>
          <w:szCs w:val="24"/>
        </w:rPr>
        <w:tab/>
        <w:t xml:space="preserve">Manenti, R., Brambilla, M., Petesi, M., Ferrari, C. &amp; Cotelli, M. Enhancing verbal episodic memory in older and young subjects after non-invasive brain stimulation. </w:t>
      </w:r>
      <w:r w:rsidRPr="00AB1796">
        <w:rPr>
          <w:i/>
          <w:iCs/>
          <w:noProof/>
          <w:sz w:val="20"/>
          <w:szCs w:val="24"/>
        </w:rPr>
        <w:t>Front. Aging Neurosci.</w:t>
      </w:r>
      <w:r w:rsidRPr="00AB1796">
        <w:rPr>
          <w:noProof/>
          <w:sz w:val="20"/>
          <w:szCs w:val="24"/>
        </w:rPr>
        <w:t xml:space="preserve"> (2013). doi:10.3389/fnagi.2013.00049</w:t>
      </w:r>
    </w:p>
    <w:p w14:paraId="585AA710" w14:textId="77777777" w:rsidR="00AB1796" w:rsidRPr="00AB1796" w:rsidRDefault="00AB1796" w:rsidP="00AB1796">
      <w:pPr>
        <w:adjustRightInd w:val="0"/>
        <w:spacing w:before="100"/>
        <w:ind w:left="640" w:hanging="640"/>
        <w:rPr>
          <w:noProof/>
          <w:sz w:val="20"/>
          <w:szCs w:val="24"/>
        </w:rPr>
      </w:pPr>
      <w:r w:rsidRPr="00AB1796">
        <w:rPr>
          <w:noProof/>
          <w:sz w:val="20"/>
          <w:szCs w:val="24"/>
        </w:rPr>
        <w:t>19.</w:t>
      </w:r>
      <w:r w:rsidRPr="00AB1796">
        <w:rPr>
          <w:noProof/>
          <w:sz w:val="20"/>
          <w:szCs w:val="24"/>
        </w:rPr>
        <w:tab/>
        <w:t xml:space="preserve">Vukovic, N., Feurra, M., Shpektor, A., Myachykov, A. &amp; Shtyrov, Y. Primary motor cortex functionally contributes to language comprehension: An online rTMS study. </w:t>
      </w:r>
      <w:r w:rsidRPr="00AB1796">
        <w:rPr>
          <w:i/>
          <w:iCs/>
          <w:noProof/>
          <w:sz w:val="20"/>
          <w:szCs w:val="24"/>
        </w:rPr>
        <w:t>Neuropsychologia</w:t>
      </w:r>
      <w:r w:rsidRPr="00AB1796">
        <w:rPr>
          <w:noProof/>
          <w:sz w:val="20"/>
          <w:szCs w:val="24"/>
        </w:rPr>
        <w:t xml:space="preserve"> (2017). doi:10.1016/j.neuropsychologia.2017.01.025</w:t>
      </w:r>
    </w:p>
    <w:p w14:paraId="28C8052E" w14:textId="77777777" w:rsidR="00AB1796" w:rsidRPr="00AB1796" w:rsidRDefault="00AB1796" w:rsidP="00AB1796">
      <w:pPr>
        <w:adjustRightInd w:val="0"/>
        <w:spacing w:before="100"/>
        <w:ind w:left="640" w:hanging="640"/>
        <w:rPr>
          <w:noProof/>
          <w:sz w:val="20"/>
          <w:szCs w:val="24"/>
        </w:rPr>
      </w:pPr>
      <w:r w:rsidRPr="00AB1796">
        <w:rPr>
          <w:noProof/>
          <w:sz w:val="20"/>
          <w:szCs w:val="24"/>
        </w:rPr>
        <w:t>20.</w:t>
      </w:r>
      <w:r w:rsidRPr="00AB1796">
        <w:rPr>
          <w:noProof/>
          <w:sz w:val="20"/>
          <w:szCs w:val="24"/>
        </w:rPr>
        <w:tab/>
        <w:t xml:space="preserve">Scorolli, C. </w:t>
      </w:r>
      <w:r w:rsidRPr="00AB1796">
        <w:rPr>
          <w:i/>
          <w:iCs/>
          <w:noProof/>
          <w:sz w:val="20"/>
          <w:szCs w:val="24"/>
        </w:rPr>
        <w:t>et al.</w:t>
      </w:r>
      <w:r w:rsidRPr="00AB1796">
        <w:rPr>
          <w:noProof/>
          <w:sz w:val="20"/>
          <w:szCs w:val="24"/>
        </w:rPr>
        <w:t xml:space="preserve"> Abstract and concrete phrases processing differentially modulates cortico-spinal excitability. </w:t>
      </w:r>
      <w:r w:rsidRPr="00AB1796">
        <w:rPr>
          <w:i/>
          <w:iCs/>
          <w:noProof/>
          <w:sz w:val="20"/>
          <w:szCs w:val="24"/>
        </w:rPr>
        <w:t>Brain Res.</w:t>
      </w:r>
      <w:r w:rsidRPr="00AB1796">
        <w:rPr>
          <w:noProof/>
          <w:sz w:val="20"/>
          <w:szCs w:val="24"/>
        </w:rPr>
        <w:t xml:space="preserve"> (2012). doi:10.1016/j.brainres.2012.10.004</w:t>
      </w:r>
    </w:p>
    <w:p w14:paraId="1C7B6C90" w14:textId="6877A197" w:rsidR="00AB1796" w:rsidRPr="00AB1796" w:rsidRDefault="00AB1796" w:rsidP="00AB1796">
      <w:pPr>
        <w:adjustRightInd w:val="0"/>
        <w:spacing w:before="100"/>
        <w:ind w:left="640" w:hanging="640"/>
        <w:rPr>
          <w:noProof/>
          <w:sz w:val="20"/>
          <w:szCs w:val="24"/>
        </w:rPr>
      </w:pPr>
      <w:r w:rsidRPr="00AB1796">
        <w:rPr>
          <w:noProof/>
          <w:sz w:val="20"/>
          <w:szCs w:val="24"/>
        </w:rPr>
        <w:t>21.</w:t>
      </w:r>
      <w:r w:rsidRPr="00AB1796">
        <w:rPr>
          <w:noProof/>
          <w:sz w:val="20"/>
          <w:szCs w:val="24"/>
        </w:rPr>
        <w:tab/>
        <w:t xml:space="preserve">Hoffman, P., Jefferies, E. &amp; Lambon Ralph, M. A. Ventrolateral prefrontal cortex plays an executive regulation role in comprehension of abstract words: Convergent neuropsychological and repetitive TMS evidence. </w:t>
      </w:r>
      <w:r w:rsidRPr="00AB1796">
        <w:rPr>
          <w:i/>
          <w:iCs/>
          <w:noProof/>
          <w:sz w:val="20"/>
          <w:szCs w:val="24"/>
        </w:rPr>
        <w:t>J. Neurosci.</w:t>
      </w:r>
      <w:r w:rsidRPr="00AB1796">
        <w:rPr>
          <w:noProof/>
          <w:sz w:val="20"/>
          <w:szCs w:val="24"/>
        </w:rPr>
        <w:t xml:space="preserve"> (2010). doi:10.1523</w:t>
      </w:r>
      <w:r w:rsidR="000E7FCE" w:rsidRPr="00AB1796">
        <w:rPr>
          <w:noProof/>
          <w:sz w:val="20"/>
          <w:szCs w:val="24"/>
        </w:rPr>
        <w:t>/jneurosci</w:t>
      </w:r>
      <w:r w:rsidRPr="00AB1796">
        <w:rPr>
          <w:noProof/>
          <w:sz w:val="20"/>
          <w:szCs w:val="24"/>
        </w:rPr>
        <w:t>.3783-10.2010</w:t>
      </w:r>
    </w:p>
    <w:p w14:paraId="4600824A" w14:textId="77777777" w:rsidR="00AB1796" w:rsidRPr="00AB1796" w:rsidRDefault="00AB1796" w:rsidP="00AB1796">
      <w:pPr>
        <w:adjustRightInd w:val="0"/>
        <w:spacing w:before="100"/>
        <w:ind w:left="640" w:hanging="640"/>
        <w:rPr>
          <w:noProof/>
          <w:sz w:val="20"/>
          <w:szCs w:val="24"/>
        </w:rPr>
      </w:pPr>
      <w:r w:rsidRPr="00AB1796">
        <w:rPr>
          <w:noProof/>
          <w:sz w:val="20"/>
          <w:szCs w:val="24"/>
        </w:rPr>
        <w:t>22.</w:t>
      </w:r>
      <w:r w:rsidRPr="00AB1796">
        <w:rPr>
          <w:noProof/>
          <w:sz w:val="20"/>
          <w:szCs w:val="24"/>
        </w:rPr>
        <w:tab/>
        <w:t xml:space="preserve">Orena, E. F., Caldiroli, D., Acerbi, F., Barazzetta, I. &amp; Papagno, C. Investigating the functional neuroanatomy of concrete and abstract word processing through direct electric stimulation (DES) during awake surgery. </w:t>
      </w:r>
      <w:r w:rsidRPr="00AB1796">
        <w:rPr>
          <w:i/>
          <w:iCs/>
          <w:noProof/>
          <w:sz w:val="20"/>
          <w:szCs w:val="24"/>
        </w:rPr>
        <w:t>Cogn. Neuropsychol.</w:t>
      </w:r>
      <w:r w:rsidRPr="00AB1796">
        <w:rPr>
          <w:noProof/>
          <w:sz w:val="20"/>
          <w:szCs w:val="24"/>
        </w:rPr>
        <w:t xml:space="preserve"> (2019). doi:10.1080/02643294.2018.1477748</w:t>
      </w:r>
    </w:p>
    <w:p w14:paraId="1C9330A5" w14:textId="77777777" w:rsidR="00AB1796" w:rsidRPr="00AB1796" w:rsidRDefault="00AB1796" w:rsidP="00AB1796">
      <w:pPr>
        <w:adjustRightInd w:val="0"/>
        <w:spacing w:before="100"/>
        <w:ind w:left="640" w:hanging="640"/>
        <w:rPr>
          <w:noProof/>
          <w:sz w:val="20"/>
          <w:szCs w:val="24"/>
        </w:rPr>
      </w:pPr>
      <w:r w:rsidRPr="00AB1796">
        <w:rPr>
          <w:noProof/>
          <w:sz w:val="20"/>
          <w:szCs w:val="24"/>
        </w:rPr>
        <w:t>23.</w:t>
      </w:r>
      <w:r w:rsidRPr="00AB1796">
        <w:rPr>
          <w:noProof/>
          <w:sz w:val="20"/>
          <w:szCs w:val="24"/>
        </w:rPr>
        <w:tab/>
        <w:t xml:space="preserve">Reilly, J. &amp; Kean, J. Formal distinctiveness of high- and low-imageability nouns: Analyses and theoretical implications. </w:t>
      </w:r>
      <w:r w:rsidRPr="00AB1796">
        <w:rPr>
          <w:i/>
          <w:iCs/>
          <w:noProof/>
          <w:sz w:val="20"/>
          <w:szCs w:val="24"/>
        </w:rPr>
        <w:t>Cogn. Sci.</w:t>
      </w:r>
      <w:r w:rsidRPr="00AB1796">
        <w:rPr>
          <w:noProof/>
          <w:sz w:val="20"/>
          <w:szCs w:val="24"/>
        </w:rPr>
        <w:t xml:space="preserve"> (2007). doi:10.1080/03640210709336988</w:t>
      </w:r>
    </w:p>
    <w:p w14:paraId="55BDE2A9" w14:textId="77777777" w:rsidR="00AB1796" w:rsidRPr="00AB1796" w:rsidRDefault="00AB1796" w:rsidP="00AB1796">
      <w:pPr>
        <w:adjustRightInd w:val="0"/>
        <w:spacing w:before="100"/>
        <w:ind w:left="640" w:hanging="640"/>
        <w:rPr>
          <w:noProof/>
          <w:sz w:val="20"/>
          <w:szCs w:val="24"/>
        </w:rPr>
      </w:pPr>
      <w:r w:rsidRPr="00AB1796">
        <w:rPr>
          <w:noProof/>
          <w:sz w:val="20"/>
          <w:szCs w:val="24"/>
        </w:rPr>
        <w:t>24.</w:t>
      </w:r>
      <w:r w:rsidRPr="00AB1796">
        <w:rPr>
          <w:noProof/>
          <w:sz w:val="20"/>
          <w:szCs w:val="24"/>
        </w:rPr>
        <w:tab/>
        <w:t xml:space="preserve">Vigliocco, G., Ponari, M. &amp; Norbury, C. Learning and Processing Abstract Words and Concepts: Insights From Typical and Atypical Development. </w:t>
      </w:r>
      <w:r w:rsidRPr="00AB1796">
        <w:rPr>
          <w:i/>
          <w:iCs/>
          <w:noProof/>
          <w:sz w:val="20"/>
          <w:szCs w:val="24"/>
        </w:rPr>
        <w:t>Top. Cogn. Sci.</w:t>
      </w:r>
      <w:r w:rsidRPr="00AB1796">
        <w:rPr>
          <w:noProof/>
          <w:sz w:val="20"/>
          <w:szCs w:val="24"/>
        </w:rPr>
        <w:t xml:space="preserve"> (2018). doi:10.1111/tops.12347</w:t>
      </w:r>
    </w:p>
    <w:p w14:paraId="70AD5A7D" w14:textId="77777777" w:rsidR="00AB1796" w:rsidRPr="00AB1796" w:rsidRDefault="00AB1796" w:rsidP="00AB1796">
      <w:pPr>
        <w:adjustRightInd w:val="0"/>
        <w:spacing w:before="100"/>
        <w:ind w:left="640" w:hanging="640"/>
        <w:rPr>
          <w:noProof/>
          <w:sz w:val="20"/>
          <w:szCs w:val="24"/>
        </w:rPr>
      </w:pPr>
      <w:r w:rsidRPr="00AB1796">
        <w:rPr>
          <w:noProof/>
          <w:sz w:val="20"/>
          <w:szCs w:val="24"/>
        </w:rPr>
        <w:lastRenderedPageBreak/>
        <w:t>25.</w:t>
      </w:r>
      <w:r w:rsidRPr="00AB1796">
        <w:rPr>
          <w:noProof/>
          <w:sz w:val="20"/>
          <w:szCs w:val="24"/>
        </w:rPr>
        <w:tab/>
        <w:t xml:space="preserve">Glanzer, M. &amp; Bowles, N. Analysis of the word-frequency effect in recognition memory. </w:t>
      </w:r>
      <w:r w:rsidRPr="00AB1796">
        <w:rPr>
          <w:i/>
          <w:iCs/>
          <w:noProof/>
          <w:sz w:val="20"/>
          <w:szCs w:val="24"/>
        </w:rPr>
        <w:t>J. Exp. Psychol. Hum. Learn. Mem.</w:t>
      </w:r>
      <w:r w:rsidRPr="00AB1796">
        <w:rPr>
          <w:noProof/>
          <w:sz w:val="20"/>
          <w:szCs w:val="24"/>
        </w:rPr>
        <w:t xml:space="preserve"> (1976). doi:10.1037/0278-7393.2.1.21</w:t>
      </w:r>
    </w:p>
    <w:p w14:paraId="4575593B" w14:textId="77777777" w:rsidR="00AB1796" w:rsidRPr="00AB1796" w:rsidRDefault="00AB1796" w:rsidP="00AB1796">
      <w:pPr>
        <w:adjustRightInd w:val="0"/>
        <w:spacing w:before="100"/>
        <w:ind w:left="640" w:hanging="640"/>
        <w:rPr>
          <w:noProof/>
          <w:sz w:val="20"/>
          <w:szCs w:val="24"/>
        </w:rPr>
      </w:pPr>
      <w:r w:rsidRPr="00AB1796">
        <w:rPr>
          <w:noProof/>
          <w:sz w:val="20"/>
          <w:szCs w:val="24"/>
        </w:rPr>
        <w:t>26.</w:t>
      </w:r>
      <w:r w:rsidRPr="00AB1796">
        <w:rPr>
          <w:noProof/>
          <w:sz w:val="20"/>
          <w:szCs w:val="24"/>
        </w:rPr>
        <w:tab/>
        <w:t xml:space="preserve">Paivio, A., Yuille, J. C. &amp; Madigan, S. A. Concreteness, Imagery, and Meaningfulness Values for 925 Nouns. </w:t>
      </w:r>
      <w:r w:rsidRPr="00AB1796">
        <w:rPr>
          <w:i/>
          <w:iCs/>
          <w:noProof/>
          <w:sz w:val="20"/>
          <w:szCs w:val="24"/>
        </w:rPr>
        <w:t>J. Exp. Psychol.</w:t>
      </w:r>
      <w:r w:rsidRPr="00AB1796">
        <w:rPr>
          <w:noProof/>
          <w:sz w:val="20"/>
          <w:szCs w:val="24"/>
        </w:rPr>
        <w:t xml:space="preserve"> </w:t>
      </w:r>
      <w:r w:rsidRPr="00AB1796">
        <w:rPr>
          <w:b/>
          <w:bCs/>
          <w:noProof/>
          <w:sz w:val="20"/>
          <w:szCs w:val="24"/>
        </w:rPr>
        <w:t>76</w:t>
      </w:r>
      <w:r w:rsidRPr="00AB1796">
        <w:rPr>
          <w:noProof/>
          <w:sz w:val="20"/>
          <w:szCs w:val="24"/>
        </w:rPr>
        <w:t>, 1–25 (1968).</w:t>
      </w:r>
    </w:p>
    <w:p w14:paraId="41ED14F5" w14:textId="77777777" w:rsidR="00AB1796" w:rsidRPr="00AB1796" w:rsidRDefault="00AB1796" w:rsidP="00AB1796">
      <w:pPr>
        <w:adjustRightInd w:val="0"/>
        <w:spacing w:before="100"/>
        <w:ind w:left="640" w:hanging="640"/>
        <w:rPr>
          <w:noProof/>
          <w:sz w:val="20"/>
          <w:szCs w:val="24"/>
        </w:rPr>
      </w:pPr>
      <w:r w:rsidRPr="00AB1796">
        <w:rPr>
          <w:noProof/>
          <w:sz w:val="20"/>
          <w:szCs w:val="24"/>
        </w:rPr>
        <w:t>27.</w:t>
      </w:r>
      <w:r w:rsidRPr="00AB1796">
        <w:rPr>
          <w:noProof/>
          <w:sz w:val="20"/>
          <w:szCs w:val="24"/>
        </w:rPr>
        <w:tab/>
        <w:t xml:space="preserve">Brysbaert, M., Mandera, P., McCormick, S. F. &amp; Keuleers, E. Word prevalence norms for 62,000 English lemmas. </w:t>
      </w:r>
      <w:r w:rsidRPr="00AB1796">
        <w:rPr>
          <w:i/>
          <w:iCs/>
          <w:noProof/>
          <w:sz w:val="20"/>
          <w:szCs w:val="24"/>
        </w:rPr>
        <w:t>Behav. Res. Methods</w:t>
      </w:r>
      <w:r w:rsidRPr="00AB1796">
        <w:rPr>
          <w:noProof/>
          <w:sz w:val="20"/>
          <w:szCs w:val="24"/>
        </w:rPr>
        <w:t xml:space="preserve"> (2019). doi:10.3758/s13428-018-1077-9</w:t>
      </w:r>
    </w:p>
    <w:p w14:paraId="3F49E3C1" w14:textId="77777777" w:rsidR="00AB1796" w:rsidRPr="00AB1796" w:rsidRDefault="00AB1796" w:rsidP="00AB1796">
      <w:pPr>
        <w:adjustRightInd w:val="0"/>
        <w:spacing w:before="100"/>
        <w:ind w:left="640" w:hanging="640"/>
        <w:rPr>
          <w:noProof/>
          <w:sz w:val="20"/>
          <w:szCs w:val="24"/>
        </w:rPr>
      </w:pPr>
      <w:r w:rsidRPr="00AB1796">
        <w:rPr>
          <w:noProof/>
          <w:sz w:val="20"/>
          <w:szCs w:val="24"/>
        </w:rPr>
        <w:t>28.</w:t>
      </w:r>
      <w:r w:rsidRPr="00AB1796">
        <w:rPr>
          <w:noProof/>
          <w:sz w:val="20"/>
          <w:szCs w:val="24"/>
        </w:rPr>
        <w:tab/>
        <w:t xml:space="preserve">Flöel, A., Rösser, N., Michka, O., Knecht, S. &amp; Breitenstein, C. Noninvasive brain stimulation improves language learning. </w:t>
      </w:r>
      <w:r w:rsidRPr="00AB1796">
        <w:rPr>
          <w:i/>
          <w:iCs/>
          <w:noProof/>
          <w:sz w:val="20"/>
          <w:szCs w:val="24"/>
        </w:rPr>
        <w:t>J. Cogn. Neurosci.</w:t>
      </w:r>
      <w:r w:rsidRPr="00AB1796">
        <w:rPr>
          <w:noProof/>
          <w:sz w:val="20"/>
          <w:szCs w:val="24"/>
        </w:rPr>
        <w:t xml:space="preserve"> (2008). doi:10.1162/jocn.2008.20098</w:t>
      </w:r>
    </w:p>
    <w:p w14:paraId="10B33A68" w14:textId="77777777" w:rsidR="00AB1796" w:rsidRPr="00AB1796" w:rsidRDefault="00AB1796" w:rsidP="00AB1796">
      <w:pPr>
        <w:adjustRightInd w:val="0"/>
        <w:spacing w:before="100"/>
        <w:ind w:left="640" w:hanging="640"/>
        <w:rPr>
          <w:noProof/>
          <w:sz w:val="20"/>
          <w:szCs w:val="24"/>
        </w:rPr>
      </w:pPr>
      <w:r w:rsidRPr="00AB1796">
        <w:rPr>
          <w:noProof/>
          <w:sz w:val="20"/>
          <w:szCs w:val="24"/>
        </w:rPr>
        <w:t>29.</w:t>
      </w:r>
      <w:r w:rsidRPr="00AB1796">
        <w:rPr>
          <w:noProof/>
          <w:sz w:val="20"/>
          <w:szCs w:val="24"/>
        </w:rPr>
        <w:tab/>
        <w:t xml:space="preserve">Branscheidt, M., Hoppe, J., Freundlieb, N., Zwitserlood, P. &amp; Liuzzi, G. tDCS over the motor cortex shows differential effects on action and object words in associative word learning in healthy aging. </w:t>
      </w:r>
      <w:r w:rsidRPr="00AB1796">
        <w:rPr>
          <w:i/>
          <w:iCs/>
          <w:noProof/>
          <w:sz w:val="20"/>
          <w:szCs w:val="24"/>
        </w:rPr>
        <w:t>Front. Aging Neurosci.</w:t>
      </w:r>
      <w:r w:rsidRPr="00AB1796">
        <w:rPr>
          <w:noProof/>
          <w:sz w:val="20"/>
          <w:szCs w:val="24"/>
        </w:rPr>
        <w:t xml:space="preserve"> (2017). doi:10.3389/fnagi.2017.00137</w:t>
      </w:r>
    </w:p>
    <w:p w14:paraId="46D472B6" w14:textId="77777777" w:rsidR="00AB1796" w:rsidRPr="00AB1796" w:rsidRDefault="00AB1796" w:rsidP="00AB1796">
      <w:pPr>
        <w:adjustRightInd w:val="0"/>
        <w:spacing w:before="100"/>
        <w:ind w:left="640" w:hanging="640"/>
        <w:rPr>
          <w:noProof/>
          <w:sz w:val="20"/>
          <w:szCs w:val="24"/>
        </w:rPr>
      </w:pPr>
      <w:r w:rsidRPr="00AB1796">
        <w:rPr>
          <w:noProof/>
          <w:sz w:val="20"/>
          <w:szCs w:val="24"/>
        </w:rPr>
        <w:t>30.</w:t>
      </w:r>
      <w:r w:rsidRPr="00AB1796">
        <w:rPr>
          <w:noProof/>
          <w:sz w:val="20"/>
          <w:szCs w:val="24"/>
        </w:rPr>
        <w:tab/>
        <w:t xml:space="preserve">Hartwigsen, G. </w:t>
      </w:r>
      <w:r w:rsidRPr="00AB1796">
        <w:rPr>
          <w:i/>
          <w:iCs/>
          <w:noProof/>
          <w:sz w:val="20"/>
          <w:szCs w:val="24"/>
        </w:rPr>
        <w:t>et al.</w:t>
      </w:r>
      <w:r w:rsidRPr="00AB1796">
        <w:rPr>
          <w:noProof/>
          <w:sz w:val="20"/>
          <w:szCs w:val="24"/>
        </w:rPr>
        <w:t xml:space="preserve"> Modeling the effects of noninvasive transcranial brain stimulation at the biophysical, network, and cognitive Level. in </w:t>
      </w:r>
      <w:r w:rsidRPr="00AB1796">
        <w:rPr>
          <w:i/>
          <w:iCs/>
          <w:noProof/>
          <w:sz w:val="20"/>
          <w:szCs w:val="24"/>
        </w:rPr>
        <w:t>Progress in Brain Research</w:t>
      </w:r>
      <w:r w:rsidRPr="00AB1796">
        <w:rPr>
          <w:noProof/>
          <w:sz w:val="20"/>
          <w:szCs w:val="24"/>
        </w:rPr>
        <w:t xml:space="preserve"> (2015). doi:10.1016/bs.pbr.2015.06.014</w:t>
      </w:r>
    </w:p>
    <w:p w14:paraId="5F417C2B" w14:textId="77777777" w:rsidR="00AB1796" w:rsidRPr="00AB1796" w:rsidRDefault="00AB1796" w:rsidP="00AB1796">
      <w:pPr>
        <w:adjustRightInd w:val="0"/>
        <w:spacing w:before="100"/>
        <w:ind w:left="640" w:hanging="640"/>
        <w:rPr>
          <w:noProof/>
          <w:sz w:val="20"/>
          <w:szCs w:val="24"/>
        </w:rPr>
      </w:pPr>
      <w:r w:rsidRPr="00AB1796">
        <w:rPr>
          <w:noProof/>
          <w:sz w:val="20"/>
          <w:szCs w:val="24"/>
        </w:rPr>
        <w:t>31.</w:t>
      </w:r>
      <w:r w:rsidRPr="00AB1796">
        <w:rPr>
          <w:noProof/>
          <w:sz w:val="20"/>
          <w:szCs w:val="24"/>
        </w:rPr>
        <w:tab/>
        <w:t xml:space="preserve">Flöel, A. </w:t>
      </w:r>
      <w:r w:rsidRPr="00AB1796">
        <w:rPr>
          <w:i/>
          <w:iCs/>
          <w:noProof/>
          <w:sz w:val="20"/>
          <w:szCs w:val="24"/>
        </w:rPr>
        <w:t>et al.</w:t>
      </w:r>
      <w:r w:rsidRPr="00AB1796">
        <w:rPr>
          <w:noProof/>
          <w:sz w:val="20"/>
          <w:szCs w:val="24"/>
        </w:rPr>
        <w:t xml:space="preserve"> Non-invasive brain stimulation improves object-location learning in the elderly. </w:t>
      </w:r>
      <w:r w:rsidRPr="00AB1796">
        <w:rPr>
          <w:i/>
          <w:iCs/>
          <w:noProof/>
          <w:sz w:val="20"/>
          <w:szCs w:val="24"/>
        </w:rPr>
        <w:t>Neurobiol. Aging</w:t>
      </w:r>
      <w:r w:rsidRPr="00AB1796">
        <w:rPr>
          <w:noProof/>
          <w:sz w:val="20"/>
          <w:szCs w:val="24"/>
        </w:rPr>
        <w:t xml:space="preserve"> (2012). doi:10.1016/j.neurobiolaging.2011.05.007</w:t>
      </w:r>
    </w:p>
    <w:p w14:paraId="6E456578" w14:textId="77777777" w:rsidR="00AB1796" w:rsidRPr="00AB1796" w:rsidRDefault="00AB1796" w:rsidP="00AB1796">
      <w:pPr>
        <w:adjustRightInd w:val="0"/>
        <w:spacing w:before="100"/>
        <w:ind w:left="640" w:hanging="640"/>
        <w:rPr>
          <w:noProof/>
          <w:sz w:val="20"/>
          <w:szCs w:val="24"/>
        </w:rPr>
      </w:pPr>
      <w:r w:rsidRPr="00AB1796">
        <w:rPr>
          <w:noProof/>
          <w:sz w:val="20"/>
          <w:szCs w:val="24"/>
        </w:rPr>
        <w:t>32.</w:t>
      </w:r>
      <w:r w:rsidRPr="00AB1796">
        <w:rPr>
          <w:noProof/>
          <w:sz w:val="20"/>
          <w:szCs w:val="24"/>
        </w:rPr>
        <w:tab/>
        <w:t xml:space="preserve">Zimerman, M. </w:t>
      </w:r>
      <w:r w:rsidRPr="00AB1796">
        <w:rPr>
          <w:i/>
          <w:iCs/>
          <w:noProof/>
          <w:sz w:val="20"/>
          <w:szCs w:val="24"/>
        </w:rPr>
        <w:t>et al.</w:t>
      </w:r>
      <w:r w:rsidRPr="00AB1796">
        <w:rPr>
          <w:noProof/>
          <w:sz w:val="20"/>
          <w:szCs w:val="24"/>
        </w:rPr>
        <w:t xml:space="preserve"> Neuroenhancement of the aging brain: Restoring skill acquisition in old subjects. </w:t>
      </w:r>
      <w:r w:rsidRPr="00AB1796">
        <w:rPr>
          <w:i/>
          <w:iCs/>
          <w:noProof/>
          <w:sz w:val="20"/>
          <w:szCs w:val="24"/>
        </w:rPr>
        <w:t>Ann. Neurol.</w:t>
      </w:r>
      <w:r w:rsidRPr="00AB1796">
        <w:rPr>
          <w:noProof/>
          <w:sz w:val="20"/>
          <w:szCs w:val="24"/>
        </w:rPr>
        <w:t xml:space="preserve"> (2013). doi:10.1002/ana.23761</w:t>
      </w:r>
    </w:p>
    <w:p w14:paraId="7752A35A" w14:textId="77777777" w:rsidR="00AB1796" w:rsidRPr="00AB1796" w:rsidRDefault="00AB1796" w:rsidP="00AB1796">
      <w:pPr>
        <w:adjustRightInd w:val="0"/>
        <w:spacing w:before="100"/>
        <w:ind w:left="640" w:hanging="640"/>
        <w:rPr>
          <w:noProof/>
          <w:sz w:val="20"/>
          <w:szCs w:val="24"/>
        </w:rPr>
      </w:pPr>
      <w:r w:rsidRPr="00AB1796">
        <w:rPr>
          <w:noProof/>
          <w:sz w:val="20"/>
          <w:szCs w:val="24"/>
        </w:rPr>
        <w:t>33.</w:t>
      </w:r>
      <w:r w:rsidRPr="00AB1796">
        <w:rPr>
          <w:noProof/>
          <w:sz w:val="20"/>
          <w:szCs w:val="24"/>
        </w:rPr>
        <w:tab/>
        <w:t xml:space="preserve">Blagovechtchenski, E. </w:t>
      </w:r>
      <w:r w:rsidRPr="00AB1796">
        <w:rPr>
          <w:i/>
          <w:iCs/>
          <w:noProof/>
          <w:sz w:val="20"/>
          <w:szCs w:val="24"/>
        </w:rPr>
        <w:t>et al.</w:t>
      </w:r>
      <w:r w:rsidRPr="00AB1796">
        <w:rPr>
          <w:noProof/>
          <w:sz w:val="20"/>
          <w:szCs w:val="24"/>
        </w:rPr>
        <w:t xml:space="preserve"> Transcranial direct current stimulation (Tdcs) of wernicke’s and broca’s areas in studies of language learning and word acquisition. </w:t>
      </w:r>
      <w:r w:rsidRPr="00AB1796">
        <w:rPr>
          <w:i/>
          <w:iCs/>
          <w:noProof/>
          <w:sz w:val="20"/>
          <w:szCs w:val="24"/>
        </w:rPr>
        <w:t>J. Vis. Exp.</w:t>
      </w:r>
      <w:r w:rsidRPr="00AB1796">
        <w:rPr>
          <w:noProof/>
          <w:sz w:val="20"/>
          <w:szCs w:val="24"/>
        </w:rPr>
        <w:t xml:space="preserve"> (2019). doi:10.3791/59159</w:t>
      </w:r>
    </w:p>
    <w:p w14:paraId="3851B027" w14:textId="77777777" w:rsidR="00AB1796" w:rsidRPr="00AB1796" w:rsidRDefault="00AB1796" w:rsidP="00AB1796">
      <w:pPr>
        <w:adjustRightInd w:val="0"/>
        <w:spacing w:before="100"/>
        <w:ind w:left="640" w:hanging="640"/>
        <w:rPr>
          <w:noProof/>
          <w:sz w:val="20"/>
          <w:szCs w:val="24"/>
        </w:rPr>
      </w:pPr>
      <w:r w:rsidRPr="00AB1796">
        <w:rPr>
          <w:noProof/>
          <w:sz w:val="20"/>
          <w:szCs w:val="24"/>
        </w:rPr>
        <w:t>34.</w:t>
      </w:r>
      <w:r w:rsidRPr="00AB1796">
        <w:rPr>
          <w:noProof/>
          <w:sz w:val="20"/>
          <w:szCs w:val="24"/>
        </w:rPr>
        <w:tab/>
        <w:t xml:space="preserve">Fiori, V. </w:t>
      </w:r>
      <w:r w:rsidRPr="00AB1796">
        <w:rPr>
          <w:i/>
          <w:iCs/>
          <w:noProof/>
          <w:sz w:val="20"/>
          <w:szCs w:val="24"/>
        </w:rPr>
        <w:t>et al.</w:t>
      </w:r>
      <w:r w:rsidRPr="00AB1796">
        <w:rPr>
          <w:noProof/>
          <w:sz w:val="20"/>
          <w:szCs w:val="24"/>
        </w:rPr>
        <w:t xml:space="preserve"> Transcranial direct current stimulation improves word retrieval in healthy and nonfluent aphasic subjects. </w:t>
      </w:r>
      <w:r w:rsidRPr="00AB1796">
        <w:rPr>
          <w:i/>
          <w:iCs/>
          <w:noProof/>
          <w:sz w:val="20"/>
          <w:szCs w:val="24"/>
        </w:rPr>
        <w:t>J. Cogn. Neurosci.</w:t>
      </w:r>
      <w:r w:rsidRPr="00AB1796">
        <w:rPr>
          <w:noProof/>
          <w:sz w:val="20"/>
          <w:szCs w:val="24"/>
        </w:rPr>
        <w:t xml:space="preserve"> (2011). doi:10.1162/jocn.2010.21579</w:t>
      </w:r>
    </w:p>
    <w:p w14:paraId="30DF96C5" w14:textId="77777777" w:rsidR="00AB1796" w:rsidRPr="00AB1796" w:rsidRDefault="00AB1796" w:rsidP="00AB1796">
      <w:pPr>
        <w:adjustRightInd w:val="0"/>
        <w:spacing w:before="100"/>
        <w:ind w:left="640" w:hanging="640"/>
        <w:rPr>
          <w:noProof/>
          <w:sz w:val="20"/>
          <w:szCs w:val="24"/>
        </w:rPr>
      </w:pPr>
      <w:r w:rsidRPr="00AB1796">
        <w:rPr>
          <w:noProof/>
          <w:sz w:val="20"/>
          <w:szCs w:val="24"/>
        </w:rPr>
        <w:t>35.</w:t>
      </w:r>
      <w:r w:rsidRPr="00AB1796">
        <w:rPr>
          <w:noProof/>
          <w:sz w:val="20"/>
          <w:szCs w:val="24"/>
        </w:rPr>
        <w:tab/>
        <w:t xml:space="preserve">Pulvermüller, F. How neurons make meaning: Brain mechanisms for embodied and abstract-symbolic semantics. </w:t>
      </w:r>
      <w:r w:rsidRPr="00AB1796">
        <w:rPr>
          <w:i/>
          <w:iCs/>
          <w:noProof/>
          <w:sz w:val="20"/>
          <w:szCs w:val="24"/>
        </w:rPr>
        <w:t>Trends in Cognitive Sciences</w:t>
      </w:r>
      <w:r w:rsidRPr="00AB1796">
        <w:rPr>
          <w:noProof/>
          <w:sz w:val="20"/>
          <w:szCs w:val="24"/>
        </w:rPr>
        <w:t xml:space="preserve"> (2013). doi:10.1016/j.tics.2013.06.004</w:t>
      </w:r>
    </w:p>
    <w:p w14:paraId="0CA7CBCD" w14:textId="77777777" w:rsidR="00AB1796" w:rsidRPr="00AB1796" w:rsidRDefault="00AB1796" w:rsidP="00AB1796">
      <w:pPr>
        <w:adjustRightInd w:val="0"/>
        <w:spacing w:before="100"/>
        <w:ind w:left="640" w:hanging="640"/>
        <w:rPr>
          <w:noProof/>
          <w:sz w:val="20"/>
          <w:szCs w:val="24"/>
        </w:rPr>
      </w:pPr>
      <w:r w:rsidRPr="00AB1796">
        <w:rPr>
          <w:noProof/>
          <w:sz w:val="20"/>
          <w:szCs w:val="24"/>
        </w:rPr>
        <w:t>36.</w:t>
      </w:r>
      <w:r w:rsidRPr="00AB1796">
        <w:rPr>
          <w:noProof/>
          <w:sz w:val="20"/>
          <w:szCs w:val="24"/>
        </w:rPr>
        <w:tab/>
        <w:t xml:space="preserve">Schmidt, S., Fleischmann, R., Bathe-Peters, R., Irlbacher, K. &amp; Brandt, S. A. Evolution of Premotor Cortical Excitability after Cathodal Inhibition of the Primary Motor Cortex: A Sham-Controlled Serial Navigated TMS Study. </w:t>
      </w:r>
      <w:r w:rsidRPr="00AB1796">
        <w:rPr>
          <w:i/>
          <w:iCs/>
          <w:noProof/>
          <w:sz w:val="20"/>
          <w:szCs w:val="24"/>
        </w:rPr>
        <w:t>PLoS One</w:t>
      </w:r>
      <w:r w:rsidRPr="00AB1796">
        <w:rPr>
          <w:noProof/>
          <w:sz w:val="20"/>
          <w:szCs w:val="24"/>
        </w:rPr>
        <w:t xml:space="preserve"> (2013). doi:10.1371/journal.pone.0057425</w:t>
      </w:r>
    </w:p>
    <w:p w14:paraId="1C422ED9" w14:textId="77777777" w:rsidR="00AB1796" w:rsidRPr="00AB1796" w:rsidRDefault="00AB1796" w:rsidP="00AB1796">
      <w:pPr>
        <w:adjustRightInd w:val="0"/>
        <w:spacing w:before="100"/>
        <w:ind w:left="640" w:hanging="640"/>
        <w:rPr>
          <w:noProof/>
          <w:sz w:val="20"/>
          <w:szCs w:val="24"/>
        </w:rPr>
      </w:pPr>
      <w:r w:rsidRPr="00AB1796">
        <w:rPr>
          <w:noProof/>
          <w:sz w:val="20"/>
          <w:szCs w:val="24"/>
        </w:rPr>
        <w:t>37.</w:t>
      </w:r>
      <w:r w:rsidRPr="00AB1796">
        <w:rPr>
          <w:noProof/>
          <w:sz w:val="20"/>
          <w:szCs w:val="24"/>
        </w:rPr>
        <w:tab/>
        <w:t xml:space="preserve">Pellicciari, M. C., Brignani, D. &amp; Miniussi, C. Excitability modulation of the motor system induced by transcranial direct current stimulation: A multimodal approach. </w:t>
      </w:r>
      <w:r w:rsidRPr="00AB1796">
        <w:rPr>
          <w:i/>
          <w:iCs/>
          <w:noProof/>
          <w:sz w:val="20"/>
          <w:szCs w:val="24"/>
        </w:rPr>
        <w:t>Neuroimage</w:t>
      </w:r>
      <w:r w:rsidRPr="00AB1796">
        <w:rPr>
          <w:noProof/>
          <w:sz w:val="20"/>
          <w:szCs w:val="24"/>
        </w:rPr>
        <w:t xml:space="preserve"> (2013). doi:10.1016/j.neuroimage.2013.06.076</w:t>
      </w:r>
    </w:p>
    <w:p w14:paraId="320BF73A" w14:textId="77777777" w:rsidR="00AB1796" w:rsidRPr="00AB1796" w:rsidRDefault="00AB1796" w:rsidP="00AB1796">
      <w:pPr>
        <w:adjustRightInd w:val="0"/>
        <w:spacing w:before="100"/>
        <w:ind w:left="640" w:hanging="640"/>
        <w:rPr>
          <w:noProof/>
          <w:sz w:val="20"/>
          <w:szCs w:val="24"/>
        </w:rPr>
      </w:pPr>
      <w:r w:rsidRPr="00AB1796">
        <w:rPr>
          <w:noProof/>
          <w:sz w:val="20"/>
          <w:szCs w:val="24"/>
        </w:rPr>
        <w:t>38.</w:t>
      </w:r>
      <w:r w:rsidRPr="00AB1796">
        <w:rPr>
          <w:noProof/>
          <w:sz w:val="20"/>
          <w:szCs w:val="24"/>
        </w:rPr>
        <w:tab/>
        <w:t xml:space="preserve">Bastani, A. &amp; Jaberzadeh, S. A-tDCS differential modulation of corticospinal excitability: The effects of electrode size. </w:t>
      </w:r>
      <w:r w:rsidRPr="00AB1796">
        <w:rPr>
          <w:i/>
          <w:iCs/>
          <w:noProof/>
          <w:sz w:val="20"/>
          <w:szCs w:val="24"/>
        </w:rPr>
        <w:t>Brain Stimul.</w:t>
      </w:r>
      <w:r w:rsidRPr="00AB1796">
        <w:rPr>
          <w:noProof/>
          <w:sz w:val="20"/>
          <w:szCs w:val="24"/>
        </w:rPr>
        <w:t xml:space="preserve"> </w:t>
      </w:r>
      <w:r w:rsidRPr="00AB1796">
        <w:rPr>
          <w:b/>
          <w:bCs/>
          <w:noProof/>
          <w:sz w:val="20"/>
          <w:szCs w:val="24"/>
        </w:rPr>
        <w:t>6</w:t>
      </w:r>
      <w:r w:rsidRPr="00AB1796">
        <w:rPr>
          <w:noProof/>
          <w:sz w:val="20"/>
          <w:szCs w:val="24"/>
        </w:rPr>
        <w:t>, 932–937 (2013).</w:t>
      </w:r>
    </w:p>
    <w:p w14:paraId="10182EFC" w14:textId="77777777" w:rsidR="00AB1796" w:rsidRPr="00AB1796" w:rsidRDefault="00AB1796" w:rsidP="00AB1796">
      <w:pPr>
        <w:adjustRightInd w:val="0"/>
        <w:spacing w:before="100"/>
        <w:ind w:left="640" w:hanging="640"/>
        <w:rPr>
          <w:noProof/>
          <w:sz w:val="20"/>
          <w:szCs w:val="24"/>
        </w:rPr>
      </w:pPr>
      <w:r w:rsidRPr="00AB1796">
        <w:rPr>
          <w:noProof/>
          <w:sz w:val="20"/>
          <w:szCs w:val="24"/>
        </w:rPr>
        <w:t>39.</w:t>
      </w:r>
      <w:r w:rsidRPr="00AB1796">
        <w:rPr>
          <w:noProof/>
          <w:sz w:val="20"/>
          <w:szCs w:val="24"/>
        </w:rPr>
        <w:tab/>
        <w:t xml:space="preserve">Iyer, M. B. </w:t>
      </w:r>
      <w:r w:rsidRPr="00AB1796">
        <w:rPr>
          <w:i/>
          <w:iCs/>
          <w:noProof/>
          <w:sz w:val="20"/>
          <w:szCs w:val="24"/>
        </w:rPr>
        <w:t>et al.</w:t>
      </w:r>
      <w:r w:rsidRPr="00AB1796">
        <w:rPr>
          <w:noProof/>
          <w:sz w:val="20"/>
          <w:szCs w:val="24"/>
        </w:rPr>
        <w:t xml:space="preserve"> Safety and cognitive effect of frontal DC brain polarization in healthy individuals. </w:t>
      </w:r>
      <w:r w:rsidRPr="00AB1796">
        <w:rPr>
          <w:i/>
          <w:iCs/>
          <w:noProof/>
          <w:sz w:val="20"/>
          <w:szCs w:val="24"/>
        </w:rPr>
        <w:t>Neurology</w:t>
      </w:r>
      <w:r w:rsidRPr="00AB1796">
        <w:rPr>
          <w:noProof/>
          <w:sz w:val="20"/>
          <w:szCs w:val="24"/>
        </w:rPr>
        <w:t xml:space="preserve"> (2005). doi:10.1212/01.WNL.0000152986.07469.E9</w:t>
      </w:r>
    </w:p>
    <w:p w14:paraId="0ACF34E5" w14:textId="77777777" w:rsidR="00AB1796" w:rsidRPr="00AB1796" w:rsidRDefault="00AB1796" w:rsidP="00AB1796">
      <w:pPr>
        <w:adjustRightInd w:val="0"/>
        <w:spacing w:before="100"/>
        <w:ind w:left="640" w:hanging="640"/>
        <w:rPr>
          <w:noProof/>
          <w:sz w:val="20"/>
          <w:szCs w:val="24"/>
        </w:rPr>
      </w:pPr>
      <w:r w:rsidRPr="00AB1796">
        <w:rPr>
          <w:noProof/>
          <w:sz w:val="20"/>
          <w:szCs w:val="24"/>
        </w:rPr>
        <w:t>40.</w:t>
      </w:r>
      <w:r w:rsidRPr="00AB1796">
        <w:rPr>
          <w:noProof/>
          <w:sz w:val="20"/>
          <w:szCs w:val="24"/>
        </w:rPr>
        <w:tab/>
        <w:t xml:space="preserve">Sparing, R., Dafotakis, M., Meister, I. G., Thirugnanasambandam, N. &amp; Fink, G. R. Enhancing language performance with non-invasive brain stimulation-A transcranial direct current stimulation study in healthy humans. </w:t>
      </w:r>
      <w:r w:rsidRPr="00AB1796">
        <w:rPr>
          <w:i/>
          <w:iCs/>
          <w:noProof/>
          <w:sz w:val="20"/>
          <w:szCs w:val="24"/>
        </w:rPr>
        <w:t>Neuropsychologia</w:t>
      </w:r>
      <w:r w:rsidRPr="00AB1796">
        <w:rPr>
          <w:noProof/>
          <w:sz w:val="20"/>
          <w:szCs w:val="24"/>
        </w:rPr>
        <w:t xml:space="preserve"> (2008). doi:10.1016/j.neuropsychologia.2007.07.009</w:t>
      </w:r>
    </w:p>
    <w:p w14:paraId="4A2CE346" w14:textId="77777777" w:rsidR="00AB1796" w:rsidRPr="00AB1796" w:rsidRDefault="00AB1796" w:rsidP="00AB1796">
      <w:pPr>
        <w:adjustRightInd w:val="0"/>
        <w:spacing w:before="100"/>
        <w:ind w:left="640" w:hanging="640"/>
        <w:rPr>
          <w:noProof/>
          <w:sz w:val="20"/>
          <w:szCs w:val="24"/>
        </w:rPr>
      </w:pPr>
      <w:r w:rsidRPr="00AB1796">
        <w:rPr>
          <w:noProof/>
          <w:sz w:val="20"/>
          <w:szCs w:val="24"/>
        </w:rPr>
        <w:t>41.</w:t>
      </w:r>
      <w:r w:rsidRPr="00AB1796">
        <w:rPr>
          <w:noProof/>
          <w:sz w:val="20"/>
          <w:szCs w:val="24"/>
        </w:rPr>
        <w:tab/>
        <w:t xml:space="preserve">Rogalewski, A., Breitenstein, C., Nitsche, M. A., Paulus, W. &amp; Knecht, S. Transcranial direct current stimulation disrupts tactile perception. </w:t>
      </w:r>
      <w:r w:rsidRPr="00AB1796">
        <w:rPr>
          <w:i/>
          <w:iCs/>
          <w:noProof/>
          <w:sz w:val="20"/>
          <w:szCs w:val="24"/>
        </w:rPr>
        <w:t>Eur. J. Neurosci.</w:t>
      </w:r>
      <w:r w:rsidRPr="00AB1796">
        <w:rPr>
          <w:noProof/>
          <w:sz w:val="20"/>
          <w:szCs w:val="24"/>
        </w:rPr>
        <w:t xml:space="preserve"> </w:t>
      </w:r>
      <w:r w:rsidRPr="00AB1796">
        <w:rPr>
          <w:b/>
          <w:bCs/>
          <w:noProof/>
          <w:sz w:val="20"/>
          <w:szCs w:val="24"/>
        </w:rPr>
        <w:t>20</w:t>
      </w:r>
      <w:r w:rsidRPr="00AB1796">
        <w:rPr>
          <w:noProof/>
          <w:sz w:val="20"/>
          <w:szCs w:val="24"/>
        </w:rPr>
        <w:t>, 313–316 (2004).</w:t>
      </w:r>
    </w:p>
    <w:p w14:paraId="3717C31B" w14:textId="77777777" w:rsidR="00AB1796" w:rsidRPr="00AB1796" w:rsidRDefault="00AB1796" w:rsidP="00AB1796">
      <w:pPr>
        <w:adjustRightInd w:val="0"/>
        <w:spacing w:before="100"/>
        <w:ind w:left="640" w:hanging="640"/>
        <w:rPr>
          <w:noProof/>
          <w:sz w:val="20"/>
          <w:szCs w:val="24"/>
        </w:rPr>
      </w:pPr>
      <w:r w:rsidRPr="00AB1796">
        <w:rPr>
          <w:noProof/>
          <w:sz w:val="20"/>
          <w:szCs w:val="24"/>
        </w:rPr>
        <w:t>42.</w:t>
      </w:r>
      <w:r w:rsidRPr="00AB1796">
        <w:rPr>
          <w:noProof/>
          <w:sz w:val="20"/>
          <w:szCs w:val="24"/>
        </w:rPr>
        <w:tab/>
        <w:t xml:space="preserve">Berryhill, M. E., Wencil, E. B., Branch Coslett, H. &amp; Olson, I. R. A selective working memory impairment after transcranial direct current stimulation to the right parietal lobe. </w:t>
      </w:r>
      <w:r w:rsidRPr="00AB1796">
        <w:rPr>
          <w:i/>
          <w:iCs/>
          <w:noProof/>
          <w:sz w:val="20"/>
          <w:szCs w:val="24"/>
        </w:rPr>
        <w:t>Neurosci. Lett.</w:t>
      </w:r>
      <w:r w:rsidRPr="00AB1796">
        <w:rPr>
          <w:noProof/>
          <w:sz w:val="20"/>
          <w:szCs w:val="24"/>
        </w:rPr>
        <w:t xml:space="preserve"> </w:t>
      </w:r>
      <w:r w:rsidRPr="00AB1796">
        <w:rPr>
          <w:b/>
          <w:bCs/>
          <w:noProof/>
          <w:sz w:val="20"/>
          <w:szCs w:val="24"/>
        </w:rPr>
        <w:t>479</w:t>
      </w:r>
      <w:r w:rsidRPr="00AB1796">
        <w:rPr>
          <w:noProof/>
          <w:sz w:val="20"/>
          <w:szCs w:val="24"/>
        </w:rPr>
        <w:t>, 312–316 (2010).</w:t>
      </w:r>
    </w:p>
    <w:p w14:paraId="25A4B202" w14:textId="77777777" w:rsidR="00AB1796" w:rsidRPr="00AB1796" w:rsidRDefault="00AB1796" w:rsidP="00AB1796">
      <w:pPr>
        <w:adjustRightInd w:val="0"/>
        <w:spacing w:before="100"/>
        <w:ind w:left="640" w:hanging="640"/>
        <w:rPr>
          <w:noProof/>
          <w:sz w:val="20"/>
          <w:szCs w:val="24"/>
        </w:rPr>
      </w:pPr>
      <w:r w:rsidRPr="00AB1796">
        <w:rPr>
          <w:noProof/>
          <w:sz w:val="20"/>
          <w:szCs w:val="24"/>
        </w:rPr>
        <w:t>43.</w:t>
      </w:r>
      <w:r w:rsidRPr="00AB1796">
        <w:rPr>
          <w:noProof/>
          <w:sz w:val="20"/>
          <w:szCs w:val="24"/>
        </w:rPr>
        <w:tab/>
        <w:t xml:space="preserve">Weiss, M. &amp; Lavidor, M. When less is more: Evidence for a facilitative cathodal tDCS effect in attentional abilities. </w:t>
      </w:r>
      <w:r w:rsidRPr="00AB1796">
        <w:rPr>
          <w:i/>
          <w:iCs/>
          <w:noProof/>
          <w:sz w:val="20"/>
          <w:szCs w:val="24"/>
        </w:rPr>
        <w:t>J. Cogn. Neurosci.</w:t>
      </w:r>
      <w:r w:rsidRPr="00AB1796">
        <w:rPr>
          <w:noProof/>
          <w:sz w:val="20"/>
          <w:szCs w:val="24"/>
        </w:rPr>
        <w:t xml:space="preserve"> </w:t>
      </w:r>
      <w:r w:rsidRPr="00AB1796">
        <w:rPr>
          <w:b/>
          <w:bCs/>
          <w:noProof/>
          <w:sz w:val="20"/>
          <w:szCs w:val="24"/>
        </w:rPr>
        <w:t>24</w:t>
      </w:r>
      <w:r w:rsidRPr="00AB1796">
        <w:rPr>
          <w:noProof/>
          <w:sz w:val="20"/>
          <w:szCs w:val="24"/>
        </w:rPr>
        <w:t>, 1826–1833 (2012).</w:t>
      </w:r>
    </w:p>
    <w:p w14:paraId="3A4DD057" w14:textId="1FFC72F2" w:rsidR="00AB1796" w:rsidRPr="00AB1796" w:rsidRDefault="00AB1796" w:rsidP="00AB1796">
      <w:pPr>
        <w:adjustRightInd w:val="0"/>
        <w:spacing w:before="100"/>
        <w:ind w:left="640" w:hanging="640"/>
        <w:rPr>
          <w:noProof/>
          <w:sz w:val="20"/>
          <w:szCs w:val="24"/>
        </w:rPr>
      </w:pPr>
      <w:r w:rsidRPr="00AB1796">
        <w:rPr>
          <w:noProof/>
          <w:sz w:val="20"/>
          <w:szCs w:val="24"/>
        </w:rPr>
        <w:t>44.</w:t>
      </w:r>
      <w:r w:rsidRPr="00AB1796">
        <w:rPr>
          <w:noProof/>
          <w:sz w:val="20"/>
          <w:szCs w:val="24"/>
        </w:rPr>
        <w:tab/>
        <w:t xml:space="preserve">Pirulli, C., Fertonani, A. &amp; Miniussi, C. Is neural hyperpolarization by cathodal stimulation always detrimental at the behavioral level? </w:t>
      </w:r>
      <w:r w:rsidRPr="00AB1796">
        <w:rPr>
          <w:i/>
          <w:iCs/>
          <w:noProof/>
          <w:sz w:val="20"/>
          <w:szCs w:val="24"/>
        </w:rPr>
        <w:t>Front. Behav. Neurosci.</w:t>
      </w:r>
      <w:r w:rsidRPr="00AB1796">
        <w:rPr>
          <w:noProof/>
          <w:sz w:val="20"/>
          <w:szCs w:val="24"/>
        </w:rPr>
        <w:t xml:space="preserve"> (2014).</w:t>
      </w:r>
      <w:r w:rsidR="00C663F9">
        <w:rPr>
          <w:noProof/>
          <w:sz w:val="20"/>
          <w:szCs w:val="24"/>
        </w:rPr>
        <w:t xml:space="preserve"> </w:t>
      </w:r>
      <w:r w:rsidR="00C663F9" w:rsidRPr="00AB1796">
        <w:rPr>
          <w:noProof/>
          <w:sz w:val="20"/>
          <w:szCs w:val="24"/>
        </w:rPr>
        <w:t>doi:</w:t>
      </w:r>
      <w:r w:rsidR="00C663F9" w:rsidRPr="00C663F9">
        <w:rPr>
          <w:noProof/>
          <w:sz w:val="20"/>
          <w:szCs w:val="24"/>
        </w:rPr>
        <w:t>10.3389/fnbeh.2014.00226</w:t>
      </w:r>
    </w:p>
    <w:p w14:paraId="563E7CBC" w14:textId="77777777" w:rsidR="00AB1796" w:rsidRPr="00AB1796" w:rsidRDefault="00AB1796" w:rsidP="00AB1796">
      <w:pPr>
        <w:adjustRightInd w:val="0"/>
        <w:spacing w:before="100"/>
        <w:ind w:left="640" w:hanging="640"/>
        <w:rPr>
          <w:noProof/>
          <w:sz w:val="20"/>
          <w:szCs w:val="24"/>
        </w:rPr>
      </w:pPr>
      <w:r w:rsidRPr="00AB1796">
        <w:rPr>
          <w:noProof/>
          <w:sz w:val="20"/>
          <w:szCs w:val="24"/>
        </w:rPr>
        <w:t>45.</w:t>
      </w:r>
      <w:r w:rsidRPr="00AB1796">
        <w:rPr>
          <w:noProof/>
          <w:sz w:val="20"/>
          <w:szCs w:val="24"/>
        </w:rPr>
        <w:tab/>
        <w:t xml:space="preserve">Brückner, S. &amp; Kammer, T. Both anodal and cathodal transcranial direct current stimulation improves semantic processing. </w:t>
      </w:r>
      <w:r w:rsidRPr="00AB1796">
        <w:rPr>
          <w:i/>
          <w:iCs/>
          <w:noProof/>
          <w:sz w:val="20"/>
          <w:szCs w:val="24"/>
        </w:rPr>
        <w:t>Neuroscience</w:t>
      </w:r>
      <w:r w:rsidRPr="00AB1796">
        <w:rPr>
          <w:noProof/>
          <w:sz w:val="20"/>
          <w:szCs w:val="24"/>
        </w:rPr>
        <w:t xml:space="preserve"> (2017). doi:10.1016/j.neuroscience.2016.12.015</w:t>
      </w:r>
    </w:p>
    <w:p w14:paraId="36441E0D" w14:textId="77777777" w:rsidR="00AB1796" w:rsidRPr="00AB1796" w:rsidRDefault="00AB1796" w:rsidP="00AB1796">
      <w:pPr>
        <w:adjustRightInd w:val="0"/>
        <w:spacing w:before="100"/>
        <w:ind w:left="640" w:hanging="640"/>
        <w:rPr>
          <w:noProof/>
          <w:sz w:val="20"/>
          <w:szCs w:val="24"/>
        </w:rPr>
      </w:pPr>
      <w:r w:rsidRPr="00AB1796">
        <w:rPr>
          <w:noProof/>
          <w:sz w:val="20"/>
          <w:szCs w:val="24"/>
        </w:rPr>
        <w:t>46.</w:t>
      </w:r>
      <w:r w:rsidRPr="00AB1796">
        <w:rPr>
          <w:noProof/>
          <w:sz w:val="20"/>
          <w:szCs w:val="24"/>
        </w:rPr>
        <w:tab/>
        <w:t xml:space="preserve">Nitsche, M. A. </w:t>
      </w:r>
      <w:r w:rsidRPr="00AB1796">
        <w:rPr>
          <w:i/>
          <w:iCs/>
          <w:noProof/>
          <w:sz w:val="20"/>
          <w:szCs w:val="24"/>
        </w:rPr>
        <w:t>et al.</w:t>
      </w:r>
      <w:r w:rsidRPr="00AB1796">
        <w:rPr>
          <w:noProof/>
          <w:sz w:val="20"/>
          <w:szCs w:val="24"/>
        </w:rPr>
        <w:t xml:space="preserve"> Chapter 27 Modulation of cortical excitability by weak direct current stimulation – technical, safety and functional aspects. in </w:t>
      </w:r>
      <w:r w:rsidRPr="00AB1796">
        <w:rPr>
          <w:i/>
          <w:iCs/>
          <w:noProof/>
          <w:sz w:val="20"/>
          <w:szCs w:val="24"/>
        </w:rPr>
        <w:t>Supplements to Clinical Neurophysiology</w:t>
      </w:r>
      <w:r w:rsidRPr="00AB1796">
        <w:rPr>
          <w:noProof/>
          <w:sz w:val="20"/>
          <w:szCs w:val="24"/>
        </w:rPr>
        <w:t xml:space="preserve"> </w:t>
      </w:r>
      <w:r w:rsidRPr="00AB1796">
        <w:rPr>
          <w:b/>
          <w:bCs/>
          <w:noProof/>
          <w:sz w:val="20"/>
          <w:szCs w:val="24"/>
        </w:rPr>
        <w:t>56</w:t>
      </w:r>
      <w:r w:rsidRPr="00AB1796">
        <w:rPr>
          <w:noProof/>
          <w:sz w:val="20"/>
          <w:szCs w:val="24"/>
        </w:rPr>
        <w:t>, 255–276 (2003).</w:t>
      </w:r>
    </w:p>
    <w:p w14:paraId="6E41A5D2" w14:textId="77777777" w:rsidR="00AB1796" w:rsidRPr="00AB1796" w:rsidRDefault="00AB1796" w:rsidP="00AB1796">
      <w:pPr>
        <w:adjustRightInd w:val="0"/>
        <w:spacing w:before="100"/>
        <w:ind w:left="640" w:hanging="640"/>
        <w:rPr>
          <w:noProof/>
          <w:sz w:val="20"/>
          <w:szCs w:val="24"/>
        </w:rPr>
      </w:pPr>
      <w:r w:rsidRPr="00AB1796">
        <w:rPr>
          <w:noProof/>
          <w:sz w:val="20"/>
          <w:szCs w:val="24"/>
        </w:rPr>
        <w:t>47.</w:t>
      </w:r>
      <w:r w:rsidRPr="00AB1796">
        <w:rPr>
          <w:noProof/>
          <w:sz w:val="20"/>
          <w:szCs w:val="24"/>
        </w:rPr>
        <w:tab/>
        <w:t xml:space="preserve">Priori, A. Brain polarization in humans: A reappraisal of an old tool for prolonged non-invasive modulation of brain excitability. </w:t>
      </w:r>
      <w:r w:rsidRPr="00AB1796">
        <w:rPr>
          <w:i/>
          <w:iCs/>
          <w:noProof/>
          <w:sz w:val="20"/>
          <w:szCs w:val="24"/>
        </w:rPr>
        <w:t>Clinical Neurophysiology</w:t>
      </w:r>
      <w:r w:rsidRPr="00AB1796">
        <w:rPr>
          <w:noProof/>
          <w:sz w:val="20"/>
          <w:szCs w:val="24"/>
        </w:rPr>
        <w:t xml:space="preserve"> </w:t>
      </w:r>
      <w:r w:rsidRPr="00AB1796">
        <w:rPr>
          <w:b/>
          <w:bCs/>
          <w:noProof/>
          <w:sz w:val="20"/>
          <w:szCs w:val="24"/>
        </w:rPr>
        <w:t>114</w:t>
      </w:r>
      <w:r w:rsidRPr="00AB1796">
        <w:rPr>
          <w:noProof/>
          <w:sz w:val="20"/>
          <w:szCs w:val="24"/>
        </w:rPr>
        <w:t>, 589–595 (2003).</w:t>
      </w:r>
    </w:p>
    <w:p w14:paraId="678365F8" w14:textId="74C4A568" w:rsidR="00AB1796" w:rsidRPr="00AB1796" w:rsidRDefault="00AB1796" w:rsidP="00AB1796">
      <w:pPr>
        <w:adjustRightInd w:val="0"/>
        <w:spacing w:before="100"/>
        <w:ind w:left="640" w:hanging="640"/>
        <w:rPr>
          <w:noProof/>
          <w:sz w:val="20"/>
          <w:szCs w:val="24"/>
        </w:rPr>
      </w:pPr>
      <w:r w:rsidRPr="00AB1796">
        <w:rPr>
          <w:noProof/>
          <w:sz w:val="20"/>
          <w:szCs w:val="24"/>
        </w:rPr>
        <w:lastRenderedPageBreak/>
        <w:t>48.</w:t>
      </w:r>
      <w:r w:rsidRPr="00AB1796">
        <w:rPr>
          <w:noProof/>
          <w:sz w:val="20"/>
          <w:szCs w:val="24"/>
        </w:rPr>
        <w:tab/>
        <w:t xml:space="preserve">Shah, P. P., Szaflarski, J. P., Allendorfer, J. &amp; Hamilton, R. H. Induction of neuroplasticity and recovery in post-stroke aphasia by non-invasive brain stimulation. </w:t>
      </w:r>
      <w:r w:rsidRPr="00AB1796">
        <w:rPr>
          <w:i/>
          <w:iCs/>
          <w:noProof/>
          <w:sz w:val="20"/>
          <w:szCs w:val="24"/>
        </w:rPr>
        <w:t>Front. Hum. Neurosci.</w:t>
      </w:r>
      <w:r w:rsidRPr="00AB1796">
        <w:rPr>
          <w:noProof/>
          <w:sz w:val="20"/>
          <w:szCs w:val="24"/>
        </w:rPr>
        <w:t xml:space="preserve"> (2013).</w:t>
      </w:r>
      <w:r>
        <w:rPr>
          <w:noProof/>
          <w:sz w:val="20"/>
          <w:szCs w:val="24"/>
        </w:rPr>
        <w:t xml:space="preserve"> </w:t>
      </w:r>
      <w:r w:rsidRPr="00AB1796">
        <w:rPr>
          <w:noProof/>
          <w:sz w:val="20"/>
          <w:szCs w:val="24"/>
        </w:rPr>
        <w:t>doi:10.3389/fnhum.2013.00888</w:t>
      </w:r>
    </w:p>
    <w:p w14:paraId="36EBBE86" w14:textId="77777777" w:rsidR="00AB1796" w:rsidRPr="00AB1796" w:rsidRDefault="00AB1796" w:rsidP="00AB1796">
      <w:pPr>
        <w:adjustRightInd w:val="0"/>
        <w:spacing w:before="100"/>
        <w:ind w:left="640" w:hanging="640"/>
        <w:rPr>
          <w:noProof/>
          <w:sz w:val="20"/>
          <w:szCs w:val="24"/>
        </w:rPr>
      </w:pPr>
      <w:r w:rsidRPr="00AB1796">
        <w:rPr>
          <w:noProof/>
          <w:sz w:val="20"/>
          <w:szCs w:val="24"/>
        </w:rPr>
        <w:t>49.</w:t>
      </w:r>
      <w:r w:rsidRPr="00AB1796">
        <w:rPr>
          <w:noProof/>
          <w:sz w:val="20"/>
          <w:szCs w:val="24"/>
        </w:rPr>
        <w:tab/>
        <w:t xml:space="preserve">Dumay, N. &amp; Gareth Gaskell, M. Overnight lexical consolidation revealed by speech segmentation. </w:t>
      </w:r>
      <w:r w:rsidRPr="00AB1796">
        <w:rPr>
          <w:i/>
          <w:iCs/>
          <w:noProof/>
          <w:sz w:val="20"/>
          <w:szCs w:val="24"/>
        </w:rPr>
        <w:t>Cognition</w:t>
      </w:r>
      <w:r w:rsidRPr="00AB1796">
        <w:rPr>
          <w:noProof/>
          <w:sz w:val="20"/>
          <w:szCs w:val="24"/>
        </w:rPr>
        <w:t xml:space="preserve"> (2012). doi:10.1016/j.cognition.2011.12.009</w:t>
      </w:r>
    </w:p>
    <w:p w14:paraId="0CF8F5F2" w14:textId="77777777" w:rsidR="00AB1796" w:rsidRPr="00AB1796" w:rsidRDefault="00AB1796" w:rsidP="00AB1796">
      <w:pPr>
        <w:adjustRightInd w:val="0"/>
        <w:spacing w:before="100"/>
        <w:ind w:left="640" w:hanging="640"/>
        <w:rPr>
          <w:noProof/>
          <w:sz w:val="20"/>
          <w:szCs w:val="24"/>
        </w:rPr>
      </w:pPr>
      <w:r w:rsidRPr="00AB1796">
        <w:rPr>
          <w:noProof/>
          <w:sz w:val="20"/>
          <w:szCs w:val="24"/>
        </w:rPr>
        <w:t>50.</w:t>
      </w:r>
      <w:r w:rsidRPr="00AB1796">
        <w:rPr>
          <w:noProof/>
          <w:sz w:val="20"/>
          <w:szCs w:val="24"/>
        </w:rPr>
        <w:tab/>
        <w:t xml:space="preserve">Bastani, A. &amp; Jaberzadeh, S. Does anodal transcranial direct current stimulation enhance excitability of the motor cortex and motor function in healthy individuals and subjects with stroke: A systematic review and meta-analysis. </w:t>
      </w:r>
      <w:r w:rsidRPr="00AB1796">
        <w:rPr>
          <w:i/>
          <w:iCs/>
          <w:noProof/>
          <w:sz w:val="20"/>
          <w:szCs w:val="24"/>
        </w:rPr>
        <w:t>Clinical Neurophysiology</w:t>
      </w:r>
      <w:r w:rsidRPr="00AB1796">
        <w:rPr>
          <w:noProof/>
          <w:sz w:val="20"/>
          <w:szCs w:val="24"/>
        </w:rPr>
        <w:t xml:space="preserve"> (2012). doi:10.1016/j.clinph.2011.08.029</w:t>
      </w:r>
    </w:p>
    <w:p w14:paraId="46000188" w14:textId="77777777" w:rsidR="00AB1796" w:rsidRPr="00AB1796" w:rsidRDefault="00AB1796" w:rsidP="00AB1796">
      <w:pPr>
        <w:adjustRightInd w:val="0"/>
        <w:spacing w:before="100"/>
        <w:ind w:left="640" w:hanging="640"/>
        <w:rPr>
          <w:noProof/>
          <w:sz w:val="20"/>
          <w:szCs w:val="24"/>
        </w:rPr>
      </w:pPr>
      <w:r w:rsidRPr="00AB1796">
        <w:rPr>
          <w:noProof/>
          <w:sz w:val="20"/>
          <w:szCs w:val="24"/>
        </w:rPr>
        <w:t>51.</w:t>
      </w:r>
      <w:r w:rsidRPr="00AB1796">
        <w:rPr>
          <w:noProof/>
          <w:sz w:val="20"/>
          <w:szCs w:val="24"/>
        </w:rPr>
        <w:tab/>
        <w:t xml:space="preserve">Binder, J. R., Desai, R. H., Graves, W. W. &amp; Conant, L. L. Where is the semantic system? A critical review and meta-analysis of 120 functional neuroimaging studies. </w:t>
      </w:r>
      <w:r w:rsidRPr="00AB1796">
        <w:rPr>
          <w:i/>
          <w:iCs/>
          <w:noProof/>
          <w:sz w:val="20"/>
          <w:szCs w:val="24"/>
        </w:rPr>
        <w:t>Cereb. Cortex</w:t>
      </w:r>
      <w:r w:rsidRPr="00AB1796">
        <w:rPr>
          <w:noProof/>
          <w:sz w:val="20"/>
          <w:szCs w:val="24"/>
        </w:rPr>
        <w:t xml:space="preserve"> (2009). doi:10.1093/cercor/bhp055</w:t>
      </w:r>
    </w:p>
    <w:p w14:paraId="0947963A" w14:textId="77777777" w:rsidR="00AB1796" w:rsidRPr="00AB1796" w:rsidRDefault="00AB1796" w:rsidP="00AB1796">
      <w:pPr>
        <w:adjustRightInd w:val="0"/>
        <w:spacing w:before="100"/>
        <w:ind w:left="640" w:hanging="640"/>
        <w:rPr>
          <w:noProof/>
          <w:sz w:val="20"/>
          <w:szCs w:val="24"/>
        </w:rPr>
      </w:pPr>
      <w:r w:rsidRPr="00AB1796">
        <w:rPr>
          <w:noProof/>
          <w:sz w:val="20"/>
          <w:szCs w:val="24"/>
        </w:rPr>
        <w:t>52.</w:t>
      </w:r>
      <w:r w:rsidRPr="00AB1796">
        <w:rPr>
          <w:noProof/>
          <w:sz w:val="20"/>
          <w:szCs w:val="24"/>
        </w:rPr>
        <w:tab/>
        <w:t xml:space="preserve">Oldfield, R. C. The assessment and analysis of handedness: The Edinburgh inventory. </w:t>
      </w:r>
      <w:r w:rsidRPr="00AB1796">
        <w:rPr>
          <w:i/>
          <w:iCs/>
          <w:noProof/>
          <w:sz w:val="20"/>
          <w:szCs w:val="24"/>
        </w:rPr>
        <w:t>Neuropsychologia</w:t>
      </w:r>
      <w:r w:rsidRPr="00AB1796">
        <w:rPr>
          <w:noProof/>
          <w:sz w:val="20"/>
          <w:szCs w:val="24"/>
        </w:rPr>
        <w:t xml:space="preserve"> (1971). doi:10.1016/0028-3932(71)90067-4</w:t>
      </w:r>
    </w:p>
    <w:p w14:paraId="1A5ADE0E" w14:textId="4522842B" w:rsidR="00AB1796" w:rsidRPr="00AB1796" w:rsidRDefault="00AB1796" w:rsidP="00AB1796">
      <w:pPr>
        <w:adjustRightInd w:val="0"/>
        <w:spacing w:before="100"/>
        <w:ind w:left="640" w:hanging="640"/>
        <w:rPr>
          <w:noProof/>
          <w:sz w:val="20"/>
          <w:szCs w:val="24"/>
        </w:rPr>
      </w:pPr>
      <w:r w:rsidRPr="00AB1796">
        <w:rPr>
          <w:noProof/>
          <w:sz w:val="20"/>
          <w:szCs w:val="24"/>
        </w:rPr>
        <w:t>53.</w:t>
      </w:r>
      <w:r w:rsidRPr="00AB1796">
        <w:rPr>
          <w:noProof/>
          <w:sz w:val="20"/>
          <w:szCs w:val="24"/>
        </w:rPr>
        <w:tab/>
        <w:t xml:space="preserve">Thair, H., Holloway, A. L., Newport, R. &amp; Smith, A. D. Transcranial direct current stimulation (tDCS): A Beginner’s guide for design and implementation. </w:t>
      </w:r>
      <w:r w:rsidRPr="00AB1796">
        <w:rPr>
          <w:i/>
          <w:iCs/>
          <w:noProof/>
          <w:sz w:val="20"/>
          <w:szCs w:val="24"/>
        </w:rPr>
        <w:t>Front. Neurosci.</w:t>
      </w:r>
      <w:r w:rsidRPr="00AB1796">
        <w:rPr>
          <w:noProof/>
          <w:sz w:val="20"/>
          <w:szCs w:val="24"/>
        </w:rPr>
        <w:t xml:space="preserve"> (2017).</w:t>
      </w:r>
      <w:r w:rsidR="00D433C0">
        <w:rPr>
          <w:noProof/>
          <w:sz w:val="20"/>
          <w:szCs w:val="24"/>
        </w:rPr>
        <w:t xml:space="preserve"> </w:t>
      </w:r>
      <w:r w:rsidR="00D433C0" w:rsidRPr="00AB1796">
        <w:rPr>
          <w:noProof/>
          <w:sz w:val="20"/>
          <w:szCs w:val="24"/>
        </w:rPr>
        <w:t>doi:</w:t>
      </w:r>
      <w:r w:rsidR="00D433C0" w:rsidRPr="00D433C0">
        <w:rPr>
          <w:noProof/>
          <w:sz w:val="20"/>
          <w:szCs w:val="24"/>
        </w:rPr>
        <w:t>10.3389/fnins.2017.00641</w:t>
      </w:r>
    </w:p>
    <w:p w14:paraId="2B056E4B" w14:textId="77777777" w:rsidR="00AB1796" w:rsidRPr="00AB1796" w:rsidRDefault="00AB1796" w:rsidP="00AB1796">
      <w:pPr>
        <w:adjustRightInd w:val="0"/>
        <w:spacing w:before="100"/>
        <w:ind w:left="640" w:hanging="640"/>
        <w:rPr>
          <w:noProof/>
          <w:sz w:val="20"/>
          <w:szCs w:val="24"/>
        </w:rPr>
      </w:pPr>
      <w:r w:rsidRPr="00AB1796">
        <w:rPr>
          <w:noProof/>
          <w:sz w:val="20"/>
          <w:szCs w:val="24"/>
        </w:rPr>
        <w:t>54.</w:t>
      </w:r>
      <w:r w:rsidRPr="00AB1796">
        <w:rPr>
          <w:noProof/>
          <w:sz w:val="20"/>
          <w:szCs w:val="24"/>
        </w:rPr>
        <w:tab/>
        <w:t xml:space="preserve">Nitsche, M. A. </w:t>
      </w:r>
      <w:r w:rsidRPr="00AB1796">
        <w:rPr>
          <w:i/>
          <w:iCs/>
          <w:noProof/>
          <w:sz w:val="20"/>
          <w:szCs w:val="24"/>
        </w:rPr>
        <w:t>et al.</w:t>
      </w:r>
      <w:r w:rsidRPr="00AB1796">
        <w:rPr>
          <w:noProof/>
          <w:sz w:val="20"/>
          <w:szCs w:val="24"/>
        </w:rPr>
        <w:t xml:space="preserve"> Shaping the effects of transcranial direct current stimulation of the human motor cortex. </w:t>
      </w:r>
      <w:r w:rsidRPr="00AB1796">
        <w:rPr>
          <w:i/>
          <w:iCs/>
          <w:noProof/>
          <w:sz w:val="20"/>
          <w:szCs w:val="24"/>
        </w:rPr>
        <w:t>J. Neurophysiol.</w:t>
      </w:r>
      <w:r w:rsidRPr="00AB1796">
        <w:rPr>
          <w:noProof/>
          <w:sz w:val="20"/>
          <w:szCs w:val="24"/>
        </w:rPr>
        <w:t xml:space="preserve"> </w:t>
      </w:r>
      <w:r w:rsidRPr="00AB1796">
        <w:rPr>
          <w:b/>
          <w:bCs/>
          <w:noProof/>
          <w:sz w:val="20"/>
          <w:szCs w:val="24"/>
        </w:rPr>
        <w:t>97</w:t>
      </w:r>
      <w:r w:rsidRPr="00AB1796">
        <w:rPr>
          <w:noProof/>
          <w:sz w:val="20"/>
          <w:szCs w:val="24"/>
        </w:rPr>
        <w:t>, 3109–3117 (2007).</w:t>
      </w:r>
    </w:p>
    <w:p w14:paraId="0A64F75C" w14:textId="77777777" w:rsidR="00AB1796" w:rsidRPr="00AB1796" w:rsidRDefault="00AB1796" w:rsidP="00AB1796">
      <w:pPr>
        <w:adjustRightInd w:val="0"/>
        <w:spacing w:before="100"/>
        <w:ind w:left="640" w:hanging="640"/>
        <w:rPr>
          <w:noProof/>
          <w:sz w:val="20"/>
          <w:szCs w:val="24"/>
        </w:rPr>
      </w:pPr>
      <w:r w:rsidRPr="00AB1796">
        <w:rPr>
          <w:noProof/>
          <w:sz w:val="20"/>
          <w:szCs w:val="24"/>
        </w:rPr>
        <w:t>55.</w:t>
      </w:r>
      <w:r w:rsidRPr="00AB1796">
        <w:rPr>
          <w:noProof/>
          <w:sz w:val="20"/>
          <w:szCs w:val="24"/>
        </w:rPr>
        <w:tab/>
        <w:t xml:space="preserve">Saturnino, G. B. </w:t>
      </w:r>
      <w:r w:rsidRPr="00AB1796">
        <w:rPr>
          <w:i/>
          <w:iCs/>
          <w:noProof/>
          <w:sz w:val="20"/>
          <w:szCs w:val="24"/>
        </w:rPr>
        <w:t>et al.</w:t>
      </w:r>
      <w:r w:rsidRPr="00AB1796">
        <w:rPr>
          <w:noProof/>
          <w:sz w:val="20"/>
          <w:szCs w:val="24"/>
        </w:rPr>
        <w:t xml:space="preserve"> SimNIBS 2.1: A Comprehensive Pipeline for Individualized Electric Field Modelling for Transcranial Brain Stimulation. in </w:t>
      </w:r>
      <w:r w:rsidRPr="00AB1796">
        <w:rPr>
          <w:i/>
          <w:iCs/>
          <w:noProof/>
          <w:sz w:val="20"/>
          <w:szCs w:val="24"/>
        </w:rPr>
        <w:t>Brain and Human Body Modeling</w:t>
      </w:r>
      <w:r w:rsidRPr="00AB1796">
        <w:rPr>
          <w:noProof/>
          <w:sz w:val="20"/>
          <w:szCs w:val="24"/>
        </w:rPr>
        <w:t xml:space="preserve"> (2019). doi:10.1007/978-3-030-21293-3_1</w:t>
      </w:r>
    </w:p>
    <w:p w14:paraId="5E723C2B" w14:textId="77777777" w:rsidR="00AB1796" w:rsidRPr="00AB1796" w:rsidRDefault="00AB1796" w:rsidP="00AB1796">
      <w:pPr>
        <w:adjustRightInd w:val="0"/>
        <w:spacing w:before="100"/>
        <w:ind w:left="640" w:hanging="640"/>
        <w:rPr>
          <w:noProof/>
          <w:sz w:val="20"/>
          <w:szCs w:val="24"/>
        </w:rPr>
      </w:pPr>
      <w:r w:rsidRPr="00AB1796">
        <w:rPr>
          <w:noProof/>
          <w:sz w:val="20"/>
          <w:szCs w:val="24"/>
        </w:rPr>
        <w:t>56.</w:t>
      </w:r>
      <w:r w:rsidRPr="00AB1796">
        <w:rPr>
          <w:noProof/>
          <w:sz w:val="20"/>
          <w:szCs w:val="24"/>
        </w:rPr>
        <w:tab/>
        <w:t xml:space="preserve">Kessler, S. K., Turkeltaub, P. E., Benson, J. G. &amp; Hamilton, R. H. Differences in the experience of active and sham transcranial direct current stimulation. </w:t>
      </w:r>
      <w:r w:rsidRPr="00AB1796">
        <w:rPr>
          <w:i/>
          <w:iCs/>
          <w:noProof/>
          <w:sz w:val="20"/>
          <w:szCs w:val="24"/>
        </w:rPr>
        <w:t>Brain Stimul.</w:t>
      </w:r>
      <w:r w:rsidRPr="00AB1796">
        <w:rPr>
          <w:noProof/>
          <w:sz w:val="20"/>
          <w:szCs w:val="24"/>
        </w:rPr>
        <w:t xml:space="preserve"> </w:t>
      </w:r>
      <w:r w:rsidRPr="00AB1796">
        <w:rPr>
          <w:b/>
          <w:bCs/>
          <w:noProof/>
          <w:sz w:val="20"/>
          <w:szCs w:val="24"/>
        </w:rPr>
        <w:t>5</w:t>
      </w:r>
      <w:r w:rsidRPr="00AB1796">
        <w:rPr>
          <w:noProof/>
          <w:sz w:val="20"/>
          <w:szCs w:val="24"/>
        </w:rPr>
        <w:t>, 155–162 (2012).</w:t>
      </w:r>
    </w:p>
    <w:p w14:paraId="5F7B1CDA" w14:textId="77777777" w:rsidR="00AB1796" w:rsidRPr="00AB1796" w:rsidRDefault="00AB1796" w:rsidP="00AB1796">
      <w:pPr>
        <w:adjustRightInd w:val="0"/>
        <w:spacing w:before="100"/>
        <w:ind w:left="640" w:hanging="640"/>
        <w:rPr>
          <w:noProof/>
          <w:sz w:val="20"/>
          <w:szCs w:val="24"/>
        </w:rPr>
      </w:pPr>
      <w:r w:rsidRPr="00AB1796">
        <w:rPr>
          <w:noProof/>
          <w:sz w:val="20"/>
          <w:szCs w:val="24"/>
        </w:rPr>
        <w:t>57.</w:t>
      </w:r>
      <w:r w:rsidRPr="00AB1796">
        <w:rPr>
          <w:noProof/>
          <w:sz w:val="20"/>
          <w:szCs w:val="24"/>
        </w:rPr>
        <w:tab/>
        <w:t xml:space="preserve">Hochberg, Y. &amp; Benjamini, Y. More powerful procedures for multiple significance testing. </w:t>
      </w:r>
      <w:r w:rsidRPr="00AB1796">
        <w:rPr>
          <w:i/>
          <w:iCs/>
          <w:noProof/>
          <w:sz w:val="20"/>
          <w:szCs w:val="24"/>
        </w:rPr>
        <w:t>Stat. Med.</w:t>
      </w:r>
      <w:r w:rsidRPr="00AB1796">
        <w:rPr>
          <w:noProof/>
          <w:sz w:val="20"/>
          <w:szCs w:val="24"/>
        </w:rPr>
        <w:t xml:space="preserve"> (1990). doi:10.1002/sim.4780090710</w:t>
      </w:r>
    </w:p>
    <w:p w14:paraId="110ED23B" w14:textId="77777777" w:rsidR="00AB1796" w:rsidRPr="00AB1796" w:rsidRDefault="00AB1796" w:rsidP="00AB1796">
      <w:pPr>
        <w:adjustRightInd w:val="0"/>
        <w:spacing w:before="100"/>
        <w:ind w:left="640" w:hanging="640"/>
        <w:rPr>
          <w:noProof/>
          <w:sz w:val="20"/>
          <w:szCs w:val="24"/>
        </w:rPr>
      </w:pPr>
      <w:r w:rsidRPr="00AB1796">
        <w:rPr>
          <w:noProof/>
          <w:sz w:val="20"/>
          <w:szCs w:val="24"/>
        </w:rPr>
        <w:t>58.</w:t>
      </w:r>
      <w:r w:rsidRPr="00AB1796">
        <w:rPr>
          <w:noProof/>
          <w:sz w:val="20"/>
          <w:szCs w:val="24"/>
        </w:rPr>
        <w:tab/>
        <w:t xml:space="preserve">Rasch, B. &amp; Born, J. About sleep’s role in memory. </w:t>
      </w:r>
      <w:r w:rsidRPr="00AB1796">
        <w:rPr>
          <w:i/>
          <w:iCs/>
          <w:noProof/>
          <w:sz w:val="20"/>
          <w:szCs w:val="24"/>
        </w:rPr>
        <w:t>Physiol. Rev.</w:t>
      </w:r>
      <w:r w:rsidRPr="00AB1796">
        <w:rPr>
          <w:noProof/>
          <w:sz w:val="20"/>
          <w:szCs w:val="24"/>
        </w:rPr>
        <w:t xml:space="preserve"> (2013). doi:10.1152/physrev.00032.2012</w:t>
      </w:r>
    </w:p>
    <w:p w14:paraId="00A3DEA7" w14:textId="77777777" w:rsidR="00AB1796" w:rsidRPr="00AB1796" w:rsidRDefault="00AB1796" w:rsidP="00AB1796">
      <w:pPr>
        <w:adjustRightInd w:val="0"/>
        <w:spacing w:before="100"/>
        <w:ind w:left="640" w:hanging="640"/>
        <w:rPr>
          <w:noProof/>
          <w:sz w:val="20"/>
          <w:szCs w:val="24"/>
        </w:rPr>
      </w:pPr>
      <w:r w:rsidRPr="00AB1796">
        <w:rPr>
          <w:noProof/>
          <w:sz w:val="20"/>
          <w:szCs w:val="24"/>
        </w:rPr>
        <w:t>59.</w:t>
      </w:r>
      <w:r w:rsidRPr="00AB1796">
        <w:rPr>
          <w:noProof/>
          <w:sz w:val="20"/>
          <w:szCs w:val="24"/>
        </w:rPr>
        <w:tab/>
        <w:t xml:space="preserve">Davis, M. H. &amp; Gaskell, M. G. A complementary systems account of word learning: Neural and behavioural evidence. </w:t>
      </w:r>
      <w:r w:rsidRPr="00AB1796">
        <w:rPr>
          <w:i/>
          <w:iCs/>
          <w:noProof/>
          <w:sz w:val="20"/>
          <w:szCs w:val="24"/>
        </w:rPr>
        <w:t>Philosophical Transactions of the Royal Society B: Biological Sciences</w:t>
      </w:r>
      <w:r w:rsidRPr="00AB1796">
        <w:rPr>
          <w:noProof/>
          <w:sz w:val="20"/>
          <w:szCs w:val="24"/>
        </w:rPr>
        <w:t xml:space="preserve"> </w:t>
      </w:r>
      <w:r w:rsidRPr="00AB1796">
        <w:rPr>
          <w:b/>
          <w:bCs/>
          <w:noProof/>
          <w:sz w:val="20"/>
          <w:szCs w:val="24"/>
        </w:rPr>
        <w:t>364</w:t>
      </w:r>
      <w:r w:rsidRPr="00AB1796">
        <w:rPr>
          <w:noProof/>
          <w:sz w:val="20"/>
          <w:szCs w:val="24"/>
        </w:rPr>
        <w:t>, 3773–3800 (2009).</w:t>
      </w:r>
    </w:p>
    <w:p w14:paraId="29A16F81" w14:textId="77777777" w:rsidR="00AB1796" w:rsidRPr="00AB1796" w:rsidRDefault="00AB1796" w:rsidP="00AB1796">
      <w:pPr>
        <w:adjustRightInd w:val="0"/>
        <w:spacing w:before="100"/>
        <w:ind w:left="640" w:hanging="640"/>
        <w:rPr>
          <w:noProof/>
          <w:sz w:val="20"/>
          <w:szCs w:val="24"/>
        </w:rPr>
      </w:pPr>
      <w:r w:rsidRPr="00AB1796">
        <w:rPr>
          <w:noProof/>
          <w:sz w:val="20"/>
          <w:szCs w:val="24"/>
        </w:rPr>
        <w:t>60.</w:t>
      </w:r>
      <w:r w:rsidRPr="00AB1796">
        <w:rPr>
          <w:noProof/>
          <w:sz w:val="20"/>
          <w:szCs w:val="24"/>
        </w:rPr>
        <w:tab/>
        <w:t xml:space="preserve">Binder, J. R. The Wernicke area: Modern evidence and a reinterpretation. </w:t>
      </w:r>
      <w:r w:rsidRPr="00AB1796">
        <w:rPr>
          <w:i/>
          <w:iCs/>
          <w:noProof/>
          <w:sz w:val="20"/>
          <w:szCs w:val="24"/>
        </w:rPr>
        <w:t>Neurology</w:t>
      </w:r>
      <w:r w:rsidRPr="00AB1796">
        <w:rPr>
          <w:noProof/>
          <w:sz w:val="20"/>
          <w:szCs w:val="24"/>
        </w:rPr>
        <w:t xml:space="preserve"> (2015). doi:10.1212/WNL.0000000000002219</w:t>
      </w:r>
    </w:p>
    <w:p w14:paraId="313F829B" w14:textId="77777777" w:rsidR="00AB1796" w:rsidRPr="00AB1796" w:rsidRDefault="00AB1796" w:rsidP="00AB1796">
      <w:pPr>
        <w:adjustRightInd w:val="0"/>
        <w:spacing w:before="100"/>
        <w:ind w:left="640" w:hanging="640"/>
        <w:rPr>
          <w:noProof/>
          <w:sz w:val="20"/>
          <w:szCs w:val="24"/>
        </w:rPr>
      </w:pPr>
      <w:r w:rsidRPr="00AB1796">
        <w:rPr>
          <w:noProof/>
          <w:sz w:val="20"/>
          <w:szCs w:val="24"/>
        </w:rPr>
        <w:t>61.</w:t>
      </w:r>
      <w:r w:rsidRPr="00AB1796">
        <w:rPr>
          <w:noProof/>
          <w:sz w:val="20"/>
          <w:szCs w:val="24"/>
        </w:rPr>
        <w:tab/>
        <w:t xml:space="preserve">Hoffman, P., Binney, R. J. &amp; Lambon Ralph, M. A. Differing contributions of inferior prefrontal and anterior temporal cortex to concrete and abstract conceptual knowledge. </w:t>
      </w:r>
      <w:r w:rsidRPr="00AB1796">
        <w:rPr>
          <w:i/>
          <w:iCs/>
          <w:noProof/>
          <w:sz w:val="20"/>
          <w:szCs w:val="24"/>
        </w:rPr>
        <w:t>Cortex</w:t>
      </w:r>
      <w:r w:rsidRPr="00AB1796">
        <w:rPr>
          <w:noProof/>
          <w:sz w:val="20"/>
          <w:szCs w:val="24"/>
        </w:rPr>
        <w:t xml:space="preserve"> </w:t>
      </w:r>
      <w:r w:rsidRPr="00AB1796">
        <w:rPr>
          <w:b/>
          <w:bCs/>
          <w:noProof/>
          <w:sz w:val="20"/>
          <w:szCs w:val="24"/>
        </w:rPr>
        <w:t>63</w:t>
      </w:r>
      <w:r w:rsidRPr="00AB1796">
        <w:rPr>
          <w:noProof/>
          <w:sz w:val="20"/>
          <w:szCs w:val="24"/>
        </w:rPr>
        <w:t>, 250–266 (2015).</w:t>
      </w:r>
    </w:p>
    <w:p w14:paraId="6C823202" w14:textId="77777777" w:rsidR="00AB1796" w:rsidRPr="00AB1796" w:rsidRDefault="00AB1796" w:rsidP="00AB1796">
      <w:pPr>
        <w:adjustRightInd w:val="0"/>
        <w:spacing w:before="100"/>
        <w:ind w:left="640" w:hanging="640"/>
        <w:rPr>
          <w:noProof/>
          <w:sz w:val="20"/>
          <w:szCs w:val="24"/>
        </w:rPr>
      </w:pPr>
      <w:r w:rsidRPr="00AB1796">
        <w:rPr>
          <w:noProof/>
          <w:sz w:val="20"/>
          <w:szCs w:val="24"/>
        </w:rPr>
        <w:t>62.</w:t>
      </w:r>
      <w:r w:rsidRPr="00AB1796">
        <w:rPr>
          <w:noProof/>
          <w:sz w:val="20"/>
          <w:szCs w:val="24"/>
        </w:rPr>
        <w:tab/>
        <w:t xml:space="preserve">Papagno, C., Martello, G. &amp; Mattavelli, G. The neural correlates of abstract and concrete words: Evidence from brain-damaged patients. </w:t>
      </w:r>
      <w:r w:rsidRPr="00AB1796">
        <w:rPr>
          <w:i/>
          <w:iCs/>
          <w:noProof/>
          <w:sz w:val="20"/>
          <w:szCs w:val="24"/>
        </w:rPr>
        <w:t>Brain Sci.</w:t>
      </w:r>
      <w:r w:rsidRPr="00AB1796">
        <w:rPr>
          <w:noProof/>
          <w:sz w:val="20"/>
          <w:szCs w:val="24"/>
        </w:rPr>
        <w:t xml:space="preserve"> (2013). doi:10.3390/brainsci3031229</w:t>
      </w:r>
    </w:p>
    <w:p w14:paraId="59C57A0A" w14:textId="77777777" w:rsidR="00AB1796" w:rsidRPr="00AB1796" w:rsidRDefault="00AB1796" w:rsidP="00AB1796">
      <w:pPr>
        <w:adjustRightInd w:val="0"/>
        <w:spacing w:before="100"/>
        <w:ind w:left="640" w:hanging="640"/>
        <w:rPr>
          <w:noProof/>
          <w:sz w:val="20"/>
          <w:szCs w:val="24"/>
        </w:rPr>
      </w:pPr>
      <w:r w:rsidRPr="00AB1796">
        <w:rPr>
          <w:noProof/>
          <w:sz w:val="20"/>
          <w:szCs w:val="24"/>
        </w:rPr>
        <w:t>63.</w:t>
      </w:r>
      <w:r w:rsidRPr="00AB1796">
        <w:rPr>
          <w:noProof/>
          <w:sz w:val="20"/>
          <w:szCs w:val="24"/>
        </w:rPr>
        <w:tab/>
        <w:t xml:space="preserve">Skipper-Kallal, L. M., Mirman, D. &amp; Olson, I. R. Converging evidence from fMRI and aphasia that the left temporoparietal cortex has an essential role in representing abstract semantic knowledge. </w:t>
      </w:r>
      <w:r w:rsidRPr="00AB1796">
        <w:rPr>
          <w:i/>
          <w:iCs/>
          <w:noProof/>
          <w:sz w:val="20"/>
          <w:szCs w:val="24"/>
        </w:rPr>
        <w:t>Cortex</w:t>
      </w:r>
      <w:r w:rsidRPr="00AB1796">
        <w:rPr>
          <w:noProof/>
          <w:sz w:val="20"/>
          <w:szCs w:val="24"/>
        </w:rPr>
        <w:t xml:space="preserve"> (2015). doi:10.1016/j.cortex.2015.04.021</w:t>
      </w:r>
    </w:p>
    <w:p w14:paraId="07E7A4E2" w14:textId="77777777" w:rsidR="00AB1796" w:rsidRPr="00AB1796" w:rsidRDefault="00AB1796" w:rsidP="00AB1796">
      <w:pPr>
        <w:adjustRightInd w:val="0"/>
        <w:spacing w:before="100"/>
        <w:ind w:left="640" w:hanging="640"/>
        <w:rPr>
          <w:noProof/>
          <w:sz w:val="20"/>
          <w:szCs w:val="24"/>
        </w:rPr>
      </w:pPr>
      <w:r w:rsidRPr="00AB1796">
        <w:rPr>
          <w:noProof/>
          <w:sz w:val="20"/>
          <w:szCs w:val="24"/>
        </w:rPr>
        <w:t>64.</w:t>
      </w:r>
      <w:r w:rsidRPr="00AB1796">
        <w:rPr>
          <w:noProof/>
          <w:sz w:val="20"/>
          <w:szCs w:val="24"/>
        </w:rPr>
        <w:tab/>
        <w:t xml:space="preserve">Binder, J. R., Westbury, C. F., McKiernan, K. A., Possing, E. T. &amp; Medler, D. A. Distinct Brain Systems for Processing Concrete and Abstract Concepts. </w:t>
      </w:r>
      <w:r w:rsidRPr="00AB1796">
        <w:rPr>
          <w:i/>
          <w:iCs/>
          <w:noProof/>
          <w:sz w:val="20"/>
          <w:szCs w:val="24"/>
        </w:rPr>
        <w:t>J. Cogn. Neurosci.</w:t>
      </w:r>
      <w:r w:rsidRPr="00AB1796">
        <w:rPr>
          <w:noProof/>
          <w:sz w:val="20"/>
          <w:szCs w:val="24"/>
        </w:rPr>
        <w:t xml:space="preserve"> </w:t>
      </w:r>
      <w:r w:rsidRPr="00AB1796">
        <w:rPr>
          <w:b/>
          <w:bCs/>
          <w:noProof/>
          <w:sz w:val="20"/>
          <w:szCs w:val="24"/>
        </w:rPr>
        <w:t>17</w:t>
      </w:r>
      <w:r w:rsidRPr="00AB1796">
        <w:rPr>
          <w:noProof/>
          <w:sz w:val="20"/>
          <w:szCs w:val="24"/>
        </w:rPr>
        <w:t>, 905–917 (2005).</w:t>
      </w:r>
    </w:p>
    <w:p w14:paraId="5CAD1E02" w14:textId="77777777" w:rsidR="00AB1796" w:rsidRPr="00AB1796" w:rsidRDefault="00AB1796" w:rsidP="00AB1796">
      <w:pPr>
        <w:adjustRightInd w:val="0"/>
        <w:spacing w:before="100"/>
        <w:ind w:left="640" w:hanging="640"/>
        <w:rPr>
          <w:noProof/>
          <w:sz w:val="20"/>
          <w:szCs w:val="24"/>
        </w:rPr>
      </w:pPr>
      <w:r w:rsidRPr="00AB1796">
        <w:rPr>
          <w:noProof/>
          <w:sz w:val="20"/>
          <w:szCs w:val="24"/>
        </w:rPr>
        <w:t>65.</w:t>
      </w:r>
      <w:r w:rsidRPr="00AB1796">
        <w:rPr>
          <w:noProof/>
          <w:sz w:val="20"/>
          <w:szCs w:val="24"/>
        </w:rPr>
        <w:tab/>
        <w:t xml:space="preserve">Mårtensson, F., Roll, M., Apt, P. &amp; Horne, M. Modeling the meaning of words: Neural correlates of abstract and concrete noun processing. </w:t>
      </w:r>
      <w:r w:rsidRPr="00AB1796">
        <w:rPr>
          <w:i/>
          <w:iCs/>
          <w:noProof/>
          <w:sz w:val="20"/>
          <w:szCs w:val="24"/>
        </w:rPr>
        <w:t>Acta Neurobiol. Exp. (Wars).</w:t>
      </w:r>
      <w:r w:rsidRPr="00AB1796">
        <w:rPr>
          <w:noProof/>
          <w:sz w:val="20"/>
          <w:szCs w:val="24"/>
        </w:rPr>
        <w:t xml:space="preserve"> (2011). doi:10.3389/conf.fnins.2010.14.00113</w:t>
      </w:r>
    </w:p>
    <w:p w14:paraId="78651D7F" w14:textId="77777777" w:rsidR="00AB1796" w:rsidRPr="00AB1796" w:rsidRDefault="00AB1796" w:rsidP="00AB1796">
      <w:pPr>
        <w:adjustRightInd w:val="0"/>
        <w:spacing w:before="100"/>
        <w:ind w:left="640" w:hanging="640"/>
        <w:rPr>
          <w:noProof/>
          <w:sz w:val="20"/>
          <w:szCs w:val="24"/>
        </w:rPr>
      </w:pPr>
      <w:r w:rsidRPr="00AB1796">
        <w:rPr>
          <w:noProof/>
          <w:sz w:val="20"/>
          <w:szCs w:val="24"/>
        </w:rPr>
        <w:t>66.</w:t>
      </w:r>
      <w:r w:rsidRPr="00AB1796">
        <w:rPr>
          <w:noProof/>
          <w:sz w:val="20"/>
          <w:szCs w:val="24"/>
        </w:rPr>
        <w:tab/>
        <w:t xml:space="preserve">Roll, M. </w:t>
      </w:r>
      <w:r w:rsidRPr="00AB1796">
        <w:rPr>
          <w:i/>
          <w:iCs/>
          <w:noProof/>
          <w:sz w:val="20"/>
          <w:szCs w:val="24"/>
        </w:rPr>
        <w:t>et al.</w:t>
      </w:r>
      <w:r w:rsidRPr="00AB1796">
        <w:rPr>
          <w:noProof/>
          <w:sz w:val="20"/>
          <w:szCs w:val="24"/>
        </w:rPr>
        <w:t xml:space="preserve"> Atypical associations to abstract words in Broca’s aphasia. </w:t>
      </w:r>
      <w:r w:rsidRPr="00AB1796">
        <w:rPr>
          <w:i/>
          <w:iCs/>
          <w:noProof/>
          <w:sz w:val="20"/>
          <w:szCs w:val="24"/>
        </w:rPr>
        <w:t>Cortex</w:t>
      </w:r>
      <w:r w:rsidRPr="00AB1796">
        <w:rPr>
          <w:noProof/>
          <w:sz w:val="20"/>
          <w:szCs w:val="24"/>
        </w:rPr>
        <w:t xml:space="preserve"> (2012). doi:10.1016/j.cortex.2011.11.009</w:t>
      </w:r>
    </w:p>
    <w:p w14:paraId="5A298B1E" w14:textId="77777777" w:rsidR="00AB1796" w:rsidRPr="00AB1796" w:rsidRDefault="00AB1796" w:rsidP="00AB1796">
      <w:pPr>
        <w:adjustRightInd w:val="0"/>
        <w:spacing w:before="100"/>
        <w:ind w:left="640" w:hanging="640"/>
        <w:rPr>
          <w:noProof/>
          <w:sz w:val="20"/>
          <w:szCs w:val="24"/>
        </w:rPr>
      </w:pPr>
      <w:r w:rsidRPr="00AB1796">
        <w:rPr>
          <w:noProof/>
          <w:sz w:val="20"/>
          <w:szCs w:val="24"/>
        </w:rPr>
        <w:t>67.</w:t>
      </w:r>
      <w:r w:rsidRPr="00AB1796">
        <w:rPr>
          <w:noProof/>
          <w:sz w:val="20"/>
          <w:szCs w:val="24"/>
        </w:rPr>
        <w:tab/>
        <w:t xml:space="preserve">Sabsevitz, D. S., Medler, D. A., Seidenberg, M. &amp; Binder, J. R. Modulation of the semantic system by word imageability. </w:t>
      </w:r>
      <w:r w:rsidRPr="00AB1796">
        <w:rPr>
          <w:i/>
          <w:iCs/>
          <w:noProof/>
          <w:sz w:val="20"/>
          <w:szCs w:val="24"/>
        </w:rPr>
        <w:t>Neuroimage</w:t>
      </w:r>
      <w:r w:rsidRPr="00AB1796">
        <w:rPr>
          <w:noProof/>
          <w:sz w:val="20"/>
          <w:szCs w:val="24"/>
        </w:rPr>
        <w:t xml:space="preserve"> (2005). doi:10.1016/j.neuroimage.2005.04.012</w:t>
      </w:r>
    </w:p>
    <w:p w14:paraId="06CAF304" w14:textId="77777777" w:rsidR="00AB1796" w:rsidRPr="00AB1796" w:rsidRDefault="00AB1796" w:rsidP="00AB1796">
      <w:pPr>
        <w:adjustRightInd w:val="0"/>
        <w:spacing w:before="100"/>
        <w:ind w:left="640" w:hanging="640"/>
        <w:rPr>
          <w:noProof/>
          <w:sz w:val="20"/>
          <w:szCs w:val="24"/>
        </w:rPr>
      </w:pPr>
      <w:r w:rsidRPr="00AB1796">
        <w:rPr>
          <w:noProof/>
          <w:sz w:val="20"/>
          <w:szCs w:val="24"/>
        </w:rPr>
        <w:t>68.</w:t>
      </w:r>
      <w:r w:rsidRPr="00AB1796">
        <w:rPr>
          <w:noProof/>
          <w:sz w:val="20"/>
          <w:szCs w:val="24"/>
        </w:rPr>
        <w:tab/>
        <w:t xml:space="preserve">Humphreys, G. W., Riddoch, M. J. &amp; Price, C. J. Top-down processes in object identification: Evidence from experimental psychology, neuropsychology and functional anatomy. </w:t>
      </w:r>
      <w:r w:rsidRPr="00AB1796">
        <w:rPr>
          <w:i/>
          <w:iCs/>
          <w:noProof/>
          <w:sz w:val="20"/>
          <w:szCs w:val="24"/>
        </w:rPr>
        <w:t>Philosophical Transactions of the Royal Society B: Biological Sciences</w:t>
      </w:r>
      <w:r w:rsidRPr="00AB1796">
        <w:rPr>
          <w:noProof/>
          <w:sz w:val="20"/>
          <w:szCs w:val="24"/>
        </w:rPr>
        <w:t xml:space="preserve"> (1997). doi:10.1098/rstb.1997.0110</w:t>
      </w:r>
    </w:p>
    <w:p w14:paraId="32D99042" w14:textId="77777777" w:rsidR="00AB1796" w:rsidRPr="00AB1796" w:rsidRDefault="00AB1796" w:rsidP="00AB1796">
      <w:pPr>
        <w:adjustRightInd w:val="0"/>
        <w:spacing w:before="100"/>
        <w:ind w:left="640" w:hanging="640"/>
        <w:rPr>
          <w:noProof/>
          <w:sz w:val="20"/>
          <w:szCs w:val="24"/>
        </w:rPr>
      </w:pPr>
      <w:r w:rsidRPr="00AB1796">
        <w:rPr>
          <w:noProof/>
          <w:sz w:val="20"/>
          <w:szCs w:val="24"/>
        </w:rPr>
        <w:t>69.</w:t>
      </w:r>
      <w:r w:rsidRPr="00AB1796">
        <w:rPr>
          <w:noProof/>
          <w:sz w:val="20"/>
          <w:szCs w:val="24"/>
        </w:rPr>
        <w:tab/>
        <w:t xml:space="preserve">Cattaneo, Z., Pisoni, A. &amp; Papagno, C. Transcranial direct current stimulation over Broca’s region improves phonemic and semantic fluency in healthy individuals. </w:t>
      </w:r>
      <w:r w:rsidRPr="00AB1796">
        <w:rPr>
          <w:i/>
          <w:iCs/>
          <w:noProof/>
          <w:sz w:val="20"/>
          <w:szCs w:val="24"/>
        </w:rPr>
        <w:t>Neuroscience</w:t>
      </w:r>
      <w:r w:rsidRPr="00AB1796">
        <w:rPr>
          <w:noProof/>
          <w:sz w:val="20"/>
          <w:szCs w:val="24"/>
        </w:rPr>
        <w:t xml:space="preserve"> (2011). doi:10.1016/j.neuroscience.2011.03.058</w:t>
      </w:r>
    </w:p>
    <w:p w14:paraId="5F800978" w14:textId="77777777" w:rsidR="00AB1796" w:rsidRPr="00AB1796" w:rsidRDefault="00AB1796" w:rsidP="00AB1796">
      <w:pPr>
        <w:adjustRightInd w:val="0"/>
        <w:spacing w:before="100"/>
        <w:ind w:left="640" w:hanging="640"/>
        <w:rPr>
          <w:noProof/>
          <w:sz w:val="20"/>
          <w:szCs w:val="24"/>
        </w:rPr>
      </w:pPr>
      <w:r w:rsidRPr="00AB1796">
        <w:rPr>
          <w:noProof/>
          <w:sz w:val="20"/>
          <w:szCs w:val="24"/>
        </w:rPr>
        <w:t>70.</w:t>
      </w:r>
      <w:r w:rsidRPr="00AB1796">
        <w:rPr>
          <w:noProof/>
          <w:sz w:val="20"/>
          <w:szCs w:val="24"/>
        </w:rPr>
        <w:tab/>
        <w:t xml:space="preserve">Fertonani, A., Rosini, S., Cotelli, M., Rossini, P. M. &amp; Miniussi, C. Naming facilitation induced by transcranial direct current stimulation. </w:t>
      </w:r>
      <w:r w:rsidRPr="00AB1796">
        <w:rPr>
          <w:i/>
          <w:iCs/>
          <w:noProof/>
          <w:sz w:val="20"/>
          <w:szCs w:val="24"/>
        </w:rPr>
        <w:t>Behav. Brain Res.</w:t>
      </w:r>
      <w:r w:rsidRPr="00AB1796">
        <w:rPr>
          <w:noProof/>
          <w:sz w:val="20"/>
          <w:szCs w:val="24"/>
        </w:rPr>
        <w:t xml:space="preserve"> (2010). doi:10.1016/j.bbr.2009.10.030</w:t>
      </w:r>
    </w:p>
    <w:p w14:paraId="4DF82419" w14:textId="77777777" w:rsidR="00AB1796" w:rsidRPr="00AB1796" w:rsidRDefault="00AB1796" w:rsidP="00AB1796">
      <w:pPr>
        <w:adjustRightInd w:val="0"/>
        <w:spacing w:before="100"/>
        <w:ind w:left="640" w:hanging="640"/>
        <w:rPr>
          <w:noProof/>
          <w:sz w:val="20"/>
          <w:szCs w:val="24"/>
        </w:rPr>
      </w:pPr>
      <w:r w:rsidRPr="00AB1796">
        <w:rPr>
          <w:noProof/>
          <w:sz w:val="20"/>
          <w:szCs w:val="24"/>
        </w:rPr>
        <w:lastRenderedPageBreak/>
        <w:t>71.</w:t>
      </w:r>
      <w:r w:rsidRPr="00AB1796">
        <w:rPr>
          <w:noProof/>
          <w:sz w:val="20"/>
          <w:szCs w:val="24"/>
        </w:rPr>
        <w:tab/>
        <w:t xml:space="preserve">Brunoni, A. R. </w:t>
      </w:r>
      <w:r w:rsidRPr="00AB1796">
        <w:rPr>
          <w:i/>
          <w:iCs/>
          <w:noProof/>
          <w:sz w:val="20"/>
          <w:szCs w:val="24"/>
        </w:rPr>
        <w:t>et al.</w:t>
      </w:r>
      <w:r w:rsidRPr="00AB1796">
        <w:rPr>
          <w:noProof/>
          <w:sz w:val="20"/>
          <w:szCs w:val="24"/>
        </w:rPr>
        <w:t xml:space="preserve"> Clinical research with transcranial direct current stimulation (tDCS): Challenges and future directions. </w:t>
      </w:r>
      <w:r w:rsidRPr="00AB1796">
        <w:rPr>
          <w:i/>
          <w:iCs/>
          <w:noProof/>
          <w:sz w:val="20"/>
          <w:szCs w:val="24"/>
        </w:rPr>
        <w:t>Brain Stimulation</w:t>
      </w:r>
      <w:r w:rsidRPr="00AB1796">
        <w:rPr>
          <w:noProof/>
          <w:sz w:val="20"/>
          <w:szCs w:val="24"/>
        </w:rPr>
        <w:t xml:space="preserve"> (2012). doi:10.1016/j.brs.2011.03.002</w:t>
      </w:r>
    </w:p>
    <w:p w14:paraId="438DB550" w14:textId="77777777" w:rsidR="00AB1796" w:rsidRPr="00AB1796" w:rsidRDefault="00AB1796" w:rsidP="00AB1796">
      <w:pPr>
        <w:adjustRightInd w:val="0"/>
        <w:spacing w:before="100"/>
        <w:ind w:left="640" w:hanging="640"/>
        <w:rPr>
          <w:noProof/>
          <w:sz w:val="20"/>
          <w:szCs w:val="24"/>
        </w:rPr>
      </w:pPr>
      <w:r w:rsidRPr="00AB1796">
        <w:rPr>
          <w:noProof/>
          <w:sz w:val="20"/>
          <w:szCs w:val="24"/>
        </w:rPr>
        <w:t>72.</w:t>
      </w:r>
      <w:r w:rsidRPr="00AB1796">
        <w:rPr>
          <w:noProof/>
          <w:sz w:val="20"/>
          <w:szCs w:val="24"/>
        </w:rPr>
        <w:tab/>
        <w:t xml:space="preserve">Ihara, A. S. </w:t>
      </w:r>
      <w:r w:rsidRPr="00AB1796">
        <w:rPr>
          <w:i/>
          <w:iCs/>
          <w:noProof/>
          <w:sz w:val="20"/>
          <w:szCs w:val="24"/>
        </w:rPr>
        <w:t>et al.</w:t>
      </w:r>
      <w:r w:rsidRPr="00AB1796">
        <w:rPr>
          <w:noProof/>
          <w:sz w:val="20"/>
          <w:szCs w:val="24"/>
        </w:rPr>
        <w:t xml:space="preserve"> Facilitated lexical ambiguity processing by transcranial direct current stimulation over the left inferior frontal cortex. </w:t>
      </w:r>
      <w:r w:rsidRPr="00AB1796">
        <w:rPr>
          <w:i/>
          <w:iCs/>
          <w:noProof/>
          <w:sz w:val="20"/>
          <w:szCs w:val="24"/>
        </w:rPr>
        <w:t>J. Cogn. Neurosci.</w:t>
      </w:r>
      <w:r w:rsidRPr="00AB1796">
        <w:rPr>
          <w:noProof/>
          <w:sz w:val="20"/>
          <w:szCs w:val="24"/>
        </w:rPr>
        <w:t xml:space="preserve"> (2015). doi:10.1162/jocn_a_00703</w:t>
      </w:r>
    </w:p>
    <w:p w14:paraId="2E719CEC" w14:textId="77777777" w:rsidR="00AB1796" w:rsidRPr="00AB1796" w:rsidRDefault="00AB1796" w:rsidP="00AB1796">
      <w:pPr>
        <w:adjustRightInd w:val="0"/>
        <w:spacing w:before="100"/>
        <w:ind w:left="640" w:hanging="640"/>
        <w:rPr>
          <w:noProof/>
          <w:sz w:val="20"/>
          <w:szCs w:val="24"/>
        </w:rPr>
      </w:pPr>
      <w:r w:rsidRPr="00AB1796">
        <w:rPr>
          <w:noProof/>
          <w:sz w:val="20"/>
          <w:szCs w:val="24"/>
        </w:rPr>
        <w:t>73.</w:t>
      </w:r>
      <w:r w:rsidRPr="00AB1796">
        <w:rPr>
          <w:noProof/>
          <w:sz w:val="20"/>
          <w:szCs w:val="24"/>
        </w:rPr>
        <w:tab/>
        <w:t xml:space="preserve">Gómez, R. L., Bootzin, R. R. &amp; Nadel, L. Naps promote abstraction in language-learning infants. </w:t>
      </w:r>
      <w:r w:rsidRPr="00AB1796">
        <w:rPr>
          <w:i/>
          <w:iCs/>
          <w:noProof/>
          <w:sz w:val="20"/>
          <w:szCs w:val="24"/>
        </w:rPr>
        <w:t>Psychol. Sci.</w:t>
      </w:r>
      <w:r w:rsidRPr="00AB1796">
        <w:rPr>
          <w:noProof/>
          <w:sz w:val="20"/>
          <w:szCs w:val="24"/>
        </w:rPr>
        <w:t xml:space="preserve"> (2006). doi:10.1111/j.1467-9280.2006.01764.x</w:t>
      </w:r>
    </w:p>
    <w:p w14:paraId="579DE1ED" w14:textId="77777777" w:rsidR="00AB1796" w:rsidRPr="00AB1796" w:rsidRDefault="00AB1796" w:rsidP="00AB1796">
      <w:pPr>
        <w:adjustRightInd w:val="0"/>
        <w:spacing w:before="100"/>
        <w:ind w:left="640" w:hanging="640"/>
        <w:rPr>
          <w:noProof/>
          <w:sz w:val="20"/>
          <w:szCs w:val="24"/>
        </w:rPr>
      </w:pPr>
      <w:r w:rsidRPr="00AB1796">
        <w:rPr>
          <w:noProof/>
          <w:sz w:val="20"/>
          <w:szCs w:val="24"/>
        </w:rPr>
        <w:t>74.</w:t>
      </w:r>
      <w:r w:rsidRPr="00AB1796">
        <w:rPr>
          <w:noProof/>
          <w:sz w:val="20"/>
          <w:szCs w:val="24"/>
        </w:rPr>
        <w:tab/>
        <w:t xml:space="preserve">Dumay, N. &amp; Gaskell, M. G. Sleep-associated changes in the mental representation of spoken words: Research report. </w:t>
      </w:r>
      <w:r w:rsidRPr="00AB1796">
        <w:rPr>
          <w:i/>
          <w:iCs/>
          <w:noProof/>
          <w:sz w:val="20"/>
          <w:szCs w:val="24"/>
        </w:rPr>
        <w:t>Psychol. Sci.</w:t>
      </w:r>
      <w:r w:rsidRPr="00AB1796">
        <w:rPr>
          <w:noProof/>
          <w:sz w:val="20"/>
          <w:szCs w:val="24"/>
        </w:rPr>
        <w:t xml:space="preserve"> (2007). doi:10.1111/j.1467-9280.2007.01845.x</w:t>
      </w:r>
    </w:p>
    <w:p w14:paraId="5EF112EB" w14:textId="77777777" w:rsidR="00AB1796" w:rsidRPr="00AB1796" w:rsidRDefault="00AB1796" w:rsidP="00AB1796">
      <w:pPr>
        <w:adjustRightInd w:val="0"/>
        <w:spacing w:before="100"/>
        <w:ind w:left="640" w:hanging="640"/>
        <w:rPr>
          <w:noProof/>
          <w:sz w:val="20"/>
        </w:rPr>
      </w:pPr>
      <w:r w:rsidRPr="00AB1796">
        <w:rPr>
          <w:noProof/>
          <w:sz w:val="20"/>
          <w:szCs w:val="24"/>
        </w:rPr>
        <w:t>75.</w:t>
      </w:r>
      <w:r w:rsidRPr="00AB1796">
        <w:rPr>
          <w:noProof/>
          <w:sz w:val="20"/>
          <w:szCs w:val="24"/>
        </w:rPr>
        <w:tab/>
        <w:t xml:space="preserve">Henderson, L. M., Weighall, A. R., Brown, H. &amp; Gaskell, M. G. Consolidation of vocabulary is associated with sleep in children. </w:t>
      </w:r>
      <w:r w:rsidRPr="00AB1796">
        <w:rPr>
          <w:i/>
          <w:iCs/>
          <w:noProof/>
          <w:sz w:val="20"/>
          <w:szCs w:val="24"/>
        </w:rPr>
        <w:t>Dev. Sci.</w:t>
      </w:r>
      <w:r w:rsidRPr="00AB1796">
        <w:rPr>
          <w:noProof/>
          <w:sz w:val="20"/>
          <w:szCs w:val="24"/>
        </w:rPr>
        <w:t xml:space="preserve"> (2012). doi:10.1111/j.1467-7687.2012.01172.x</w:t>
      </w:r>
    </w:p>
    <w:p w14:paraId="5A43A461" w14:textId="710A381A" w:rsidR="0066397A" w:rsidRPr="007D0CB1" w:rsidRDefault="00591DF0" w:rsidP="00AB1796">
      <w:pPr>
        <w:adjustRightInd w:val="0"/>
        <w:spacing w:before="100"/>
        <w:ind w:left="640" w:hanging="640"/>
      </w:pPr>
      <w:r w:rsidRPr="00591DF0">
        <w:fldChar w:fldCharType="end"/>
      </w:r>
      <w:bookmarkStart w:id="5" w:name="_bookmark0"/>
      <w:bookmarkEnd w:id="5"/>
    </w:p>
    <w:p w14:paraId="700602B0" w14:textId="2A18A0B0" w:rsidR="0066397A" w:rsidRDefault="007D0CB1">
      <w:pPr>
        <w:pStyle w:val="1"/>
      </w:pPr>
      <w:r>
        <w:t>Acknowledgements</w:t>
      </w:r>
    </w:p>
    <w:p w14:paraId="30D9F5EF" w14:textId="7171F8B5" w:rsidR="00212789" w:rsidRPr="00173E13" w:rsidRDefault="00212789" w:rsidP="00212789">
      <w:pPr>
        <w:pStyle w:val="a3"/>
        <w:spacing w:before="101" w:line="249" w:lineRule="auto"/>
        <w:ind w:left="133" w:right="111" w:hanging="8"/>
        <w:rPr>
          <w:u w:val="single"/>
        </w:rPr>
      </w:pPr>
      <w:r w:rsidRPr="00327603">
        <w:t>Supported by RF Government grant contract No.14.W03.31.0010.</w:t>
      </w:r>
      <w:r w:rsidR="00C115F1">
        <w:t xml:space="preserve"> </w:t>
      </w:r>
      <w:r w:rsidR="00C115F1" w:rsidRPr="00173E13">
        <w:rPr>
          <w:u w:val="single"/>
        </w:rPr>
        <w:t>We are grateful to the reviewers of this paper for the comments that were reflected in this article.</w:t>
      </w:r>
    </w:p>
    <w:p w14:paraId="327B6CB5" w14:textId="77777777" w:rsidR="0066397A" w:rsidRDefault="0066397A">
      <w:pPr>
        <w:pStyle w:val="a3"/>
        <w:spacing w:before="6"/>
        <w:rPr>
          <w:sz w:val="23"/>
        </w:rPr>
      </w:pPr>
    </w:p>
    <w:p w14:paraId="44061E4A" w14:textId="77777777" w:rsidR="0066397A" w:rsidRDefault="00AE2457">
      <w:pPr>
        <w:pStyle w:val="1"/>
      </w:pPr>
      <w:r>
        <w:t>Author contributions statement</w:t>
      </w:r>
    </w:p>
    <w:p w14:paraId="3BCBF7C5" w14:textId="6C0C2F60" w:rsidR="00B92669" w:rsidRPr="00B92669" w:rsidRDefault="00B92669">
      <w:pPr>
        <w:pStyle w:val="a3"/>
        <w:spacing w:before="101" w:line="249" w:lineRule="auto"/>
        <w:ind w:left="133" w:right="79"/>
      </w:pPr>
      <w:r w:rsidRPr="00B92669">
        <w:t>S.K. and Y.S. conceived the experiment, D.K., D.G. and N.M. conducted the experiment, E.B., D.K., D.G., and N.M. </w:t>
      </w:r>
      <w:proofErr w:type="spellStart"/>
      <w:r w:rsidRPr="00B92669">
        <w:t>analysed</w:t>
      </w:r>
      <w:proofErr w:type="spellEnd"/>
      <w:r w:rsidRPr="00B92669">
        <w:t xml:space="preserve"> the results. All authors</w:t>
      </w:r>
      <w:r w:rsidR="00771C42">
        <w:t xml:space="preserve"> wrote and</w:t>
      </w:r>
      <w:r w:rsidRPr="00B92669">
        <w:t xml:space="preserve"> reviewed the manuscript.</w:t>
      </w:r>
    </w:p>
    <w:p w14:paraId="51233538" w14:textId="77777777" w:rsidR="0066397A" w:rsidRDefault="0066397A">
      <w:pPr>
        <w:pStyle w:val="a3"/>
        <w:spacing w:before="6"/>
        <w:rPr>
          <w:sz w:val="23"/>
        </w:rPr>
      </w:pPr>
    </w:p>
    <w:p w14:paraId="5A909408" w14:textId="23632156" w:rsidR="0066397A" w:rsidRPr="00F3042F" w:rsidRDefault="00AE2457" w:rsidP="00F3042F">
      <w:pPr>
        <w:pStyle w:val="1"/>
      </w:pPr>
      <w:r>
        <w:t>Additional information</w:t>
      </w:r>
    </w:p>
    <w:p w14:paraId="747D5740" w14:textId="3D96F3E0" w:rsidR="0090365D" w:rsidRPr="0090365D" w:rsidRDefault="0090365D" w:rsidP="0090365D">
      <w:pPr>
        <w:spacing w:before="228"/>
        <w:ind w:left="133"/>
        <w:rPr>
          <w:rFonts w:ascii="Arial"/>
          <w:b/>
          <w:sz w:val="20"/>
        </w:rPr>
      </w:pPr>
      <w:r w:rsidRPr="0090365D">
        <w:rPr>
          <w:rFonts w:ascii="Arial"/>
          <w:b/>
          <w:sz w:val="20"/>
        </w:rPr>
        <w:t>Competing interest statement</w:t>
      </w:r>
    </w:p>
    <w:p w14:paraId="0F4E42B3" w14:textId="3235A591" w:rsidR="0066397A" w:rsidRDefault="000C4887" w:rsidP="000E0B67">
      <w:pPr>
        <w:spacing w:before="101"/>
        <w:ind w:left="127"/>
      </w:pPr>
      <w:r w:rsidRPr="006B4908">
        <w:rPr>
          <w:sz w:val="20"/>
          <w:szCs w:val="20"/>
        </w:rPr>
        <w:t>The authors have</w:t>
      </w:r>
      <w:r w:rsidR="0090365D" w:rsidRPr="006B4908">
        <w:rPr>
          <w:sz w:val="20"/>
          <w:szCs w:val="20"/>
        </w:rPr>
        <w:t xml:space="preserve"> no competing interests</w:t>
      </w:r>
      <w:r w:rsidR="00675691" w:rsidRPr="006B4908">
        <w:rPr>
          <w:sz w:val="20"/>
          <w:szCs w:val="20"/>
        </w:rPr>
        <w:t xml:space="preserve">. </w:t>
      </w:r>
      <w:r w:rsidR="00AE2457" w:rsidRPr="006B4908">
        <w:rPr>
          <w:sz w:val="20"/>
          <w:szCs w:val="20"/>
        </w:rPr>
        <w:t>The</w:t>
      </w:r>
      <w:r w:rsidR="00AE2457" w:rsidRPr="006B4908">
        <w:rPr>
          <w:spacing w:val="-12"/>
          <w:sz w:val="20"/>
          <w:szCs w:val="20"/>
        </w:rPr>
        <w:t xml:space="preserve"> </w:t>
      </w:r>
      <w:r w:rsidR="00AE2457" w:rsidRPr="006B4908">
        <w:rPr>
          <w:sz w:val="20"/>
          <w:szCs w:val="20"/>
        </w:rPr>
        <w:t>corresponding</w:t>
      </w:r>
      <w:r w:rsidR="00AE2457" w:rsidRPr="006B4908">
        <w:rPr>
          <w:spacing w:val="-11"/>
          <w:sz w:val="20"/>
          <w:szCs w:val="20"/>
        </w:rPr>
        <w:t xml:space="preserve"> </w:t>
      </w:r>
      <w:r w:rsidR="00AE2457" w:rsidRPr="006B4908">
        <w:rPr>
          <w:sz w:val="20"/>
          <w:szCs w:val="20"/>
        </w:rPr>
        <w:t>author</w:t>
      </w:r>
      <w:r w:rsidR="00AE2457" w:rsidRPr="006B4908">
        <w:rPr>
          <w:spacing w:val="-11"/>
          <w:sz w:val="20"/>
          <w:szCs w:val="20"/>
        </w:rPr>
        <w:t xml:space="preserve"> </w:t>
      </w:r>
      <w:r w:rsidR="00AE2457" w:rsidRPr="006B4908">
        <w:rPr>
          <w:sz w:val="20"/>
          <w:szCs w:val="20"/>
        </w:rPr>
        <w:t>is</w:t>
      </w:r>
      <w:r w:rsidR="00AE2457" w:rsidRPr="006B4908">
        <w:rPr>
          <w:spacing w:val="-12"/>
          <w:sz w:val="20"/>
          <w:szCs w:val="20"/>
        </w:rPr>
        <w:t xml:space="preserve"> </w:t>
      </w:r>
      <w:r w:rsidR="00AE2457" w:rsidRPr="006B4908">
        <w:rPr>
          <w:sz w:val="20"/>
          <w:szCs w:val="20"/>
        </w:rPr>
        <w:t>responsible</w:t>
      </w:r>
      <w:r w:rsidR="00AE2457" w:rsidRPr="006B4908">
        <w:rPr>
          <w:spacing w:val="-11"/>
          <w:sz w:val="20"/>
          <w:szCs w:val="20"/>
        </w:rPr>
        <w:t xml:space="preserve"> </w:t>
      </w:r>
      <w:r w:rsidR="00AE2457" w:rsidRPr="006B4908">
        <w:rPr>
          <w:sz w:val="20"/>
          <w:szCs w:val="20"/>
        </w:rPr>
        <w:t>for</w:t>
      </w:r>
      <w:r w:rsidR="00AE2457" w:rsidRPr="006B4908">
        <w:rPr>
          <w:spacing w:val="-11"/>
          <w:sz w:val="20"/>
          <w:szCs w:val="20"/>
        </w:rPr>
        <w:t xml:space="preserve"> </w:t>
      </w:r>
      <w:r w:rsidR="00AE2457" w:rsidRPr="006B4908">
        <w:rPr>
          <w:sz w:val="20"/>
          <w:szCs w:val="20"/>
        </w:rPr>
        <w:t>submitting</w:t>
      </w:r>
      <w:r w:rsidR="00AE2457" w:rsidRPr="006B4908">
        <w:rPr>
          <w:spacing w:val="-12"/>
          <w:sz w:val="20"/>
          <w:szCs w:val="20"/>
        </w:rPr>
        <w:t xml:space="preserve"> </w:t>
      </w:r>
      <w:r w:rsidR="00AE2457" w:rsidRPr="006B4908">
        <w:rPr>
          <w:sz w:val="20"/>
          <w:szCs w:val="20"/>
        </w:rPr>
        <w:t>a</w:t>
      </w:r>
      <w:r w:rsidR="00AE2457" w:rsidRPr="006B4908">
        <w:rPr>
          <w:spacing w:val="-10"/>
          <w:sz w:val="20"/>
          <w:szCs w:val="20"/>
        </w:rPr>
        <w:t xml:space="preserve"> </w:t>
      </w:r>
      <w:hyperlink r:id="rId15" w:anchor="competing">
        <w:r w:rsidR="00AE2457" w:rsidRPr="006B4908">
          <w:rPr>
            <w:sz w:val="20"/>
            <w:szCs w:val="20"/>
          </w:rPr>
          <w:t>competing</w:t>
        </w:r>
        <w:r w:rsidR="00AE2457" w:rsidRPr="006B4908">
          <w:rPr>
            <w:spacing w:val="-12"/>
            <w:sz w:val="20"/>
            <w:szCs w:val="20"/>
          </w:rPr>
          <w:t xml:space="preserve"> </w:t>
        </w:r>
        <w:r w:rsidR="00AE2457" w:rsidRPr="006B4908">
          <w:rPr>
            <w:sz w:val="20"/>
            <w:szCs w:val="20"/>
          </w:rPr>
          <w:t>interests</w:t>
        </w:r>
        <w:r w:rsidR="00AE2457" w:rsidRPr="006B4908">
          <w:rPr>
            <w:spacing w:val="-11"/>
            <w:sz w:val="20"/>
            <w:szCs w:val="20"/>
          </w:rPr>
          <w:t xml:space="preserve"> </w:t>
        </w:r>
        <w:r w:rsidR="00AE2457" w:rsidRPr="006B4908">
          <w:rPr>
            <w:sz w:val="20"/>
            <w:szCs w:val="20"/>
          </w:rPr>
          <w:t>statement</w:t>
        </w:r>
        <w:r w:rsidR="00AE2457" w:rsidRPr="006B4908">
          <w:rPr>
            <w:spacing w:val="-11"/>
            <w:sz w:val="20"/>
            <w:szCs w:val="20"/>
          </w:rPr>
          <w:t xml:space="preserve"> </w:t>
        </w:r>
      </w:hyperlink>
      <w:r w:rsidR="00AE2457" w:rsidRPr="006B4908">
        <w:rPr>
          <w:sz w:val="20"/>
          <w:szCs w:val="20"/>
        </w:rPr>
        <w:t>on</w:t>
      </w:r>
      <w:r w:rsidR="00AE2457" w:rsidRPr="006B4908">
        <w:rPr>
          <w:spacing w:val="-12"/>
          <w:sz w:val="20"/>
          <w:szCs w:val="20"/>
        </w:rPr>
        <w:t xml:space="preserve"> </w:t>
      </w:r>
      <w:r w:rsidR="00AE2457" w:rsidRPr="006B4908">
        <w:rPr>
          <w:sz w:val="20"/>
          <w:szCs w:val="20"/>
        </w:rPr>
        <w:t>behalf</w:t>
      </w:r>
      <w:r w:rsidR="00AE2457" w:rsidRPr="006B4908">
        <w:rPr>
          <w:spacing w:val="-11"/>
          <w:sz w:val="20"/>
          <w:szCs w:val="20"/>
        </w:rPr>
        <w:t xml:space="preserve"> </w:t>
      </w:r>
      <w:r w:rsidR="00AE2457" w:rsidRPr="006B4908">
        <w:rPr>
          <w:sz w:val="20"/>
          <w:szCs w:val="20"/>
        </w:rPr>
        <w:t>of</w:t>
      </w:r>
      <w:r w:rsidR="00AE2457" w:rsidRPr="006B4908">
        <w:rPr>
          <w:spacing w:val="-11"/>
          <w:sz w:val="20"/>
          <w:szCs w:val="20"/>
        </w:rPr>
        <w:t xml:space="preserve"> </w:t>
      </w:r>
      <w:r w:rsidR="00AE2457" w:rsidRPr="006B4908">
        <w:rPr>
          <w:sz w:val="20"/>
          <w:szCs w:val="20"/>
        </w:rPr>
        <w:t>all</w:t>
      </w:r>
      <w:r w:rsidR="00AE2457" w:rsidRPr="006B4908">
        <w:rPr>
          <w:spacing w:val="-12"/>
          <w:sz w:val="20"/>
          <w:szCs w:val="20"/>
        </w:rPr>
        <w:t xml:space="preserve"> </w:t>
      </w:r>
      <w:r w:rsidR="00AE2457" w:rsidRPr="006B4908">
        <w:rPr>
          <w:sz w:val="20"/>
          <w:szCs w:val="20"/>
        </w:rPr>
        <w:t>authors</w:t>
      </w:r>
      <w:r w:rsidR="00AE2457" w:rsidRPr="006B4908">
        <w:rPr>
          <w:spacing w:val="-11"/>
          <w:sz w:val="20"/>
          <w:szCs w:val="20"/>
        </w:rPr>
        <w:t xml:space="preserve"> </w:t>
      </w:r>
      <w:r w:rsidR="00AE2457" w:rsidRPr="006B4908">
        <w:rPr>
          <w:sz w:val="20"/>
          <w:szCs w:val="20"/>
        </w:rPr>
        <w:t>of</w:t>
      </w:r>
      <w:r w:rsidR="00AE2457" w:rsidRPr="006B4908">
        <w:rPr>
          <w:spacing w:val="-11"/>
          <w:sz w:val="20"/>
          <w:szCs w:val="20"/>
        </w:rPr>
        <w:t xml:space="preserve"> </w:t>
      </w:r>
      <w:r w:rsidR="00AE2457" w:rsidRPr="006B4908">
        <w:rPr>
          <w:sz w:val="20"/>
          <w:szCs w:val="20"/>
        </w:rPr>
        <w:t>the</w:t>
      </w:r>
      <w:r w:rsidR="00AE2457" w:rsidRPr="006B4908">
        <w:rPr>
          <w:spacing w:val="-12"/>
          <w:sz w:val="20"/>
          <w:szCs w:val="20"/>
        </w:rPr>
        <w:t xml:space="preserve"> </w:t>
      </w:r>
      <w:r w:rsidR="00AE2457" w:rsidRPr="006B4908">
        <w:rPr>
          <w:sz w:val="20"/>
          <w:szCs w:val="20"/>
        </w:rPr>
        <w:t>paper.</w:t>
      </w:r>
      <w:bookmarkStart w:id="6" w:name="_bookmark2"/>
      <w:bookmarkStart w:id="7" w:name="_bookmark3"/>
      <w:bookmarkEnd w:id="6"/>
      <w:bookmarkEnd w:id="7"/>
    </w:p>
    <w:sectPr w:rsidR="0066397A" w:rsidSect="006E6682">
      <w:footerReference w:type="default" r:id="rId16"/>
      <w:pgSz w:w="12240" w:h="15840"/>
      <w:pgMar w:top="1500" w:right="980" w:bottom="840" w:left="1000" w:header="0" w:footer="648" w:gutter="0"/>
      <w:lnNumType w:countBy="1" w:restart="continuou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3DC73" w14:textId="77777777" w:rsidR="0050332A" w:rsidRDefault="0050332A">
      <w:r>
        <w:separator/>
      </w:r>
    </w:p>
  </w:endnote>
  <w:endnote w:type="continuationSeparator" w:id="0">
    <w:p w14:paraId="30025AA2" w14:textId="77777777" w:rsidR="0050332A" w:rsidRDefault="0050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66705" w14:textId="2C576A9F" w:rsidR="005B53D3" w:rsidRDefault="005B53D3">
    <w:pPr>
      <w:pStyle w:val="a3"/>
      <w:spacing w:line="14" w:lineRule="auto"/>
    </w:pPr>
    <w:r>
      <w:rPr>
        <w:noProof/>
        <w:lang w:bidi="ar-SA"/>
      </w:rPr>
      <mc:AlternateContent>
        <mc:Choice Requires="wps">
          <w:drawing>
            <wp:anchor distT="0" distB="0" distL="114300" distR="114300" simplePos="0" relativeHeight="251658240" behindDoc="1" locked="0" layoutInCell="1" allowOverlap="1" wp14:anchorId="460C8D13" wp14:editId="37BEB851">
              <wp:simplePos x="0" y="0"/>
              <wp:positionH relativeFrom="page">
                <wp:posOffset>6572250</wp:posOffset>
              </wp:positionH>
              <wp:positionV relativeFrom="page">
                <wp:posOffset>9506584</wp:posOffset>
              </wp:positionV>
              <wp:extent cx="492760" cy="247015"/>
              <wp:effectExtent l="0" t="0" r="15240" b="698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47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8CFE9F" w14:textId="4BD8AFE0" w:rsidR="005B53D3" w:rsidRPr="008C6A6E" w:rsidRDefault="005B53D3">
                          <w:pPr>
                            <w:spacing w:before="21"/>
                            <w:ind w:left="40"/>
                            <w:rPr>
                              <w:rFonts w:ascii="Arial"/>
                              <w:b/>
                              <w:sz w:val="18"/>
                              <w:lang w:val="ru-RU"/>
                            </w:rPr>
                          </w:pPr>
                          <w:r>
                            <w:fldChar w:fldCharType="begin"/>
                          </w:r>
                          <w:r>
                            <w:rPr>
                              <w:rFonts w:ascii="Arial"/>
                              <w:b/>
                              <w:sz w:val="18"/>
                            </w:rPr>
                            <w:instrText xml:space="preserve"> PAGE </w:instrText>
                          </w:r>
                          <w:r>
                            <w:fldChar w:fldCharType="separate"/>
                          </w:r>
                          <w:r w:rsidR="000E7FCE">
                            <w:rPr>
                              <w:rFonts w:ascii="Arial"/>
                              <w:b/>
                              <w:noProof/>
                              <w:sz w:val="18"/>
                            </w:rPr>
                            <w:t>12</w:t>
                          </w:r>
                          <w:r>
                            <w:fldChar w:fldCharType="end"/>
                          </w:r>
                          <w:r>
                            <w:rPr>
                              <w:rFonts w:ascii="Arial"/>
                              <w:b/>
                              <w:sz w:val="18"/>
                            </w:rPr>
                            <w:t>/</w:t>
                          </w:r>
                          <w:hyperlink w:anchor="_bookmark2" w:history="1">
                            <w:r>
                              <w:rPr>
                                <w:rFonts w:ascii="Arial"/>
                                <w:b/>
                                <w:color w:val="0000FF"/>
                                <w:sz w:val="18"/>
                              </w:rPr>
                              <w:t>1</w:t>
                            </w:r>
                          </w:hyperlink>
                          <w:r>
                            <w:rPr>
                              <w:rFonts w:ascii="Arial"/>
                              <w:b/>
                              <w:color w:val="0000FF"/>
                              <w:sz w:val="18"/>
                              <w:lang w:val="ru-RU"/>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C8D13" id="_x0000_t202" coordsize="21600,21600" o:spt="202" path="m,l,21600r21600,l21600,xe">
              <v:stroke joinstyle="miter"/>
              <v:path gradientshapeok="t" o:connecttype="rect"/>
            </v:shapetype>
            <v:shape id="Text Box 1" o:spid="_x0000_s1026" type="#_x0000_t202" style="position:absolute;margin-left:517.5pt;margin-top:748.55pt;width:38.8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" filled="f" stroked="f">
              <v:textbox inset="0,0,0,0">
                <w:txbxContent>
                  <w:p w14:paraId="6A8CFE9F" w14:textId="4BD8AFE0" w:rsidR="005B53D3" w:rsidRPr="008C6A6E" w:rsidRDefault="005B53D3">
                    <w:pPr>
                      <w:spacing w:before="21"/>
                      <w:ind w:left="40"/>
                      <w:rPr>
                        <w:rFonts w:ascii="Arial"/>
                        <w:b/>
                        <w:sz w:val="18"/>
                        <w:lang w:val="ru-RU"/>
                      </w:rPr>
                    </w:pPr>
                    <w:r>
                      <w:fldChar w:fldCharType="begin"/>
                    </w:r>
                    <w:r>
                      <w:rPr>
                        <w:rFonts w:ascii="Arial"/>
                        <w:b/>
                        <w:sz w:val="18"/>
                      </w:rPr>
                      <w:instrText xml:space="preserve"> PAGE </w:instrText>
                    </w:r>
                    <w:r>
                      <w:fldChar w:fldCharType="separate"/>
                    </w:r>
                    <w:r w:rsidR="000E7FCE">
                      <w:rPr>
                        <w:rFonts w:ascii="Arial"/>
                        <w:b/>
                        <w:noProof/>
                        <w:sz w:val="18"/>
                      </w:rPr>
                      <w:t>12</w:t>
                    </w:r>
                    <w:r>
                      <w:fldChar w:fldCharType="end"/>
                    </w:r>
                    <w:r>
                      <w:rPr>
                        <w:rFonts w:ascii="Arial"/>
                        <w:b/>
                        <w:sz w:val="18"/>
                      </w:rPr>
                      <w:t>/</w:t>
                    </w:r>
                    <w:hyperlink w:anchor="_bookmark2" w:history="1">
                      <w:r>
                        <w:rPr>
                          <w:rFonts w:ascii="Arial"/>
                          <w:b/>
                          <w:color w:val="0000FF"/>
                          <w:sz w:val="18"/>
                        </w:rPr>
                        <w:t>1</w:t>
                      </w:r>
                    </w:hyperlink>
                    <w:r>
                      <w:rPr>
                        <w:rFonts w:ascii="Arial"/>
                        <w:b/>
                        <w:color w:val="0000FF"/>
                        <w:sz w:val="18"/>
                        <w:lang w:val="ru-RU"/>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B353E" w14:textId="77777777" w:rsidR="0050332A" w:rsidRDefault="0050332A">
      <w:r>
        <w:separator/>
      </w:r>
    </w:p>
  </w:footnote>
  <w:footnote w:type="continuationSeparator" w:id="0">
    <w:p w14:paraId="5F6262C5" w14:textId="77777777" w:rsidR="0050332A" w:rsidRDefault="00503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F1A15"/>
    <w:multiLevelType w:val="hybridMultilevel"/>
    <w:tmpl w:val="806665D2"/>
    <w:lvl w:ilvl="0" w:tplc="999458B6">
      <w:numFmt w:val="bullet"/>
      <w:lvlText w:val="•"/>
      <w:lvlJc w:val="left"/>
      <w:pPr>
        <w:ind w:left="632" w:hanging="200"/>
      </w:pPr>
      <w:rPr>
        <w:rFonts w:ascii="Arial" w:eastAsia="Arial" w:hAnsi="Arial" w:cs="Arial" w:hint="default"/>
        <w:i/>
        <w:w w:val="142"/>
        <w:sz w:val="20"/>
        <w:szCs w:val="20"/>
        <w:lang w:val="en-US" w:eastAsia="en-US" w:bidi="en-US"/>
      </w:rPr>
    </w:lvl>
    <w:lvl w:ilvl="1" w:tplc="CA0824E8">
      <w:numFmt w:val="bullet"/>
      <w:lvlText w:val="•"/>
      <w:lvlJc w:val="left"/>
      <w:pPr>
        <w:ind w:left="1602" w:hanging="200"/>
      </w:pPr>
      <w:rPr>
        <w:rFonts w:hint="default"/>
        <w:lang w:val="en-US" w:eastAsia="en-US" w:bidi="en-US"/>
      </w:rPr>
    </w:lvl>
    <w:lvl w:ilvl="2" w:tplc="521EBD36">
      <w:numFmt w:val="bullet"/>
      <w:lvlText w:val="•"/>
      <w:lvlJc w:val="left"/>
      <w:pPr>
        <w:ind w:left="2564" w:hanging="200"/>
      </w:pPr>
      <w:rPr>
        <w:rFonts w:hint="default"/>
        <w:lang w:val="en-US" w:eastAsia="en-US" w:bidi="en-US"/>
      </w:rPr>
    </w:lvl>
    <w:lvl w:ilvl="3" w:tplc="537652FE">
      <w:numFmt w:val="bullet"/>
      <w:lvlText w:val="•"/>
      <w:lvlJc w:val="left"/>
      <w:pPr>
        <w:ind w:left="3526" w:hanging="200"/>
      </w:pPr>
      <w:rPr>
        <w:rFonts w:hint="default"/>
        <w:lang w:val="en-US" w:eastAsia="en-US" w:bidi="en-US"/>
      </w:rPr>
    </w:lvl>
    <w:lvl w:ilvl="4" w:tplc="51905406">
      <w:numFmt w:val="bullet"/>
      <w:lvlText w:val="•"/>
      <w:lvlJc w:val="left"/>
      <w:pPr>
        <w:ind w:left="4488" w:hanging="200"/>
      </w:pPr>
      <w:rPr>
        <w:rFonts w:hint="default"/>
        <w:lang w:val="en-US" w:eastAsia="en-US" w:bidi="en-US"/>
      </w:rPr>
    </w:lvl>
    <w:lvl w:ilvl="5" w:tplc="F7AE5502">
      <w:numFmt w:val="bullet"/>
      <w:lvlText w:val="•"/>
      <w:lvlJc w:val="left"/>
      <w:pPr>
        <w:ind w:left="5450" w:hanging="200"/>
      </w:pPr>
      <w:rPr>
        <w:rFonts w:hint="default"/>
        <w:lang w:val="en-US" w:eastAsia="en-US" w:bidi="en-US"/>
      </w:rPr>
    </w:lvl>
    <w:lvl w:ilvl="6" w:tplc="9A8455E0">
      <w:numFmt w:val="bullet"/>
      <w:lvlText w:val="•"/>
      <w:lvlJc w:val="left"/>
      <w:pPr>
        <w:ind w:left="6412" w:hanging="200"/>
      </w:pPr>
      <w:rPr>
        <w:rFonts w:hint="default"/>
        <w:lang w:val="en-US" w:eastAsia="en-US" w:bidi="en-US"/>
      </w:rPr>
    </w:lvl>
    <w:lvl w:ilvl="7" w:tplc="D6E49596">
      <w:numFmt w:val="bullet"/>
      <w:lvlText w:val="•"/>
      <w:lvlJc w:val="left"/>
      <w:pPr>
        <w:ind w:left="7374" w:hanging="200"/>
      </w:pPr>
      <w:rPr>
        <w:rFonts w:hint="default"/>
        <w:lang w:val="en-US" w:eastAsia="en-US" w:bidi="en-US"/>
      </w:rPr>
    </w:lvl>
    <w:lvl w:ilvl="8" w:tplc="0F6279CE">
      <w:numFmt w:val="bullet"/>
      <w:lvlText w:val="•"/>
      <w:lvlJc w:val="left"/>
      <w:pPr>
        <w:ind w:left="8336" w:hanging="200"/>
      </w:pPr>
      <w:rPr>
        <w:rFonts w:hint="default"/>
        <w:lang w:val="en-US" w:eastAsia="en-US" w:bidi="en-US"/>
      </w:rPr>
    </w:lvl>
  </w:abstractNum>
  <w:abstractNum w:abstractNumId="1"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OwMDUyMDY1N7Y0NTNQ0lEKTi0uzszPAykwqQUA/O/KLiwAAAA="/>
  </w:docVars>
  <w:rsids>
    <w:rsidRoot w:val="0066397A"/>
    <w:rsid w:val="00005F39"/>
    <w:rsid w:val="0001217F"/>
    <w:rsid w:val="0001318B"/>
    <w:rsid w:val="00013645"/>
    <w:rsid w:val="00017766"/>
    <w:rsid w:val="00027675"/>
    <w:rsid w:val="00030C3E"/>
    <w:rsid w:val="00041461"/>
    <w:rsid w:val="00041A11"/>
    <w:rsid w:val="000432C6"/>
    <w:rsid w:val="00044A52"/>
    <w:rsid w:val="000574B8"/>
    <w:rsid w:val="00062F8D"/>
    <w:rsid w:val="00083F9C"/>
    <w:rsid w:val="00090611"/>
    <w:rsid w:val="00094B76"/>
    <w:rsid w:val="00097187"/>
    <w:rsid w:val="000A3A58"/>
    <w:rsid w:val="000A3F07"/>
    <w:rsid w:val="000A6CC5"/>
    <w:rsid w:val="000B0773"/>
    <w:rsid w:val="000B2215"/>
    <w:rsid w:val="000C2839"/>
    <w:rsid w:val="000C4887"/>
    <w:rsid w:val="000C6639"/>
    <w:rsid w:val="000C77E9"/>
    <w:rsid w:val="000D647F"/>
    <w:rsid w:val="000D73DD"/>
    <w:rsid w:val="000E0B67"/>
    <w:rsid w:val="000E0F98"/>
    <w:rsid w:val="000E4620"/>
    <w:rsid w:val="000E7FCE"/>
    <w:rsid w:val="000F1D1C"/>
    <w:rsid w:val="000F3013"/>
    <w:rsid w:val="00110F1F"/>
    <w:rsid w:val="00110FEB"/>
    <w:rsid w:val="0011364D"/>
    <w:rsid w:val="001200C9"/>
    <w:rsid w:val="00124D87"/>
    <w:rsid w:val="00152CD0"/>
    <w:rsid w:val="00165F79"/>
    <w:rsid w:val="00166954"/>
    <w:rsid w:val="00173E13"/>
    <w:rsid w:val="00182EA5"/>
    <w:rsid w:val="001A28AE"/>
    <w:rsid w:val="001B675E"/>
    <w:rsid w:val="001C3AC3"/>
    <w:rsid w:val="001D35DF"/>
    <w:rsid w:val="001D5117"/>
    <w:rsid w:val="001D63F2"/>
    <w:rsid w:val="001E496C"/>
    <w:rsid w:val="001E5602"/>
    <w:rsid w:val="001E7F95"/>
    <w:rsid w:val="002016E2"/>
    <w:rsid w:val="00201BE5"/>
    <w:rsid w:val="002021BD"/>
    <w:rsid w:val="00203793"/>
    <w:rsid w:val="00212759"/>
    <w:rsid w:val="00212789"/>
    <w:rsid w:val="00215A84"/>
    <w:rsid w:val="00222A35"/>
    <w:rsid w:val="00227C72"/>
    <w:rsid w:val="0024664A"/>
    <w:rsid w:val="002643BF"/>
    <w:rsid w:val="00273CD2"/>
    <w:rsid w:val="00274722"/>
    <w:rsid w:val="00276954"/>
    <w:rsid w:val="00287AD4"/>
    <w:rsid w:val="00290285"/>
    <w:rsid w:val="00294B19"/>
    <w:rsid w:val="002B0CF4"/>
    <w:rsid w:val="002B6355"/>
    <w:rsid w:val="002B6672"/>
    <w:rsid w:val="002B67E6"/>
    <w:rsid w:val="002D54AD"/>
    <w:rsid w:val="002E67D5"/>
    <w:rsid w:val="002F3487"/>
    <w:rsid w:val="00307DC6"/>
    <w:rsid w:val="00311CF9"/>
    <w:rsid w:val="00320D4A"/>
    <w:rsid w:val="0032142B"/>
    <w:rsid w:val="00324125"/>
    <w:rsid w:val="00326B9B"/>
    <w:rsid w:val="003304F8"/>
    <w:rsid w:val="003525F2"/>
    <w:rsid w:val="00356A19"/>
    <w:rsid w:val="003674A5"/>
    <w:rsid w:val="00370A7E"/>
    <w:rsid w:val="0037213F"/>
    <w:rsid w:val="00372D99"/>
    <w:rsid w:val="00380A34"/>
    <w:rsid w:val="00382729"/>
    <w:rsid w:val="0038373D"/>
    <w:rsid w:val="00384505"/>
    <w:rsid w:val="00385300"/>
    <w:rsid w:val="0038585C"/>
    <w:rsid w:val="00392249"/>
    <w:rsid w:val="003A23FC"/>
    <w:rsid w:val="003B7CA9"/>
    <w:rsid w:val="003C5290"/>
    <w:rsid w:val="003C69CB"/>
    <w:rsid w:val="003C6D35"/>
    <w:rsid w:val="003E27E8"/>
    <w:rsid w:val="003E34A1"/>
    <w:rsid w:val="003F2A45"/>
    <w:rsid w:val="003F3FC6"/>
    <w:rsid w:val="003F75D8"/>
    <w:rsid w:val="0042623A"/>
    <w:rsid w:val="0042653D"/>
    <w:rsid w:val="004335DC"/>
    <w:rsid w:val="00441834"/>
    <w:rsid w:val="00452554"/>
    <w:rsid w:val="00453434"/>
    <w:rsid w:val="00453489"/>
    <w:rsid w:val="0046368B"/>
    <w:rsid w:val="00474B2A"/>
    <w:rsid w:val="00486557"/>
    <w:rsid w:val="0049080C"/>
    <w:rsid w:val="004A45EF"/>
    <w:rsid w:val="004B07BC"/>
    <w:rsid w:val="004B463A"/>
    <w:rsid w:val="004B5419"/>
    <w:rsid w:val="004B595D"/>
    <w:rsid w:val="004B6898"/>
    <w:rsid w:val="004C0029"/>
    <w:rsid w:val="004C477B"/>
    <w:rsid w:val="004D2BFE"/>
    <w:rsid w:val="004D382C"/>
    <w:rsid w:val="004D7C9F"/>
    <w:rsid w:val="004E02D4"/>
    <w:rsid w:val="004F58D4"/>
    <w:rsid w:val="004F692B"/>
    <w:rsid w:val="0050332A"/>
    <w:rsid w:val="0051036E"/>
    <w:rsid w:val="005175E0"/>
    <w:rsid w:val="00517EDB"/>
    <w:rsid w:val="005271F6"/>
    <w:rsid w:val="0053071E"/>
    <w:rsid w:val="00536087"/>
    <w:rsid w:val="005419B7"/>
    <w:rsid w:val="00542FC0"/>
    <w:rsid w:val="005438EA"/>
    <w:rsid w:val="00546DDD"/>
    <w:rsid w:val="005638A5"/>
    <w:rsid w:val="00566403"/>
    <w:rsid w:val="00577007"/>
    <w:rsid w:val="00580A88"/>
    <w:rsid w:val="00580CE7"/>
    <w:rsid w:val="00591DF0"/>
    <w:rsid w:val="00594DAD"/>
    <w:rsid w:val="00596C05"/>
    <w:rsid w:val="00596EB4"/>
    <w:rsid w:val="005A40F7"/>
    <w:rsid w:val="005A5E1E"/>
    <w:rsid w:val="005A5F4B"/>
    <w:rsid w:val="005A6B47"/>
    <w:rsid w:val="005B1F19"/>
    <w:rsid w:val="005B44F8"/>
    <w:rsid w:val="005B53D3"/>
    <w:rsid w:val="005C28FE"/>
    <w:rsid w:val="005D7BD2"/>
    <w:rsid w:val="005E3A9A"/>
    <w:rsid w:val="005E4C4B"/>
    <w:rsid w:val="00610040"/>
    <w:rsid w:val="00614563"/>
    <w:rsid w:val="00620241"/>
    <w:rsid w:val="00622196"/>
    <w:rsid w:val="0062578F"/>
    <w:rsid w:val="006400D9"/>
    <w:rsid w:val="00641BDB"/>
    <w:rsid w:val="006438A1"/>
    <w:rsid w:val="00645B5F"/>
    <w:rsid w:val="00646590"/>
    <w:rsid w:val="00646925"/>
    <w:rsid w:val="00652C91"/>
    <w:rsid w:val="00657747"/>
    <w:rsid w:val="0066397A"/>
    <w:rsid w:val="00675691"/>
    <w:rsid w:val="00675894"/>
    <w:rsid w:val="00675C65"/>
    <w:rsid w:val="006765D7"/>
    <w:rsid w:val="00676B83"/>
    <w:rsid w:val="00685122"/>
    <w:rsid w:val="006870B4"/>
    <w:rsid w:val="00692498"/>
    <w:rsid w:val="0069445B"/>
    <w:rsid w:val="0069538B"/>
    <w:rsid w:val="006A4D9B"/>
    <w:rsid w:val="006A56A4"/>
    <w:rsid w:val="006A57B1"/>
    <w:rsid w:val="006A603C"/>
    <w:rsid w:val="006A76EA"/>
    <w:rsid w:val="006A7A34"/>
    <w:rsid w:val="006B11F9"/>
    <w:rsid w:val="006B4908"/>
    <w:rsid w:val="006B5ADC"/>
    <w:rsid w:val="006B751C"/>
    <w:rsid w:val="006D0413"/>
    <w:rsid w:val="006D09EC"/>
    <w:rsid w:val="006D125C"/>
    <w:rsid w:val="006D1767"/>
    <w:rsid w:val="006D1C3D"/>
    <w:rsid w:val="006D7564"/>
    <w:rsid w:val="006E1AE4"/>
    <w:rsid w:val="006E532D"/>
    <w:rsid w:val="006E6682"/>
    <w:rsid w:val="007138AC"/>
    <w:rsid w:val="00717685"/>
    <w:rsid w:val="00717E95"/>
    <w:rsid w:val="00720A35"/>
    <w:rsid w:val="00723A0C"/>
    <w:rsid w:val="0073605A"/>
    <w:rsid w:val="007369F0"/>
    <w:rsid w:val="0074608A"/>
    <w:rsid w:val="007567B7"/>
    <w:rsid w:val="00767DDC"/>
    <w:rsid w:val="00771C42"/>
    <w:rsid w:val="007770EA"/>
    <w:rsid w:val="00777D58"/>
    <w:rsid w:val="007805BB"/>
    <w:rsid w:val="00781902"/>
    <w:rsid w:val="007951E1"/>
    <w:rsid w:val="007A0945"/>
    <w:rsid w:val="007A2CCF"/>
    <w:rsid w:val="007B219F"/>
    <w:rsid w:val="007B2ABD"/>
    <w:rsid w:val="007B38BA"/>
    <w:rsid w:val="007B5423"/>
    <w:rsid w:val="007D0CB1"/>
    <w:rsid w:val="007D3C8E"/>
    <w:rsid w:val="007D3F87"/>
    <w:rsid w:val="007D55B7"/>
    <w:rsid w:val="007E56C7"/>
    <w:rsid w:val="007F0E47"/>
    <w:rsid w:val="007F3132"/>
    <w:rsid w:val="007F3EA9"/>
    <w:rsid w:val="007F5906"/>
    <w:rsid w:val="008074E1"/>
    <w:rsid w:val="00813F9B"/>
    <w:rsid w:val="008145A2"/>
    <w:rsid w:val="008262E7"/>
    <w:rsid w:val="00831BD8"/>
    <w:rsid w:val="00836D7D"/>
    <w:rsid w:val="00837E70"/>
    <w:rsid w:val="00845F03"/>
    <w:rsid w:val="00856DB2"/>
    <w:rsid w:val="00862EFF"/>
    <w:rsid w:val="0087344F"/>
    <w:rsid w:val="00873B0F"/>
    <w:rsid w:val="0087648F"/>
    <w:rsid w:val="008816BD"/>
    <w:rsid w:val="00881F26"/>
    <w:rsid w:val="00892A47"/>
    <w:rsid w:val="00894F3C"/>
    <w:rsid w:val="00896AAE"/>
    <w:rsid w:val="008A0457"/>
    <w:rsid w:val="008A625C"/>
    <w:rsid w:val="008A69C4"/>
    <w:rsid w:val="008B097E"/>
    <w:rsid w:val="008B1D1E"/>
    <w:rsid w:val="008B20A0"/>
    <w:rsid w:val="008B6ED0"/>
    <w:rsid w:val="008C6A6E"/>
    <w:rsid w:val="008D172E"/>
    <w:rsid w:val="008D3470"/>
    <w:rsid w:val="008D687B"/>
    <w:rsid w:val="008E11BB"/>
    <w:rsid w:val="008E57CE"/>
    <w:rsid w:val="008E5AAB"/>
    <w:rsid w:val="008F30A3"/>
    <w:rsid w:val="008F4FFF"/>
    <w:rsid w:val="0090365D"/>
    <w:rsid w:val="00907F67"/>
    <w:rsid w:val="00911B73"/>
    <w:rsid w:val="00911F4C"/>
    <w:rsid w:val="0091660F"/>
    <w:rsid w:val="009200FD"/>
    <w:rsid w:val="00935B2D"/>
    <w:rsid w:val="00943416"/>
    <w:rsid w:val="00946D49"/>
    <w:rsid w:val="009476DC"/>
    <w:rsid w:val="00956A98"/>
    <w:rsid w:val="0096441D"/>
    <w:rsid w:val="00966B3D"/>
    <w:rsid w:val="00972550"/>
    <w:rsid w:val="0097615E"/>
    <w:rsid w:val="009828C9"/>
    <w:rsid w:val="00985169"/>
    <w:rsid w:val="00986DC9"/>
    <w:rsid w:val="00996C38"/>
    <w:rsid w:val="009A46B7"/>
    <w:rsid w:val="009A6E4A"/>
    <w:rsid w:val="009D14CD"/>
    <w:rsid w:val="009D2E7B"/>
    <w:rsid w:val="009D3817"/>
    <w:rsid w:val="009D71BB"/>
    <w:rsid w:val="009E1E5E"/>
    <w:rsid w:val="009E4DE5"/>
    <w:rsid w:val="009F38F9"/>
    <w:rsid w:val="00A057F2"/>
    <w:rsid w:val="00A0648C"/>
    <w:rsid w:val="00A074ED"/>
    <w:rsid w:val="00A13A9E"/>
    <w:rsid w:val="00A14E5C"/>
    <w:rsid w:val="00A24436"/>
    <w:rsid w:val="00A2605E"/>
    <w:rsid w:val="00A27BEE"/>
    <w:rsid w:val="00A32058"/>
    <w:rsid w:val="00A334D5"/>
    <w:rsid w:val="00A36793"/>
    <w:rsid w:val="00A51546"/>
    <w:rsid w:val="00A55C40"/>
    <w:rsid w:val="00A73EFD"/>
    <w:rsid w:val="00A75128"/>
    <w:rsid w:val="00A75EAA"/>
    <w:rsid w:val="00A801BA"/>
    <w:rsid w:val="00A81BC1"/>
    <w:rsid w:val="00A87BF7"/>
    <w:rsid w:val="00A93BF6"/>
    <w:rsid w:val="00AA08FA"/>
    <w:rsid w:val="00AA4C69"/>
    <w:rsid w:val="00AB07DB"/>
    <w:rsid w:val="00AB1796"/>
    <w:rsid w:val="00AB3FC0"/>
    <w:rsid w:val="00AB4927"/>
    <w:rsid w:val="00AC1474"/>
    <w:rsid w:val="00AC58B3"/>
    <w:rsid w:val="00AC7B07"/>
    <w:rsid w:val="00AE0E32"/>
    <w:rsid w:val="00AE2457"/>
    <w:rsid w:val="00B10093"/>
    <w:rsid w:val="00B10289"/>
    <w:rsid w:val="00B169CE"/>
    <w:rsid w:val="00B17AE5"/>
    <w:rsid w:val="00B23524"/>
    <w:rsid w:val="00B318D4"/>
    <w:rsid w:val="00B32F6B"/>
    <w:rsid w:val="00B35060"/>
    <w:rsid w:val="00B36475"/>
    <w:rsid w:val="00B4151E"/>
    <w:rsid w:val="00B41520"/>
    <w:rsid w:val="00B444CF"/>
    <w:rsid w:val="00B532C6"/>
    <w:rsid w:val="00B57641"/>
    <w:rsid w:val="00B662CE"/>
    <w:rsid w:val="00B732D4"/>
    <w:rsid w:val="00B80A56"/>
    <w:rsid w:val="00B80B45"/>
    <w:rsid w:val="00B87DE1"/>
    <w:rsid w:val="00B87E30"/>
    <w:rsid w:val="00B92669"/>
    <w:rsid w:val="00B92753"/>
    <w:rsid w:val="00B95416"/>
    <w:rsid w:val="00B96B4B"/>
    <w:rsid w:val="00BA4E03"/>
    <w:rsid w:val="00BD6B77"/>
    <w:rsid w:val="00BE0254"/>
    <w:rsid w:val="00BE5C31"/>
    <w:rsid w:val="00BE74F6"/>
    <w:rsid w:val="00BF1553"/>
    <w:rsid w:val="00BF5D43"/>
    <w:rsid w:val="00C001AD"/>
    <w:rsid w:val="00C06B4E"/>
    <w:rsid w:val="00C115F1"/>
    <w:rsid w:val="00C13577"/>
    <w:rsid w:val="00C13A4E"/>
    <w:rsid w:val="00C1777C"/>
    <w:rsid w:val="00C20480"/>
    <w:rsid w:val="00C22AA4"/>
    <w:rsid w:val="00C24E93"/>
    <w:rsid w:val="00C2604A"/>
    <w:rsid w:val="00C33407"/>
    <w:rsid w:val="00C3420B"/>
    <w:rsid w:val="00C36EA0"/>
    <w:rsid w:val="00C5482A"/>
    <w:rsid w:val="00C5646A"/>
    <w:rsid w:val="00C64479"/>
    <w:rsid w:val="00C65373"/>
    <w:rsid w:val="00C65EA7"/>
    <w:rsid w:val="00C663F9"/>
    <w:rsid w:val="00C73F04"/>
    <w:rsid w:val="00C76668"/>
    <w:rsid w:val="00C7769C"/>
    <w:rsid w:val="00C77BAB"/>
    <w:rsid w:val="00C805AD"/>
    <w:rsid w:val="00C82E67"/>
    <w:rsid w:val="00C85C1A"/>
    <w:rsid w:val="00C87711"/>
    <w:rsid w:val="00C9613E"/>
    <w:rsid w:val="00CA0322"/>
    <w:rsid w:val="00CD32C6"/>
    <w:rsid w:val="00CD32FE"/>
    <w:rsid w:val="00CD6A41"/>
    <w:rsid w:val="00CE0F68"/>
    <w:rsid w:val="00CE6578"/>
    <w:rsid w:val="00CF0625"/>
    <w:rsid w:val="00CF6CB3"/>
    <w:rsid w:val="00D0046F"/>
    <w:rsid w:val="00D0308F"/>
    <w:rsid w:val="00D15541"/>
    <w:rsid w:val="00D25384"/>
    <w:rsid w:val="00D27771"/>
    <w:rsid w:val="00D37DA2"/>
    <w:rsid w:val="00D37DC1"/>
    <w:rsid w:val="00D4289D"/>
    <w:rsid w:val="00D433C0"/>
    <w:rsid w:val="00D45AB9"/>
    <w:rsid w:val="00D63530"/>
    <w:rsid w:val="00D77509"/>
    <w:rsid w:val="00D84655"/>
    <w:rsid w:val="00D86F82"/>
    <w:rsid w:val="00D90167"/>
    <w:rsid w:val="00D9530E"/>
    <w:rsid w:val="00DA6ACE"/>
    <w:rsid w:val="00DA7FA6"/>
    <w:rsid w:val="00DB2554"/>
    <w:rsid w:val="00DC374E"/>
    <w:rsid w:val="00DC5282"/>
    <w:rsid w:val="00DD085F"/>
    <w:rsid w:val="00DD18A3"/>
    <w:rsid w:val="00DD6B0B"/>
    <w:rsid w:val="00DE0DD2"/>
    <w:rsid w:val="00DF038A"/>
    <w:rsid w:val="00DF441F"/>
    <w:rsid w:val="00DF6BE9"/>
    <w:rsid w:val="00E003AE"/>
    <w:rsid w:val="00E06E3B"/>
    <w:rsid w:val="00E06F70"/>
    <w:rsid w:val="00E10113"/>
    <w:rsid w:val="00E17DF4"/>
    <w:rsid w:val="00E21E18"/>
    <w:rsid w:val="00E30594"/>
    <w:rsid w:val="00E31099"/>
    <w:rsid w:val="00E37948"/>
    <w:rsid w:val="00E41F1E"/>
    <w:rsid w:val="00E47B0D"/>
    <w:rsid w:val="00E546A6"/>
    <w:rsid w:val="00E634CE"/>
    <w:rsid w:val="00E67107"/>
    <w:rsid w:val="00E740A7"/>
    <w:rsid w:val="00E80F3A"/>
    <w:rsid w:val="00E838DB"/>
    <w:rsid w:val="00E901F7"/>
    <w:rsid w:val="00E92E37"/>
    <w:rsid w:val="00E94966"/>
    <w:rsid w:val="00EA3843"/>
    <w:rsid w:val="00EA4550"/>
    <w:rsid w:val="00ED4712"/>
    <w:rsid w:val="00EE5CF0"/>
    <w:rsid w:val="00EF73DB"/>
    <w:rsid w:val="00EF7D6E"/>
    <w:rsid w:val="00F00C05"/>
    <w:rsid w:val="00F07C5D"/>
    <w:rsid w:val="00F20794"/>
    <w:rsid w:val="00F3042F"/>
    <w:rsid w:val="00F435D1"/>
    <w:rsid w:val="00F57326"/>
    <w:rsid w:val="00F63BA5"/>
    <w:rsid w:val="00F655E2"/>
    <w:rsid w:val="00F845C1"/>
    <w:rsid w:val="00F86F06"/>
    <w:rsid w:val="00F95DDC"/>
    <w:rsid w:val="00F96081"/>
    <w:rsid w:val="00FB0809"/>
    <w:rsid w:val="00FB40C6"/>
    <w:rsid w:val="00FB6382"/>
    <w:rsid w:val="00FD368D"/>
    <w:rsid w:val="00FE60C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E37CC"/>
  <w15:docId w15:val="{7FC5337F-6C47-44D4-AD63-FCDFDBB7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133"/>
      <w:outlineLvl w:val="0"/>
    </w:pPr>
    <w:rPr>
      <w:rFonts w:ascii="Arial" w:eastAsia="Arial" w:hAnsi="Arial" w:cs="Arial"/>
      <w:b/>
      <w:bCs/>
      <w:sz w:val="24"/>
      <w:szCs w:val="24"/>
    </w:rPr>
  </w:style>
  <w:style w:type="paragraph" w:styleId="2">
    <w:name w:val="heading 2"/>
    <w:basedOn w:val="a"/>
    <w:next w:val="a"/>
    <w:link w:val="20"/>
    <w:uiPriority w:val="9"/>
    <w:semiHidden/>
    <w:unhideWhenUsed/>
    <w:qFormat/>
    <w:rsid w:val="006B11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0"/>
      <w:szCs w:val="20"/>
    </w:rPr>
  </w:style>
  <w:style w:type="paragraph" w:styleId="a5">
    <w:name w:val="List Paragraph"/>
    <w:basedOn w:val="a"/>
    <w:uiPriority w:val="34"/>
    <w:qFormat/>
    <w:pPr>
      <w:spacing w:before="163"/>
      <w:ind w:left="632" w:hanging="200"/>
    </w:pPr>
  </w:style>
  <w:style w:type="paragraph" w:customStyle="1" w:styleId="TableParagraph">
    <w:name w:val="Table Paragraph"/>
    <w:basedOn w:val="a"/>
    <w:uiPriority w:val="1"/>
    <w:qFormat/>
    <w:pPr>
      <w:spacing w:line="210" w:lineRule="exact"/>
      <w:ind w:left="118"/>
    </w:pPr>
  </w:style>
  <w:style w:type="paragraph" w:styleId="a6">
    <w:name w:val="Balloon Text"/>
    <w:basedOn w:val="a"/>
    <w:link w:val="a7"/>
    <w:uiPriority w:val="99"/>
    <w:semiHidden/>
    <w:unhideWhenUsed/>
    <w:rsid w:val="0053071E"/>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53071E"/>
    <w:rPr>
      <w:rFonts w:ascii="Lucida Grande CY" w:eastAsia="Times New Roman" w:hAnsi="Lucida Grande CY" w:cs="Lucida Grande CY"/>
      <w:sz w:val="18"/>
      <w:szCs w:val="18"/>
      <w:lang w:bidi="en-US"/>
    </w:rPr>
  </w:style>
  <w:style w:type="paragraph" w:customStyle="1" w:styleId="Paragraph">
    <w:name w:val="Paragraph"/>
    <w:basedOn w:val="a"/>
    <w:next w:val="Newparagraph"/>
    <w:qFormat/>
    <w:rsid w:val="00F63BA5"/>
    <w:pPr>
      <w:autoSpaceDE/>
      <w:autoSpaceDN/>
      <w:spacing w:before="240" w:line="480" w:lineRule="auto"/>
    </w:pPr>
    <w:rPr>
      <w:sz w:val="24"/>
      <w:szCs w:val="24"/>
      <w:lang w:val="en-GB" w:eastAsia="en-GB" w:bidi="ar-SA"/>
    </w:rPr>
  </w:style>
  <w:style w:type="paragraph" w:customStyle="1" w:styleId="Newparagraph">
    <w:name w:val="New paragraph"/>
    <w:basedOn w:val="a"/>
    <w:qFormat/>
    <w:rsid w:val="00F63BA5"/>
    <w:pPr>
      <w:widowControl/>
      <w:autoSpaceDE/>
      <w:autoSpaceDN/>
      <w:spacing w:line="480" w:lineRule="auto"/>
      <w:ind w:firstLine="720"/>
    </w:pPr>
    <w:rPr>
      <w:sz w:val="24"/>
      <w:szCs w:val="24"/>
      <w:lang w:val="en-GB" w:eastAsia="en-GB" w:bidi="ar-SA"/>
    </w:rPr>
  </w:style>
  <w:style w:type="character" w:customStyle="1" w:styleId="20">
    <w:name w:val="Заголовок 2 Знак"/>
    <w:basedOn w:val="a0"/>
    <w:link w:val="2"/>
    <w:uiPriority w:val="9"/>
    <w:semiHidden/>
    <w:rsid w:val="006B11F9"/>
    <w:rPr>
      <w:rFonts w:asciiTheme="majorHAnsi" w:eastAsiaTheme="majorEastAsia" w:hAnsiTheme="majorHAnsi" w:cstheme="majorBidi"/>
      <w:b/>
      <w:bCs/>
      <w:color w:val="4F81BD" w:themeColor="accent1"/>
      <w:sz w:val="26"/>
      <w:szCs w:val="26"/>
      <w:lang w:bidi="en-US"/>
    </w:rPr>
  </w:style>
  <w:style w:type="paragraph" w:styleId="a8">
    <w:name w:val="header"/>
    <w:basedOn w:val="a"/>
    <w:link w:val="a9"/>
    <w:uiPriority w:val="99"/>
    <w:unhideWhenUsed/>
    <w:rsid w:val="00966B3D"/>
    <w:pPr>
      <w:tabs>
        <w:tab w:val="center" w:pos="4153"/>
        <w:tab w:val="right" w:pos="8306"/>
      </w:tabs>
    </w:pPr>
  </w:style>
  <w:style w:type="character" w:customStyle="1" w:styleId="a9">
    <w:name w:val="Верхний колонтитул Знак"/>
    <w:basedOn w:val="a0"/>
    <w:link w:val="a8"/>
    <w:uiPriority w:val="99"/>
    <w:rsid w:val="00966B3D"/>
    <w:rPr>
      <w:rFonts w:ascii="Times New Roman" w:eastAsia="Times New Roman" w:hAnsi="Times New Roman" w:cs="Times New Roman"/>
      <w:lang w:bidi="en-US"/>
    </w:rPr>
  </w:style>
  <w:style w:type="paragraph" w:styleId="aa">
    <w:name w:val="footer"/>
    <w:basedOn w:val="a"/>
    <w:link w:val="ab"/>
    <w:uiPriority w:val="99"/>
    <w:unhideWhenUsed/>
    <w:rsid w:val="00966B3D"/>
    <w:pPr>
      <w:tabs>
        <w:tab w:val="center" w:pos="4153"/>
        <w:tab w:val="right" w:pos="8306"/>
      </w:tabs>
    </w:pPr>
  </w:style>
  <w:style w:type="character" w:customStyle="1" w:styleId="ab">
    <w:name w:val="Нижний колонтитул Знак"/>
    <w:basedOn w:val="a0"/>
    <w:link w:val="aa"/>
    <w:uiPriority w:val="99"/>
    <w:rsid w:val="00966B3D"/>
    <w:rPr>
      <w:rFonts w:ascii="Times New Roman" w:eastAsia="Times New Roman" w:hAnsi="Times New Roman" w:cs="Times New Roman"/>
      <w:lang w:bidi="en-US"/>
    </w:rPr>
  </w:style>
  <w:style w:type="paragraph" w:customStyle="1" w:styleId="Numberedlist">
    <w:name w:val="Numbered list"/>
    <w:basedOn w:val="Paragraph"/>
    <w:next w:val="Paragraph"/>
    <w:qFormat/>
    <w:rsid w:val="00FB40C6"/>
    <w:pPr>
      <w:widowControl/>
      <w:numPr>
        <w:numId w:val="2"/>
      </w:numPr>
      <w:spacing w:after="240"/>
      <w:contextualSpacing/>
    </w:pPr>
  </w:style>
  <w:style w:type="paragraph" w:styleId="ac">
    <w:name w:val="Normal (Web)"/>
    <w:basedOn w:val="a"/>
    <w:uiPriority w:val="99"/>
    <w:semiHidden/>
    <w:unhideWhenUsed/>
    <w:rsid w:val="00B92669"/>
    <w:pPr>
      <w:widowControl/>
      <w:autoSpaceDE/>
      <w:autoSpaceDN/>
      <w:spacing w:before="100" w:beforeAutospacing="1" w:after="100" w:afterAutospacing="1"/>
    </w:pPr>
    <w:rPr>
      <w:rFonts w:ascii="Times" w:eastAsiaTheme="minorHAnsi" w:hAnsi="Times"/>
      <w:sz w:val="20"/>
      <w:szCs w:val="20"/>
      <w:lang w:val="ru-RU" w:bidi="ar-SA"/>
    </w:rPr>
  </w:style>
  <w:style w:type="paragraph" w:customStyle="1" w:styleId="Figurecaption">
    <w:name w:val="Figure caption"/>
    <w:basedOn w:val="a"/>
    <w:next w:val="a"/>
    <w:qFormat/>
    <w:rsid w:val="00A801BA"/>
    <w:pPr>
      <w:widowControl/>
      <w:autoSpaceDE/>
      <w:autoSpaceDN/>
      <w:spacing w:before="240" w:line="360" w:lineRule="auto"/>
    </w:pPr>
    <w:rPr>
      <w:sz w:val="24"/>
      <w:szCs w:val="24"/>
      <w:lang w:val="en-GB" w:eastAsia="en-GB" w:bidi="ar-SA"/>
    </w:rPr>
  </w:style>
  <w:style w:type="character" w:styleId="ad">
    <w:name w:val="annotation reference"/>
    <w:basedOn w:val="a0"/>
    <w:uiPriority w:val="99"/>
    <w:semiHidden/>
    <w:unhideWhenUsed/>
    <w:rsid w:val="001D5117"/>
    <w:rPr>
      <w:sz w:val="18"/>
      <w:szCs w:val="18"/>
    </w:rPr>
  </w:style>
  <w:style w:type="paragraph" w:styleId="ae">
    <w:name w:val="annotation text"/>
    <w:basedOn w:val="a"/>
    <w:link w:val="af"/>
    <w:uiPriority w:val="99"/>
    <w:semiHidden/>
    <w:unhideWhenUsed/>
    <w:rsid w:val="001D5117"/>
    <w:rPr>
      <w:sz w:val="24"/>
      <w:szCs w:val="24"/>
    </w:rPr>
  </w:style>
  <w:style w:type="character" w:customStyle="1" w:styleId="af">
    <w:name w:val="Текст примечания Знак"/>
    <w:basedOn w:val="a0"/>
    <w:link w:val="ae"/>
    <w:uiPriority w:val="99"/>
    <w:semiHidden/>
    <w:rsid w:val="001D5117"/>
    <w:rPr>
      <w:rFonts w:ascii="Times New Roman" w:eastAsia="Times New Roman" w:hAnsi="Times New Roman" w:cs="Times New Roman"/>
      <w:sz w:val="24"/>
      <w:szCs w:val="24"/>
      <w:lang w:bidi="en-US"/>
    </w:rPr>
  </w:style>
  <w:style w:type="paragraph" w:styleId="af0">
    <w:name w:val="annotation subject"/>
    <w:basedOn w:val="ae"/>
    <w:next w:val="ae"/>
    <w:link w:val="af1"/>
    <w:uiPriority w:val="99"/>
    <w:semiHidden/>
    <w:unhideWhenUsed/>
    <w:rsid w:val="001D5117"/>
    <w:rPr>
      <w:b/>
      <w:bCs/>
      <w:sz w:val="20"/>
      <w:szCs w:val="20"/>
    </w:rPr>
  </w:style>
  <w:style w:type="character" w:customStyle="1" w:styleId="af1">
    <w:name w:val="Тема примечания Знак"/>
    <w:basedOn w:val="af"/>
    <w:link w:val="af0"/>
    <w:uiPriority w:val="99"/>
    <w:semiHidden/>
    <w:rsid w:val="001D5117"/>
    <w:rPr>
      <w:rFonts w:ascii="Times New Roman" w:eastAsia="Times New Roman" w:hAnsi="Times New Roman" w:cs="Times New Roman"/>
      <w:b/>
      <w:bCs/>
      <w:sz w:val="20"/>
      <w:szCs w:val="20"/>
      <w:lang w:bidi="en-US"/>
    </w:rPr>
  </w:style>
  <w:style w:type="character" w:styleId="af2">
    <w:name w:val="line number"/>
    <w:basedOn w:val="a0"/>
    <w:uiPriority w:val="99"/>
    <w:semiHidden/>
    <w:unhideWhenUsed/>
    <w:rsid w:val="006E6682"/>
  </w:style>
  <w:style w:type="character" w:customStyle="1" w:styleId="a4">
    <w:name w:val="Основной текст Знак"/>
    <w:basedOn w:val="a0"/>
    <w:link w:val="a3"/>
    <w:uiPriority w:val="1"/>
    <w:rsid w:val="00B87E30"/>
    <w:rPr>
      <w:rFonts w:ascii="Times New Roman" w:eastAsia="Times New Roman" w:hAnsi="Times New Roman" w:cs="Times New Roman"/>
      <w:sz w:val="20"/>
      <w:szCs w:val="20"/>
      <w:lang w:bidi="en-US"/>
    </w:rPr>
  </w:style>
  <w:style w:type="character" w:styleId="af3">
    <w:name w:val="Hyperlink"/>
    <w:basedOn w:val="a0"/>
    <w:uiPriority w:val="99"/>
    <w:semiHidden/>
    <w:unhideWhenUsed/>
    <w:rsid w:val="006A4D9B"/>
    <w:rPr>
      <w:color w:val="0000FF"/>
      <w:u w:val="single"/>
    </w:rPr>
  </w:style>
  <w:style w:type="character" w:customStyle="1" w:styleId="title-text">
    <w:name w:val="title-text"/>
    <w:basedOn w:val="a0"/>
    <w:rsid w:val="006A4D9B"/>
  </w:style>
  <w:style w:type="character" w:styleId="af4">
    <w:name w:val="Strong"/>
    <w:basedOn w:val="a0"/>
    <w:uiPriority w:val="22"/>
    <w:qFormat/>
    <w:rsid w:val="00DF038A"/>
    <w:rPr>
      <w:b/>
      <w:bCs/>
    </w:rPr>
  </w:style>
  <w:style w:type="character" w:customStyle="1" w:styleId="apple-tab-span">
    <w:name w:val="apple-tab-span"/>
    <w:basedOn w:val="a0"/>
    <w:rsid w:val="0097615E"/>
  </w:style>
  <w:style w:type="paragraph" w:styleId="af5">
    <w:name w:val="Revision"/>
    <w:hidden/>
    <w:uiPriority w:val="99"/>
    <w:semiHidden/>
    <w:rsid w:val="0097615E"/>
    <w:pPr>
      <w:widowControl/>
      <w:autoSpaceDE/>
      <w:autoSpaceDN/>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0979">
      <w:bodyDiv w:val="1"/>
      <w:marLeft w:val="0"/>
      <w:marRight w:val="0"/>
      <w:marTop w:val="0"/>
      <w:marBottom w:val="0"/>
      <w:divBdr>
        <w:top w:val="none" w:sz="0" w:space="0" w:color="auto"/>
        <w:left w:val="none" w:sz="0" w:space="0" w:color="auto"/>
        <w:bottom w:val="none" w:sz="0" w:space="0" w:color="auto"/>
        <w:right w:val="none" w:sz="0" w:space="0" w:color="auto"/>
      </w:divBdr>
    </w:div>
    <w:div w:id="234055012">
      <w:bodyDiv w:val="1"/>
      <w:marLeft w:val="0"/>
      <w:marRight w:val="0"/>
      <w:marTop w:val="0"/>
      <w:marBottom w:val="0"/>
      <w:divBdr>
        <w:top w:val="none" w:sz="0" w:space="0" w:color="auto"/>
        <w:left w:val="none" w:sz="0" w:space="0" w:color="auto"/>
        <w:bottom w:val="none" w:sz="0" w:space="0" w:color="auto"/>
        <w:right w:val="none" w:sz="0" w:space="0" w:color="auto"/>
      </w:divBdr>
    </w:div>
    <w:div w:id="477262492">
      <w:bodyDiv w:val="1"/>
      <w:marLeft w:val="0"/>
      <w:marRight w:val="0"/>
      <w:marTop w:val="0"/>
      <w:marBottom w:val="0"/>
      <w:divBdr>
        <w:top w:val="none" w:sz="0" w:space="0" w:color="auto"/>
        <w:left w:val="none" w:sz="0" w:space="0" w:color="auto"/>
        <w:bottom w:val="none" w:sz="0" w:space="0" w:color="auto"/>
        <w:right w:val="none" w:sz="0" w:space="0" w:color="auto"/>
      </w:divBdr>
    </w:div>
    <w:div w:id="649409539">
      <w:bodyDiv w:val="1"/>
      <w:marLeft w:val="0"/>
      <w:marRight w:val="0"/>
      <w:marTop w:val="0"/>
      <w:marBottom w:val="0"/>
      <w:divBdr>
        <w:top w:val="none" w:sz="0" w:space="0" w:color="auto"/>
        <w:left w:val="none" w:sz="0" w:space="0" w:color="auto"/>
        <w:bottom w:val="none" w:sz="0" w:space="0" w:color="auto"/>
        <w:right w:val="none" w:sz="0" w:space="0" w:color="auto"/>
      </w:divBdr>
      <w:divsChild>
        <w:div w:id="1450052860">
          <w:marLeft w:val="0"/>
          <w:marRight w:val="0"/>
          <w:marTop w:val="0"/>
          <w:marBottom w:val="0"/>
          <w:divBdr>
            <w:top w:val="none" w:sz="0" w:space="0" w:color="auto"/>
            <w:left w:val="none" w:sz="0" w:space="0" w:color="auto"/>
            <w:bottom w:val="none" w:sz="0" w:space="0" w:color="auto"/>
            <w:right w:val="none" w:sz="0" w:space="0" w:color="auto"/>
          </w:divBdr>
        </w:div>
        <w:div w:id="1039627476">
          <w:marLeft w:val="0"/>
          <w:marRight w:val="0"/>
          <w:marTop w:val="0"/>
          <w:marBottom w:val="0"/>
          <w:divBdr>
            <w:top w:val="none" w:sz="0" w:space="0" w:color="auto"/>
            <w:left w:val="none" w:sz="0" w:space="0" w:color="auto"/>
            <w:bottom w:val="none" w:sz="0" w:space="0" w:color="auto"/>
            <w:right w:val="none" w:sz="0" w:space="0" w:color="auto"/>
          </w:divBdr>
        </w:div>
      </w:divsChild>
    </w:div>
    <w:div w:id="975917059">
      <w:bodyDiv w:val="1"/>
      <w:marLeft w:val="0"/>
      <w:marRight w:val="0"/>
      <w:marTop w:val="0"/>
      <w:marBottom w:val="0"/>
      <w:divBdr>
        <w:top w:val="none" w:sz="0" w:space="0" w:color="auto"/>
        <w:left w:val="none" w:sz="0" w:space="0" w:color="auto"/>
        <w:bottom w:val="none" w:sz="0" w:space="0" w:color="auto"/>
        <w:right w:val="none" w:sz="0" w:space="0" w:color="auto"/>
      </w:divBdr>
    </w:div>
    <w:div w:id="1176729948">
      <w:bodyDiv w:val="1"/>
      <w:marLeft w:val="0"/>
      <w:marRight w:val="0"/>
      <w:marTop w:val="0"/>
      <w:marBottom w:val="0"/>
      <w:divBdr>
        <w:top w:val="none" w:sz="0" w:space="0" w:color="auto"/>
        <w:left w:val="none" w:sz="0" w:space="0" w:color="auto"/>
        <w:bottom w:val="none" w:sz="0" w:space="0" w:color="auto"/>
        <w:right w:val="none" w:sz="0" w:space="0" w:color="auto"/>
      </w:divBdr>
    </w:div>
    <w:div w:id="1214853522">
      <w:bodyDiv w:val="1"/>
      <w:marLeft w:val="0"/>
      <w:marRight w:val="0"/>
      <w:marTop w:val="0"/>
      <w:marBottom w:val="0"/>
      <w:divBdr>
        <w:top w:val="none" w:sz="0" w:space="0" w:color="auto"/>
        <w:left w:val="none" w:sz="0" w:space="0" w:color="auto"/>
        <w:bottom w:val="none" w:sz="0" w:space="0" w:color="auto"/>
        <w:right w:val="none" w:sz="0" w:space="0" w:color="auto"/>
      </w:divBdr>
      <w:divsChild>
        <w:div w:id="730691361">
          <w:marLeft w:val="0"/>
          <w:marRight w:val="0"/>
          <w:marTop w:val="0"/>
          <w:marBottom w:val="0"/>
          <w:divBdr>
            <w:top w:val="none" w:sz="0" w:space="0" w:color="auto"/>
            <w:left w:val="none" w:sz="0" w:space="0" w:color="auto"/>
            <w:bottom w:val="none" w:sz="0" w:space="0" w:color="auto"/>
            <w:right w:val="none" w:sz="0" w:space="0" w:color="auto"/>
          </w:divBdr>
        </w:div>
        <w:div w:id="1662273763">
          <w:marLeft w:val="0"/>
          <w:marRight w:val="0"/>
          <w:marTop w:val="0"/>
          <w:marBottom w:val="0"/>
          <w:divBdr>
            <w:top w:val="none" w:sz="0" w:space="0" w:color="auto"/>
            <w:left w:val="none" w:sz="0" w:space="0" w:color="auto"/>
            <w:bottom w:val="none" w:sz="0" w:space="0" w:color="auto"/>
            <w:right w:val="none" w:sz="0" w:space="0" w:color="auto"/>
          </w:divBdr>
        </w:div>
      </w:divsChild>
    </w:div>
    <w:div w:id="1307517423">
      <w:bodyDiv w:val="1"/>
      <w:marLeft w:val="0"/>
      <w:marRight w:val="0"/>
      <w:marTop w:val="0"/>
      <w:marBottom w:val="0"/>
      <w:divBdr>
        <w:top w:val="none" w:sz="0" w:space="0" w:color="auto"/>
        <w:left w:val="none" w:sz="0" w:space="0" w:color="auto"/>
        <w:bottom w:val="none" w:sz="0" w:space="0" w:color="auto"/>
        <w:right w:val="none" w:sz="0" w:space="0" w:color="auto"/>
      </w:divBdr>
      <w:divsChild>
        <w:div w:id="1928689901">
          <w:marLeft w:val="0"/>
          <w:marRight w:val="0"/>
          <w:marTop w:val="0"/>
          <w:marBottom w:val="0"/>
          <w:divBdr>
            <w:top w:val="none" w:sz="0" w:space="0" w:color="auto"/>
            <w:left w:val="none" w:sz="0" w:space="0" w:color="auto"/>
            <w:bottom w:val="none" w:sz="0" w:space="0" w:color="auto"/>
            <w:right w:val="none" w:sz="0" w:space="0" w:color="auto"/>
          </w:divBdr>
        </w:div>
        <w:div w:id="1232154599">
          <w:marLeft w:val="0"/>
          <w:marRight w:val="0"/>
          <w:marTop w:val="0"/>
          <w:marBottom w:val="0"/>
          <w:divBdr>
            <w:top w:val="none" w:sz="0" w:space="0" w:color="auto"/>
            <w:left w:val="none" w:sz="0" w:space="0" w:color="auto"/>
            <w:bottom w:val="none" w:sz="0" w:space="0" w:color="auto"/>
            <w:right w:val="none" w:sz="0" w:space="0" w:color="auto"/>
          </w:divBdr>
        </w:div>
      </w:divsChild>
    </w:div>
    <w:div w:id="1452432322">
      <w:bodyDiv w:val="1"/>
      <w:marLeft w:val="0"/>
      <w:marRight w:val="0"/>
      <w:marTop w:val="0"/>
      <w:marBottom w:val="0"/>
      <w:divBdr>
        <w:top w:val="none" w:sz="0" w:space="0" w:color="auto"/>
        <w:left w:val="none" w:sz="0" w:space="0" w:color="auto"/>
        <w:bottom w:val="none" w:sz="0" w:space="0" w:color="auto"/>
        <w:right w:val="none" w:sz="0" w:space="0" w:color="auto"/>
      </w:divBdr>
      <w:divsChild>
        <w:div w:id="382100667">
          <w:marLeft w:val="0"/>
          <w:marRight w:val="0"/>
          <w:marTop w:val="0"/>
          <w:marBottom w:val="0"/>
          <w:divBdr>
            <w:top w:val="none" w:sz="0" w:space="0" w:color="auto"/>
            <w:left w:val="none" w:sz="0" w:space="0" w:color="auto"/>
            <w:bottom w:val="none" w:sz="0" w:space="0" w:color="auto"/>
            <w:right w:val="none" w:sz="0" w:space="0" w:color="auto"/>
          </w:divBdr>
        </w:div>
        <w:div w:id="11493622">
          <w:marLeft w:val="0"/>
          <w:marRight w:val="0"/>
          <w:marTop w:val="0"/>
          <w:marBottom w:val="0"/>
          <w:divBdr>
            <w:top w:val="none" w:sz="0" w:space="0" w:color="auto"/>
            <w:left w:val="none" w:sz="0" w:space="0" w:color="auto"/>
            <w:bottom w:val="none" w:sz="0" w:space="0" w:color="auto"/>
            <w:right w:val="none" w:sz="0" w:space="0" w:color="auto"/>
          </w:divBdr>
        </w:div>
      </w:divsChild>
    </w:div>
    <w:div w:id="1510675397">
      <w:bodyDiv w:val="1"/>
      <w:marLeft w:val="0"/>
      <w:marRight w:val="0"/>
      <w:marTop w:val="0"/>
      <w:marBottom w:val="0"/>
      <w:divBdr>
        <w:top w:val="none" w:sz="0" w:space="0" w:color="auto"/>
        <w:left w:val="none" w:sz="0" w:space="0" w:color="auto"/>
        <w:bottom w:val="none" w:sz="0" w:space="0" w:color="auto"/>
        <w:right w:val="none" w:sz="0" w:space="0" w:color="auto"/>
      </w:divBdr>
    </w:div>
    <w:div w:id="1567182958">
      <w:bodyDiv w:val="1"/>
      <w:marLeft w:val="0"/>
      <w:marRight w:val="0"/>
      <w:marTop w:val="0"/>
      <w:marBottom w:val="0"/>
      <w:divBdr>
        <w:top w:val="none" w:sz="0" w:space="0" w:color="auto"/>
        <w:left w:val="none" w:sz="0" w:space="0" w:color="auto"/>
        <w:bottom w:val="none" w:sz="0" w:space="0" w:color="auto"/>
        <w:right w:val="none" w:sz="0" w:space="0" w:color="auto"/>
      </w:divBdr>
    </w:div>
    <w:div w:id="1631016485">
      <w:bodyDiv w:val="1"/>
      <w:marLeft w:val="0"/>
      <w:marRight w:val="0"/>
      <w:marTop w:val="0"/>
      <w:marBottom w:val="0"/>
      <w:divBdr>
        <w:top w:val="none" w:sz="0" w:space="0" w:color="auto"/>
        <w:left w:val="none" w:sz="0" w:space="0" w:color="auto"/>
        <w:bottom w:val="none" w:sz="0" w:space="0" w:color="auto"/>
        <w:right w:val="none" w:sz="0" w:space="0" w:color="auto"/>
      </w:divBdr>
    </w:div>
    <w:div w:id="1681740480">
      <w:bodyDiv w:val="1"/>
      <w:marLeft w:val="0"/>
      <w:marRight w:val="0"/>
      <w:marTop w:val="0"/>
      <w:marBottom w:val="0"/>
      <w:divBdr>
        <w:top w:val="none" w:sz="0" w:space="0" w:color="auto"/>
        <w:left w:val="none" w:sz="0" w:space="0" w:color="auto"/>
        <w:bottom w:val="none" w:sz="0" w:space="0" w:color="auto"/>
        <w:right w:val="none" w:sz="0" w:space="0" w:color="auto"/>
      </w:divBdr>
    </w:div>
    <w:div w:id="1714503903">
      <w:bodyDiv w:val="1"/>
      <w:marLeft w:val="0"/>
      <w:marRight w:val="0"/>
      <w:marTop w:val="0"/>
      <w:marBottom w:val="0"/>
      <w:divBdr>
        <w:top w:val="none" w:sz="0" w:space="0" w:color="auto"/>
        <w:left w:val="none" w:sz="0" w:space="0" w:color="auto"/>
        <w:bottom w:val="none" w:sz="0" w:space="0" w:color="auto"/>
        <w:right w:val="none" w:sz="0" w:space="0" w:color="auto"/>
      </w:divBdr>
    </w:div>
    <w:div w:id="1886747060">
      <w:bodyDiv w:val="1"/>
      <w:marLeft w:val="0"/>
      <w:marRight w:val="0"/>
      <w:marTop w:val="0"/>
      <w:marBottom w:val="0"/>
      <w:divBdr>
        <w:top w:val="none" w:sz="0" w:space="0" w:color="auto"/>
        <w:left w:val="none" w:sz="0" w:space="0" w:color="auto"/>
        <w:bottom w:val="none" w:sz="0" w:space="0" w:color="auto"/>
        <w:right w:val="none" w:sz="0" w:space="0" w:color="auto"/>
      </w:divBdr>
    </w:div>
    <w:div w:id="1888567768">
      <w:bodyDiv w:val="1"/>
      <w:marLeft w:val="0"/>
      <w:marRight w:val="0"/>
      <w:marTop w:val="0"/>
      <w:marBottom w:val="0"/>
      <w:divBdr>
        <w:top w:val="none" w:sz="0" w:space="0" w:color="auto"/>
        <w:left w:val="none" w:sz="0" w:space="0" w:color="auto"/>
        <w:bottom w:val="none" w:sz="0" w:space="0" w:color="auto"/>
        <w:right w:val="none" w:sz="0" w:space="0" w:color="auto"/>
      </w:divBdr>
    </w:div>
    <w:div w:id="1914313702">
      <w:bodyDiv w:val="1"/>
      <w:marLeft w:val="0"/>
      <w:marRight w:val="0"/>
      <w:marTop w:val="0"/>
      <w:marBottom w:val="0"/>
      <w:divBdr>
        <w:top w:val="none" w:sz="0" w:space="0" w:color="auto"/>
        <w:left w:val="none" w:sz="0" w:space="0" w:color="auto"/>
        <w:bottom w:val="none" w:sz="0" w:space="0" w:color="auto"/>
        <w:right w:val="none" w:sz="0" w:space="0" w:color="auto"/>
      </w:divBdr>
      <w:divsChild>
        <w:div w:id="1400787833">
          <w:marLeft w:val="0"/>
          <w:marRight w:val="0"/>
          <w:marTop w:val="0"/>
          <w:marBottom w:val="0"/>
          <w:divBdr>
            <w:top w:val="none" w:sz="0" w:space="0" w:color="auto"/>
            <w:left w:val="none" w:sz="0" w:space="0" w:color="auto"/>
            <w:bottom w:val="none" w:sz="0" w:space="0" w:color="auto"/>
            <w:right w:val="none" w:sz="0" w:space="0" w:color="auto"/>
          </w:divBdr>
          <w:divsChild>
            <w:div w:id="683675201">
              <w:marLeft w:val="0"/>
              <w:marRight w:val="0"/>
              <w:marTop w:val="0"/>
              <w:marBottom w:val="0"/>
              <w:divBdr>
                <w:top w:val="none" w:sz="0" w:space="0" w:color="auto"/>
                <w:left w:val="none" w:sz="0" w:space="0" w:color="auto"/>
                <w:bottom w:val="none" w:sz="0" w:space="0" w:color="auto"/>
                <w:right w:val="none" w:sz="0" w:space="0" w:color="auto"/>
              </w:divBdr>
              <w:divsChild>
                <w:div w:id="17094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299">
      <w:bodyDiv w:val="1"/>
      <w:marLeft w:val="0"/>
      <w:marRight w:val="0"/>
      <w:marTop w:val="0"/>
      <w:marBottom w:val="0"/>
      <w:divBdr>
        <w:top w:val="none" w:sz="0" w:space="0" w:color="auto"/>
        <w:left w:val="none" w:sz="0" w:space="0" w:color="auto"/>
        <w:bottom w:val="none" w:sz="0" w:space="0" w:color="auto"/>
        <w:right w:val="none" w:sz="0" w:space="0" w:color="auto"/>
      </w:divBdr>
    </w:div>
    <w:div w:id="1963613778">
      <w:bodyDiv w:val="1"/>
      <w:marLeft w:val="0"/>
      <w:marRight w:val="0"/>
      <w:marTop w:val="0"/>
      <w:marBottom w:val="0"/>
      <w:divBdr>
        <w:top w:val="none" w:sz="0" w:space="0" w:color="auto"/>
        <w:left w:val="none" w:sz="0" w:space="0" w:color="auto"/>
        <w:bottom w:val="none" w:sz="0" w:space="0" w:color="auto"/>
        <w:right w:val="none" w:sz="0" w:space="0" w:color="auto"/>
      </w:divBdr>
    </w:div>
    <w:div w:id="2004627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a.s-pb@mail.r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ature.com/srep/policies/index.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uscorpora.r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5767-485C-0149-934B-98E556A6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50285</Words>
  <Characters>286627</Characters>
  <Application>Microsoft Office Word</Application>
  <DocSecurity>0</DocSecurity>
  <Lines>2388</Lines>
  <Paragraphs>672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Мкртычян</dc:creator>
  <cp:lastModifiedBy>Катя Чикурова</cp:lastModifiedBy>
  <cp:revision>2</cp:revision>
  <dcterms:created xsi:type="dcterms:W3CDTF">2020-10-15T13:10:00Z</dcterms:created>
  <dcterms:modified xsi:type="dcterms:W3CDTF">2020-10-15T13:10:00Z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LaTeX with hyperref</vt:lpwstr>
  </property>
  <property fmtid="{D5CDD505-2E9C-101B-9397-08002B2CF9AE}" pid="4" name="LastSaved">
    <vt:filetime>2020-06-04T00:00:00Z</vt:filetime>
  </property>
  <property fmtid="{D5CDD505-2E9C-101B-9397-08002B2CF9AE}" pid="5" name="Mendeley Document_1">
    <vt:lpwstr>True</vt:lpwstr>
  </property>
  <property fmtid="{D5CDD505-2E9C-101B-9397-08002B2CF9AE}" pid="6" name="Mendeley Unique User Id_1">
    <vt:lpwstr>11d16721-16e0-3f4f-ae43-8e760f27e43e</vt:lpwstr>
  </property>
  <property fmtid="{D5CDD505-2E9C-101B-9397-08002B2CF9AE}" pid="7" name="Mendeley Citation Style_1">
    <vt:lpwstr>http://www.zotero.org/styles/nature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http://www.zotero.org/styles/nature</vt:lpwstr>
  </property>
  <property fmtid="{D5CDD505-2E9C-101B-9397-08002B2CF9AE}" pid="25" name="Mendeley Recent Style Name 8_1">
    <vt:lpwstr>Nature</vt:lpwstr>
  </property>
  <property fmtid="{D5CDD505-2E9C-101B-9397-08002B2CF9AE}" pid="26" name="Mendeley Recent Style Id 9_1">
    <vt:lpwstr>http://www.zotero.org/styles/gost-r-7-0-5-2008-numeric-alphabetical</vt:lpwstr>
  </property>
  <property fmtid="{D5CDD505-2E9C-101B-9397-08002B2CF9AE}" pid="27" name="Mendeley Recent Style Name 9_1">
    <vt:lpwstr>Russian GOST R 7.0.5-2008 (numeric, sorted alphabetically, Russian)</vt:lpwstr>
  </property>
</Properties>
</file>