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29" w:rsidRPr="007E4929" w:rsidRDefault="007E4929" w:rsidP="007E49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Тульчинский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</w:t>
      </w:r>
    </w:p>
    <w:p w:rsidR="007E4929" w:rsidRPr="007E4929" w:rsidRDefault="007E4929" w:rsidP="007E49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человека и проблема толерантности к </w:t>
      </w:r>
      <w:proofErr w:type="spellStart"/>
      <w:r w:rsidRPr="007E4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нетолерантным</w:t>
      </w:r>
      <w:proofErr w:type="spellEnd"/>
      <w:r w:rsidR="00E9203C" w:rsidRPr="00E9203C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customMarkFollows="1" w:id="1"/>
        <w:sym w:font="Symbol" w:char="F02A"/>
      </w:r>
    </w:p>
    <w:p w:rsidR="00694E3E" w:rsidRDefault="00694E3E" w:rsidP="00694E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человека, как и толерантность являются важнейшими институтами современного общества. </w:t>
      </w:r>
      <w:r w:rsidR="002A1FA6" w:rsidRPr="0069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имплементация этих институтов нуждается в квалифицированном этическом прикладном консультировании. Отсутствие такого консультирования порождает искажение сущности этих идей, конфликтные ситуации на различных уровнях социальной жизни. Главная </w:t>
      </w:r>
      <w:r w:rsidRPr="00694E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2A1FA6" w:rsidRPr="0069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ситуации - это взаимность и общность, а также сопричастность этой общности, взаимная ответственность.</w:t>
      </w:r>
    </w:p>
    <w:p w:rsidR="007E4929" w:rsidRPr="007E4929" w:rsidRDefault="00694E3E" w:rsidP="007E49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4929"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слова: </w:t>
      </w:r>
      <w:r w:rsid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права человека, прикладная этика, толерантность, этическая экспертиза</w:t>
      </w:r>
      <w:r w:rsidR="007E4929"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929" w:rsidRPr="007E4929" w:rsidRDefault="007E4929" w:rsidP="007E49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929" w:rsidRPr="007E4929" w:rsidRDefault="007E4929" w:rsidP="007E49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E49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Human rights and the problem of tolerance for intolerant</w:t>
      </w:r>
    </w:p>
    <w:p w:rsidR="007E4929" w:rsidRPr="007E4929" w:rsidRDefault="007E4929" w:rsidP="00694E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49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="00694E3E" w:rsidRPr="00694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Human rights, as well as tolerance, are the most important institutions of modern society. However, the institutions implementation requires qualified ethical applied counseling. The counseling absence creates a distortion of the i</w:t>
      </w:r>
      <w:r w:rsidR="00694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nstitutions </w:t>
      </w:r>
      <w:r w:rsidR="00694E3E" w:rsidRPr="00694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essence, conflict situations at various levels of social life. The main theme in this situation is reciprocity and community, as well as the ownership of this community, mutual responsibility.  </w:t>
      </w:r>
    </w:p>
    <w:p w:rsidR="007E4929" w:rsidRPr="007E4929" w:rsidRDefault="007E4929" w:rsidP="007E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Key words: applied ethics, ethical expertise, human rights, responsibility, tolerance, </w:t>
      </w:r>
    </w:p>
    <w:p w:rsidR="007E4929" w:rsidRPr="007E4929" w:rsidRDefault="007E4929" w:rsidP="007E49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современных морально значимых ситуаций (в сравнении с ситуациями четверть века назад), нуждающейся в этическом консультировании представляется ситуация с правами человека и толерантностью. </w:t>
      </w:r>
    </w:p>
    <w:p w:rsidR="007E4929" w:rsidRPr="007E4929" w:rsidRDefault="007E4929" w:rsidP="007E4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 прав человека, принятая ООН Декларация прав человека, ставшая частью Конституции (Основного закона) ряда 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великое 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цивилизации. Тем не менее, соблюдение прав человека предполагает ответственность, и сама концепция прав человека вырабатывалась в контексте морали и политической культуры либеральных демократий, основанных на предположении автономных – свободных и ответственных – членов социума. Права человека предполагают взаимность – признание таких прав и за другими. </w:t>
      </w:r>
    </w:p>
    <w:p w:rsidR="007E4929" w:rsidRPr="007E4929" w:rsidRDefault="007E4929" w:rsidP="007E4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Между тем, для современной социальной жизни характерен ряд явлений, заставляющих обратиться к осмыслению и более глубокому пониманию оснований концепции прав человека. Прежде всего, это взаимные обиды и претензии отдельных лиц, групп, а то и народов. Организаторы выставок, постановщики спектаклей, писатели журналисты совершенно неожиданно узнают, что их действия вызвали «оскорбление чувств» верующих, этнических, а то и профессиональных групп, от имени которых выставляются претензии, заявления в правоохранительные органы, подаются иски в суды. </w:t>
      </w:r>
    </w:p>
    <w:p w:rsidR="007E4929" w:rsidRPr="007E4929" w:rsidRDefault="007E4929" w:rsidP="007E4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Целые страны обижаются на публикации карикатур, объявляют травлю их авторов, а то и охоту на них, оборачивающуюся кровавой бойней, как это было с журналистами французского сатирического еженедельника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Charlie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Hebdo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Ярким примером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рессентимента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волна обличений в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харассменте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поднятая в 2017 году некоторыми голливудскими актрисами и перекинувшаяся в корпоративные офисы, за года захлестнувшая западное общество. Вспоминаются объятия и поцелуи 40-летнй давности, предъявляются иски на миллионы долларов, общественное мнение вынуждает отстранять от публичной деятельности актеров, режиссеров, продюсеров, менеджеров. В общественной морали и праве формируется необходимость достоверно подтверждаемого предварительного согласия на любые проявления половой близости. 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рассказов коллег знаю случаи претензий родителям со стороны их первенцев, заявляющих, что рождение еще одного ребенка без их согласия 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нарушает их права, и чтобы родители на их помощь «в этом проекте» не рассчитывали.     </w:t>
      </w:r>
    </w:p>
    <w:p w:rsidR="007E4929" w:rsidRPr="007E4929" w:rsidRDefault="007E4929" w:rsidP="007E4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Думается, что все вышеприведенные примеры – следствия непродуманной гипертрофированной пропаганды прав человека без учета роли и значения ответственности, что и стимулирует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рессентимент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эгоцентризм, конфликты и агрессию.  </w:t>
      </w:r>
      <w:r w:rsidR="0040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уже сфера прикладной этики: консультирования и экспертизы 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929" w:rsidRPr="007E4929" w:rsidRDefault="007E4929" w:rsidP="007E4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 же, как и </w:t>
      </w:r>
      <w:r w:rsidR="0040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с 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непродуманн</w:t>
      </w:r>
      <w:r w:rsidR="0040395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педалирование</w:t>
      </w:r>
      <w:r w:rsidR="004039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«уполномоченных по правам человека»</w:t>
      </w:r>
      <w:r w:rsidR="0040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странную ситуацию. Уже создание таких уполномоченных – омбудсменов, начавшееся в скандинавских странах, вызывало вопрос – в разве соблюдение прав человека – не задача государства и общественности. Создание таких должностей и их аппарата на содержании государственных и региональных бюджетов, с одной стороны, дает возможность чиновникам отсылать ущемленных в правах в специально созданную для рассмотрения таких обращений инстанцию, а с другой стороны – возможность синекур для «достойных людей». Что и произошло, например, в Российской Федерации. Более того, появились уполномоченные по правам бизнеса, уполномоченные по правам детей, уполномоченные по правам студентов. На очереди уполномоченные по правам женщин. И это в дополнение к уполномоченным по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правм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человека! Можно было бы ехидничать – мол, в этой ситуации получается, что, наверное, предприниматели, дети, студенты, женщины – не люди, если бы уже не обсуждался вопрос об уполномоченных по правам животных.  </w:t>
      </w:r>
    </w:p>
    <w:p w:rsidR="007E4929" w:rsidRPr="007E4929" w:rsidRDefault="007E4929" w:rsidP="007E4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Складывается ситуация, когда благое начинание институционализации прав человека оборачивается «институциональным склерозом», о котором писал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М.Олсон</w:t>
      </w:r>
      <w:proofErr w:type="spellEnd"/>
      <w:r w:rsidR="008D6587" w:rsidRPr="008D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Действительно, гипертрофия социальных институтов – норм, организаций – регламентирующих решения больше задерживает, чем ускоряет, экономическое и политическое развитие. Периоды политической и социальной стабильности, отсутствия потрясений благоприятствуют возникновению и разрастанию групп интересов, обнаружению новых 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стимулов и выгод. В итоге возникают тормозящие развитие институты. Это подтверждают многие примеры. Послевоенная Германия (где в результате войны традиционные организованные группы интересов были устранены), вскоре опередила по экономическому развитию страну-победительницу Великобританию (где такие группы только укрепились). Другими примерами являются современные Тайвань, Республика Корея, Сингапур, Чили, Китай, где автократические режимы не только имели тенденцию к длительным горизонтам планирования, но также сопротивлялись группам специальных интересов или подавляли их: они стремились иметь «жесткие» государства, которые обычно не приспосабливали свои политики к организованным группам интересов в конкретных профессиях и отраслях.</w:t>
      </w:r>
    </w:p>
    <w:p w:rsidR="007E4929" w:rsidRPr="007E4929" w:rsidRDefault="007E4929" w:rsidP="007E4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 и с правами человека. Этот институт не может акцентироваться без базового контекста взаимной ответственности. Еще одним близким, если еще более явным по сути, является пример с широко обсуждаемой и продвигаемой одно время идеей толерантности. Сформировавшаяся и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институционализированная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политической, образовательной и культурной среде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мультикультурной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Канады, она была заимствована в странах Европейского Союза, прежде всего – странах Северной Европы. Не избежала она и постсоветскую Россию. Разрабатывались и реализовывались программы, проводились конференции… Вызовом стали межэтнические конфликты европейских странах, прежде всего в Германии, Франции, Голландии, скандинавских странах, т.е. государствах с законодательно закрепленными нормами толерантности. Дело дошло до официальных признаний лидерами этих стран «кризиса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мультикультурализма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росту консервативных настроений, все более «правому» голосованию. Думается, что дело не в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мультикультурализме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безответственном понимании толерантности, которая является принципиально взаимным отношением. Причем доверительным. Разве возможна ли толерантность к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нетолерантным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E4929" w:rsidRPr="007E4929" w:rsidRDefault="007E4929" w:rsidP="007E4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своем дневнике 1853 года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П.Я.Чаадаевым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сделана известная запись: «Социализм победит не потому, что он прав, а потому, что неправы 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противники»</w:t>
      </w:r>
      <w:r w:rsidR="008D6587" w:rsidRPr="008D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[8, 500]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силу ряда фактов своей биографии</w:t>
      </w:r>
      <w:r w:rsidR="008D6587" w:rsidRPr="008D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[7]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П.Я.Чаадаев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 все основания утверждать такую, на первый взгляд, парадоксальную мысль. Но главное – ее содержание: у социализма (как идеологии и политической программы) нет собственной победительной силы и исторической правоты, но еще большую неправоту и слабость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П.Я.Чаадаев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 у противников социализма, которых он в другой записи охарактеризовал довольно жестко: «Русский либерал – бессмысленная мошка, толкущаяся в солнечном луче; солнце это – солнце запада».</w:t>
      </w:r>
      <w:r w:rsidR="008D6587" w:rsidRPr="008D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8D6587" w:rsidRPr="00E9203C">
        <w:rPr>
          <w:rFonts w:ascii="Times New Roman" w:eastAsia="Times New Roman" w:hAnsi="Times New Roman" w:cs="Times New Roman"/>
          <w:sz w:val="28"/>
          <w:szCs w:val="28"/>
          <w:lang w:eastAsia="ru-RU"/>
        </w:rPr>
        <w:t>8, 469]</w:t>
      </w:r>
      <w:r w:rsidRPr="007E49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эту мысль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П.Я.Чаадаева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трактуют как некую принципиальную и изначальную «левизну» российского социума, его «общинность» и «коллективизм», акцентуацию на распределительной справедливости, доминирование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рессентимента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общественном сознании. Такая трактовка представляется поверхностной: еще раньше – в Первом философическом письме П.Я. писал об уроке «как не надо», который Россия призвана преподать миру.  Можно предложить попытку реконструкции этого урока: в идее «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победительности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исторически несостоятельного социализма видится глубокий и принципиально важный смысл. В этой реконструкции полезно обратиться к теории «черных лебедей»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Н.Талеба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чаадаевскому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афоризму побеждает тот, противники которого неправы, точнее – несостоятельны. Как в футболе, да и в любом спорте – победитель выступил так, как позволил противник. И тут самое время перейти к теории «черных лебедей», под которыми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Н.Талеб</w:t>
      </w:r>
      <w:proofErr w:type="spellEnd"/>
      <w:r w:rsidR="008D6587" w:rsidRPr="008D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[5; 6]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 события, играющие важнейшую роль, но трудно прогнозируемые, происходящие вопреки статистическим трендам. Формализацией такого анализа является аппарат «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ренормализационной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группы» в теории фазовых переходов в квантовой теории поля — итеративный метод перенормировки, в котором переход от областей с меньшей энергией к областям с большей вызван изменением масштаба рассмотрения системы. Хорошим примером таких 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событий является иногда неожиданный и необъяснимый приход к доминированию в социуме меньшинства. И при этом возникает иллюзия сохранения господства выбора и предпочтений большинства. 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Н.Талеб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исходит из идеи, что поведение сложной системы, как целого, нельзя предсказать по свойствам его частей. Так, изучение отдельных муравьев (даже всех муравьев в муравейнике) ничего не даст для понимания устройства муравейника. Для понимания целого важно понимание взаимодействия его частей. Если такой подход применить к социуму, то выясняется, что для его перехода в новое состояние достаточно активности, на первый взгляд, не существенной его части – например, небольшого количества бескомпромиссных людей, лично заинтересованных в переходе, вовлеченных в этот процесс, сопричастных ему. И, в случае акцентированной бескомпромиссности (нетерпимости к отклонениям от желаемого должного) и достаточной терпимости большинства, у представителей этого большинства возникает асимметрия в выборе. 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люди, соблюдающие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кашрут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халяль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никогда не станут есть трефную или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халяльную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пищу, есть которую ничто не запрещает остальным людям. Но эти остальные вполне могут есть кошерное и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халяльное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бескомпромиссная группа живет компактно, то ее ценностно-нормативные установки к большинству остаются неприменимы. Но когда такое меньшинство распределено в социуме (в силу экономических факторов или политики государства), большинство станет подчиняться установкам меньшинства – особенно, если соблюдение этих правил не требует высоких затрат. Во-первых, всякие запреты и ограничения снижают затраты. И, во-вторых, унифицируется рынок товаров или услуг. Отчасти этим объясняется всемирный успех таких франшиз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фастфуда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McDonald’s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Starbucks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ограниченное меню выглядит безопасным выбором.  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рост популярности автомобилей с автоматической коробкой передач связан отнюдь не с тем, что большинство водителей предпочитают ездить на «автомате». Просто те, кто может управлять машиной 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ручной коробкой передач, могут спокойно пользоваться и автоматической, но никак не наоборот.  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идет не только об экономических, но и политических рынках. Так, в романе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М.Уэльбека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«Покорность» убедительно показано, как в считанные дни во Франции могут прийти к власти исламисты в результате выборов и политического торга: за либералами остается экономика, социалистам гарантируются социальные блага, зато культура, образование и СМИ становятся подконтрольны исламистам. И социум переходит в новое состояние – при пассивной поддержке обывателей и даже при сохранении большей части элиты. Собственно, аналогичным образом в свое время и Гитлер пришел к власти. Нетерпимое меньшинство может взять под контроль демократию не только с помощью популизма, «бьющего по площадям». 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разработаны компьютерные модели выборов, в которых достаточно, некоторому меньшинству превысить определенный уровень, чтобы оказаться способным навязать свою позицию большинству. Похоже, что именно такой подход, с использованием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Big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программах типа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Ocean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использованной на решающей стадии избирательной кампании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Д.Трампа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Ключевую роль в таких случаях играет работа не столько со своей группой поддержки, сколько с частью электорального «болота», которая может проголосовать за продвигаемого кандидата или партию – аналогично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некошерным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есть кошерное.    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процессах можно отметить роль «дополнительных генераторов». Таковыми могут выступать специальные события (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special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events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способствующие переключению или отвлечению текущей повестки внимания общественного сознания: поджог парламента, взрывы домов, политическое убийство, военные действия и т.п. В толпе легко вызвать панику. А современное массовое общество потребления к этому просто склонно – об этом чуть ниже.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общества – в экономике, политике, искусстве, науке, морали, религии – определяется не большинством, а меньшинством. Дело не в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делиберации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консенсусах, обсуждениях, комитетах, голосованиях. Для перехода достаточно активного меньшинства, которое должно отвечать нескольким условиям. Во-первых, его численность должна приближаться к 10% социума, и, во-вторых, оно должно обладать волей – не только желать достижения целей или также обладать для этого ресурсами. Главное – упрощение проблем и решений в сочетании с самоотдачей таким решениям. Чаще всего это маргиналы, обездоленные молодые люди, лишенные перспективы в традиционном социуме. Именно такая среда порождала викингов, конкистадоров, и прочих людей «свободного состояния» и «длинной воли», оказывавшихся в истории создателями новых империй, и которых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Л.Н.Гумилев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 «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пассионариями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D6587" w:rsidRPr="008D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8D6587" w:rsidRPr="00E9203C">
        <w:rPr>
          <w:rFonts w:ascii="Times New Roman" w:eastAsia="Times New Roman" w:hAnsi="Times New Roman" w:cs="Times New Roman"/>
          <w:sz w:val="28"/>
          <w:szCs w:val="28"/>
          <w:lang w:eastAsia="ru-RU"/>
        </w:rPr>
        <w:t>4]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революция дает тому критическую массу примеров. Начиная с террористов народной воли, продолжения в партии «нового типа» (по словам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«чудо-партии» по ту сторону добра и зла), сталинском «ордене меченосцев». И на всех этапах – буквально по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П.Я.Чаадаеву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противники оказывались несостоятельными. Достаточно вспомнить состояние династии, поведение кадетов, конфликты в правительстве социалистов, конфликт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Л.Корнилова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А.Ф.Керенского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критический момент. Но, повторяю, сама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фактология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известна достаточно хорошо.  Как и труднообъяснимые с традиционных позиций «больших теорий» обстоятельства: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маргинальность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большевиков даже среди партий социалистической ориентации зимой-весной 1917 года. Отчаянные попытки манипуляции и перехватывания лозунгов. Неудача июньских выступлений. И – осенний «ренессанс», не замеченный публикой октябрьский переворот, проглоченный обществом разгон долгожданного Учредительного собрания. Утверждение советской власти и победа в Гражданской войне. Недавно дошло до того, что эти труднообъяснимые успехи большевиков А.М. Столяров объяснил обращением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Л.Д.Троцкого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помощью к инфернальным силам. 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большевикам и их лидерам (среди которых ведущую роль играли маргиналы, представители этнических меньшинств, недоучившиеся 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студенты и семинаристы), при всем их циничном политическом лавировании, нельзя отказать в «длинной воле», личной преданности делу отрицания не только царского режима, но и проектов политических противников и временных союзников. Недаром укрепившийся режим первым делом начал избавляться от этих людей.    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постсоветская история убедительно подтверждает нетривиальную роль обессиленной политической воли российского общества, его неспособности противостоять бескомпромиссной нетерпимости. Выдвижение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Б.Н.Ельцина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результаты плохо продуманных реформ, призвание Ленсоветом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А.А.Собчака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утверждение пост-ельцинского политического режима, Чечня… 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П.Я.Чаадаев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оказался прав – Россия преподала и преподает хороший урок роли политической воли в победе меньшинства, роли нетерпимости и настойчивости. 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яркие примеры дает и современный мировой опыт: кризис политики толерантности, «возвращение ислама» и т.п. Общество массового потребления, утрачивает образ будущего. Более того – оно боится будущего в страхе потерять настоящее и погружается в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аларм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хорорризацию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 самым утрачивая иммунитет по отношению к преисполненным воли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нетолерантным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такое уже было в мировой истории – и не один раз.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все более очевидным, что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мультикультурализм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неизбежный и полезный в условиях глобализации – и политика толерантности имеют разную природу. Прежде всего, это относится к толерантности, которая воспринимается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нетолерантными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проявление слабости.  В свое время христианство победило благодаря религиозной нетерпимости и агрессивному прозелитизму, тогда как римское язычество проявляло терпимость к верованиям покоренных народов. Современный ислам, фактически, повторяет этот путь.       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данного круга идей, как представляется, способно пролить новый свет на концепцию «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пассионарности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Л.Н.Гумилева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избавив ее от налета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паранаучности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наполнив реальным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операциональным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содержанием. 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Давно уже замечено, что взрывы «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пассионарности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связаны не только с загадочным «космическим излучением», гипотезу о котором высказывал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Л.Н.Гумилев</w:t>
      </w:r>
      <w:proofErr w:type="spellEnd"/>
      <w:r w:rsidR="008D6587" w:rsidRPr="008D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с зонами сейсмической активности, но с другими, более близкими общественным наукам явлениями – например, ростом в демографической структуре социума доли молодежи мужского гендера. Так было в эпоху походов Чингиз-хана, в эпоху Крестовых походов, в эпоху Конкисты… Похожая ситуация была и в России начала ХХ столетия. Теперь такая ситуация складывается в арабских странах. Молодежь, в силу своей избыточности, не имеющая возможность полноценной социализации, ищет и находит способы самореализации и самоутверждения… 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любом случае, следует извлечь главный урок и внимательно присмотреться к новым «знающим – как надо», новым носителям нетерпимости, новым самозванцам, желающим и готовым делать других людей счастливыми помимо и вопреки их воле. И всерьез, ответственно ответить на вопрос о допустимости толерантности к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нетолерантным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ХХ век оставил нам урок морали – подсудны не цели, а используемые для их достижения средства. Все хотят добра, только представления о нем различны. Поэтому подсудны именно и прежде всего – средства. Но это уже другая тема. </w:t>
      </w:r>
    </w:p>
    <w:p w:rsidR="007E4929" w:rsidRPr="007E4929" w:rsidRDefault="007E4929" w:rsidP="007E4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Толерантность, ее пропаганда и просвещение важны, как и терпимость к экстравагантности, необычности, но в сочетании с жесткими мерами к тем, чья экстравагантность сказывается негативно на других, выражаясь в оскорблениях, унижении, ущербе имуществу, прямом насилии. </w:t>
      </w:r>
    </w:p>
    <w:p w:rsidR="007E4929" w:rsidRPr="007E4929" w:rsidRDefault="007E4929" w:rsidP="007E4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Всякая мораль предполагает взаимность и общность, сопричастность этой общности. Если такой общности, общей </w:t>
      </w:r>
      <w:r w:rsidRPr="007E49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identity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то появляются манипуляторы нормами, «безбилетники», пользующиеся «положенными льготами», а то и злонамеренно разыгрывающие доверившихся «сограждан».</w:t>
      </w:r>
    </w:p>
    <w:p w:rsidR="007E4929" w:rsidRPr="007E4929" w:rsidRDefault="007E4929" w:rsidP="007E4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Мораль не столько личностна (как некая система мотивов нравственного поведения), сколько результат действия внеличностных ситуаций и культурных факторов. Любой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этос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определенная техника поведения в стандартных ситуациях социальной жизни. Собственно, любая культуры 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(семейная, дворовая, гендерная, корпоративная, профессиональная, национальная) суть множество стандартных ситуаций, сценариев их развития. И каждый носитель такой культуры ждет от других определенного </w:t>
      </w:r>
      <w:proofErr w:type="spell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играния</w:t>
      </w:r>
      <w:proofErr w:type="spell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ролей, позиционирования «имиджей» - в соответствии с данным статусом. Некультурный человек – это человек, не адекватный ожидаемому исполнению ролей.</w:t>
      </w:r>
      <w:r w:rsidR="008D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587" w:rsidRPr="008D6587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плане культура – фабрика социального взаимодействия, работающая на технологию эффективного решения задач, но и на поддержание доверия, предсказуемости членов общества. Если бы не рутинные моральные правила, мир был бы опасной, враждебной средой и каждая встреча с себе подобным несла бы угрозу. Моральные правила – даже не писаные – распознаваемы, понятны и предсказуемы. И задача социализации в любой ее форме – донести такие правила до личности. Так </w:t>
      </w:r>
      <w:proofErr w:type="gramStart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7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последствия их не соблюдения. </w:t>
      </w:r>
      <w:r w:rsidR="002A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поле для этического консультирования достаточно широко, а перспективы работы отрываются и открываются. </w:t>
      </w:r>
      <w:r w:rsidR="002A1FA6" w:rsidRPr="002A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FA6" w:rsidRDefault="002A1FA6" w:rsidP="004039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4929" w:rsidRPr="007E4929" w:rsidRDefault="007E4929" w:rsidP="004039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492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03952" w:rsidRPr="00403952" w:rsidRDefault="00403952" w:rsidP="0040395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03952">
        <w:rPr>
          <w:rFonts w:ascii="Times New Roman" w:hAnsi="Times New Roman" w:cs="Times New Roman"/>
          <w:sz w:val="28"/>
          <w:szCs w:val="28"/>
        </w:rPr>
        <w:t xml:space="preserve">Гофман Э. Представление себя другим в повседневной жизни. М.: Канон пресс, Куликово поле, 2000.  </w:t>
      </w:r>
    </w:p>
    <w:p w:rsidR="00403952" w:rsidRPr="00403952" w:rsidRDefault="00403952" w:rsidP="0040395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03952">
        <w:rPr>
          <w:rFonts w:ascii="Times New Roman" w:hAnsi="Times New Roman" w:cs="Times New Roman"/>
          <w:sz w:val="28"/>
          <w:szCs w:val="28"/>
        </w:rPr>
        <w:t xml:space="preserve">Гумилев Л.Н. Этногенез и биосфера Земли. М.: Айрис-Пресс, 2016.  </w:t>
      </w:r>
    </w:p>
    <w:p w:rsidR="00403952" w:rsidRPr="00403952" w:rsidRDefault="00403952" w:rsidP="00403952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03952">
        <w:rPr>
          <w:sz w:val="28"/>
          <w:szCs w:val="28"/>
        </w:rPr>
        <w:t>Олсон</w:t>
      </w:r>
      <w:proofErr w:type="spellEnd"/>
      <w:r w:rsidRPr="00403952">
        <w:rPr>
          <w:sz w:val="28"/>
          <w:szCs w:val="28"/>
        </w:rPr>
        <w:t xml:space="preserve"> М. Возвышение и упадок народов: Экономический рост, стагфляция и социальный склероз. М.: Новое издательство, 2013. — 324 с.</w:t>
      </w:r>
    </w:p>
    <w:p w:rsidR="00403952" w:rsidRPr="00403952" w:rsidRDefault="008D6587" w:rsidP="008D6587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03952" w:rsidRPr="00403952">
        <w:rPr>
          <w:sz w:val="28"/>
          <w:szCs w:val="28"/>
        </w:rPr>
        <w:t xml:space="preserve">Столяров А.М. Обратная перспектива. М.: </w:t>
      </w:r>
      <w:proofErr w:type="spellStart"/>
      <w:r w:rsidR="00403952" w:rsidRPr="00403952">
        <w:rPr>
          <w:sz w:val="28"/>
          <w:szCs w:val="28"/>
        </w:rPr>
        <w:t>ЛитСовет</w:t>
      </w:r>
      <w:proofErr w:type="spellEnd"/>
      <w:r w:rsidR="00403952" w:rsidRPr="00403952">
        <w:rPr>
          <w:sz w:val="28"/>
          <w:szCs w:val="28"/>
        </w:rPr>
        <w:t>, 2015.</w:t>
      </w:r>
    </w:p>
    <w:p w:rsidR="008D6587" w:rsidRDefault="008D6587" w:rsidP="008D6587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7E4929" w:rsidRPr="00403952">
        <w:rPr>
          <w:sz w:val="28"/>
          <w:szCs w:val="28"/>
        </w:rPr>
        <w:t>Талеб</w:t>
      </w:r>
      <w:proofErr w:type="spellEnd"/>
      <w:r w:rsidR="007E4929" w:rsidRPr="00403952">
        <w:rPr>
          <w:sz w:val="28"/>
          <w:szCs w:val="28"/>
        </w:rPr>
        <w:t xml:space="preserve"> Н.Н. </w:t>
      </w:r>
      <w:proofErr w:type="spellStart"/>
      <w:r w:rsidR="007E4929" w:rsidRPr="00403952">
        <w:rPr>
          <w:sz w:val="28"/>
          <w:szCs w:val="28"/>
        </w:rPr>
        <w:t>Антихрупкость</w:t>
      </w:r>
      <w:proofErr w:type="spellEnd"/>
      <w:r w:rsidR="007E4929" w:rsidRPr="00403952">
        <w:rPr>
          <w:sz w:val="28"/>
          <w:szCs w:val="28"/>
        </w:rPr>
        <w:t xml:space="preserve">. Как извлечь выгоду из хаоса. М.: 2016. -768 c.; </w:t>
      </w:r>
    </w:p>
    <w:p w:rsidR="007E4929" w:rsidRPr="00403952" w:rsidRDefault="008D6587" w:rsidP="008D6587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7E4929" w:rsidRPr="00403952">
        <w:rPr>
          <w:sz w:val="28"/>
          <w:szCs w:val="28"/>
        </w:rPr>
        <w:t>Талеб</w:t>
      </w:r>
      <w:proofErr w:type="spellEnd"/>
      <w:r w:rsidR="007E4929" w:rsidRPr="00403952">
        <w:rPr>
          <w:sz w:val="28"/>
          <w:szCs w:val="28"/>
        </w:rPr>
        <w:t xml:space="preserve"> Н. Н. Чёрный лебедь. Под знаком непредсказуемости. М.: Колибри», 2009. — 528 с.</w:t>
      </w:r>
    </w:p>
    <w:p w:rsidR="00403952" w:rsidRPr="00403952" w:rsidRDefault="008D6587" w:rsidP="008D6587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403952" w:rsidRPr="00403952">
        <w:rPr>
          <w:sz w:val="28"/>
          <w:szCs w:val="28"/>
        </w:rPr>
        <w:t>Тульчинский</w:t>
      </w:r>
      <w:proofErr w:type="spellEnd"/>
      <w:r w:rsidR="00403952" w:rsidRPr="00403952">
        <w:rPr>
          <w:sz w:val="28"/>
          <w:szCs w:val="28"/>
        </w:rPr>
        <w:t xml:space="preserve"> Г.Л. </w:t>
      </w:r>
      <w:r w:rsidRPr="008D6587">
        <w:rPr>
          <w:sz w:val="28"/>
          <w:szCs w:val="28"/>
        </w:rPr>
        <w:t xml:space="preserve">Чему еще научит российская революция: фактор П.Я. Чаадаева и политическая воля. // Вопросы философии. 2018 № 12, с.131-140. </w:t>
      </w:r>
    </w:p>
    <w:p w:rsidR="00403952" w:rsidRPr="00403952" w:rsidRDefault="008D6587" w:rsidP="008D6587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403952" w:rsidRPr="00403952">
        <w:rPr>
          <w:sz w:val="28"/>
          <w:szCs w:val="28"/>
        </w:rPr>
        <w:t>Чаадаев П.Я. Полное собрание сочинений и избранные письма. Том 1. М.: Наука, 1991.</w:t>
      </w:r>
    </w:p>
    <w:p w:rsidR="007E4929" w:rsidRDefault="007E4929"/>
    <w:p w:rsidR="007E4929" w:rsidRPr="007E4929" w:rsidRDefault="007E4929" w:rsidP="007E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4929">
        <w:rPr>
          <w:rFonts w:ascii="Times New Roman" w:hAnsi="Times New Roman" w:cs="Times New Roman"/>
          <w:sz w:val="24"/>
          <w:szCs w:val="24"/>
        </w:rPr>
        <w:t>Тульчинский</w:t>
      </w:r>
      <w:proofErr w:type="spellEnd"/>
      <w:r w:rsidRPr="007E4929">
        <w:rPr>
          <w:rFonts w:ascii="Times New Roman" w:hAnsi="Times New Roman" w:cs="Times New Roman"/>
          <w:sz w:val="24"/>
          <w:szCs w:val="24"/>
        </w:rPr>
        <w:t xml:space="preserve"> Григорий Львович – доктор философских наук, профессор Санкт-Петербургского государственного университета, кафедра междисциплинарного синтеза в области социальных и гуманитарных наук; профессор Национального исследовательского университета «Высшая школа экономики»-Санкт-Петербург, департамент прикладной политологии, заслуженный деятель науки РФ</w:t>
      </w:r>
    </w:p>
    <w:p w:rsidR="007E4929" w:rsidRPr="007E4929" w:rsidRDefault="007E4929" w:rsidP="007E49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4929">
        <w:rPr>
          <w:rFonts w:ascii="Times New Roman" w:hAnsi="Times New Roman" w:cs="Times New Roman"/>
          <w:sz w:val="24"/>
          <w:szCs w:val="24"/>
          <w:lang w:val="en-US"/>
        </w:rPr>
        <w:t>gtul@mail.ru</w:t>
      </w:r>
    </w:p>
    <w:p w:rsidR="007E4929" w:rsidRPr="007E4929" w:rsidRDefault="007E4929" w:rsidP="007E49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4929" w:rsidRPr="007E4929" w:rsidRDefault="007E4929" w:rsidP="007E49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4929">
        <w:rPr>
          <w:rFonts w:ascii="Times New Roman" w:hAnsi="Times New Roman" w:cs="Times New Roman"/>
          <w:sz w:val="24"/>
          <w:szCs w:val="24"/>
          <w:lang w:val="en-US"/>
        </w:rPr>
        <w:t>Tulchinskii</w:t>
      </w:r>
      <w:proofErr w:type="spellEnd"/>
      <w:r w:rsidRPr="007E4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929">
        <w:rPr>
          <w:rFonts w:ascii="Times New Roman" w:hAnsi="Times New Roman" w:cs="Times New Roman"/>
          <w:sz w:val="24"/>
          <w:szCs w:val="24"/>
          <w:lang w:val="en-US"/>
        </w:rPr>
        <w:t>Grigorii</w:t>
      </w:r>
      <w:proofErr w:type="spellEnd"/>
      <w:r w:rsidRPr="007E4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4929">
        <w:rPr>
          <w:rFonts w:ascii="Times New Roman" w:hAnsi="Times New Roman" w:cs="Times New Roman"/>
          <w:sz w:val="24"/>
          <w:szCs w:val="24"/>
          <w:lang w:val="en-US"/>
        </w:rPr>
        <w:t>Lvovich</w:t>
      </w:r>
      <w:proofErr w:type="spellEnd"/>
      <w:r w:rsidRPr="007E4929">
        <w:rPr>
          <w:rFonts w:ascii="Times New Roman" w:hAnsi="Times New Roman" w:cs="Times New Roman"/>
          <w:sz w:val="24"/>
          <w:szCs w:val="24"/>
          <w:lang w:val="en-US"/>
        </w:rPr>
        <w:t xml:space="preserve"> – Doctor of Philosophy, Professor, </w:t>
      </w:r>
      <w:proofErr w:type="spellStart"/>
      <w:r w:rsidRPr="007E4929">
        <w:rPr>
          <w:rFonts w:ascii="Times New Roman" w:hAnsi="Times New Roman" w:cs="Times New Roman"/>
          <w:sz w:val="24"/>
          <w:szCs w:val="24"/>
          <w:lang w:val="en-US"/>
        </w:rPr>
        <w:t>St.Peterburgian</w:t>
      </w:r>
      <w:proofErr w:type="spellEnd"/>
      <w:r w:rsidRPr="007E4929">
        <w:rPr>
          <w:rFonts w:ascii="Times New Roman" w:hAnsi="Times New Roman" w:cs="Times New Roman"/>
          <w:sz w:val="24"/>
          <w:szCs w:val="24"/>
          <w:lang w:val="en-US"/>
        </w:rPr>
        <w:t xml:space="preserve"> State University, department of interdisciplinary synthesis; National Research University “Higher School of Economics” – </w:t>
      </w:r>
      <w:proofErr w:type="spellStart"/>
      <w:r w:rsidRPr="007E4929">
        <w:rPr>
          <w:rFonts w:ascii="Times New Roman" w:hAnsi="Times New Roman" w:cs="Times New Roman"/>
          <w:sz w:val="24"/>
          <w:szCs w:val="24"/>
          <w:lang w:val="en-US"/>
        </w:rPr>
        <w:t>St.Petersburg</w:t>
      </w:r>
      <w:proofErr w:type="spellEnd"/>
      <w:r w:rsidRPr="007E49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E4929">
        <w:rPr>
          <w:rFonts w:ascii="Times New Roman" w:hAnsi="Times New Roman" w:cs="Times New Roman"/>
          <w:sz w:val="24"/>
          <w:szCs w:val="24"/>
          <w:lang w:val="en-US"/>
        </w:rPr>
        <w:t>Hohored</w:t>
      </w:r>
      <w:proofErr w:type="spellEnd"/>
      <w:r w:rsidRPr="007E4929">
        <w:rPr>
          <w:rFonts w:ascii="Times New Roman" w:hAnsi="Times New Roman" w:cs="Times New Roman"/>
          <w:sz w:val="24"/>
          <w:szCs w:val="24"/>
          <w:lang w:val="en-US"/>
        </w:rPr>
        <w:t xml:space="preserve"> Scientist of Russia</w:t>
      </w:r>
    </w:p>
    <w:p w:rsidR="007E4929" w:rsidRPr="007E4929" w:rsidRDefault="007E4929" w:rsidP="007E49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4929">
        <w:rPr>
          <w:rFonts w:ascii="Times New Roman" w:hAnsi="Times New Roman" w:cs="Times New Roman"/>
          <w:sz w:val="24"/>
          <w:szCs w:val="24"/>
          <w:lang w:val="en-US"/>
        </w:rPr>
        <w:t>gtul@mail.ru</w:t>
      </w:r>
    </w:p>
    <w:p w:rsidR="007E4929" w:rsidRPr="007E4929" w:rsidRDefault="007E4929" w:rsidP="007E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4929" w:rsidRPr="007E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7D" w:rsidRDefault="00FE377D" w:rsidP="007E4929">
      <w:pPr>
        <w:spacing w:after="0" w:line="240" w:lineRule="auto"/>
      </w:pPr>
      <w:r>
        <w:separator/>
      </w:r>
    </w:p>
  </w:endnote>
  <w:endnote w:type="continuationSeparator" w:id="0">
    <w:p w:rsidR="00FE377D" w:rsidRDefault="00FE377D" w:rsidP="007E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7D" w:rsidRDefault="00FE377D" w:rsidP="007E4929">
      <w:pPr>
        <w:spacing w:after="0" w:line="240" w:lineRule="auto"/>
      </w:pPr>
      <w:r>
        <w:separator/>
      </w:r>
    </w:p>
  </w:footnote>
  <w:footnote w:type="continuationSeparator" w:id="0">
    <w:p w:rsidR="00FE377D" w:rsidRDefault="00FE377D" w:rsidP="007E4929">
      <w:pPr>
        <w:spacing w:after="0" w:line="240" w:lineRule="auto"/>
      </w:pPr>
      <w:r>
        <w:continuationSeparator/>
      </w:r>
    </w:p>
  </w:footnote>
  <w:footnote w:id="1">
    <w:p w:rsidR="00E9203C" w:rsidRDefault="00E9203C">
      <w:pPr>
        <w:pStyle w:val="a3"/>
      </w:pPr>
      <w:r w:rsidRPr="00E9203C">
        <w:rPr>
          <w:rStyle w:val="a5"/>
        </w:rPr>
        <w:sym w:font="Symbol" w:char="F02A"/>
      </w:r>
      <w:r>
        <w:t xml:space="preserve"> </w:t>
      </w:r>
      <w:r w:rsidRPr="00E9203C">
        <w:t>Работа выполнена в рамках исследования «Распределение знания в сетевом обществе: взаимодействие архаических и современных форм» при поддержке гранта № 18-511-00018Бел_а Российского фонда фундаментальных исследований.</w:t>
      </w:r>
      <w:bookmarkStart w:id="0" w:name="_GoBack"/>
      <w:bookmarkEnd w:id="0"/>
    </w:p>
  </w:footnote>
  <w:footnote w:id="2">
    <w:p w:rsidR="007E4929" w:rsidRDefault="007E4929" w:rsidP="007E49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3D77D0">
        <w:t>М.М.Пришвин</w:t>
      </w:r>
      <w:proofErr w:type="spellEnd"/>
      <w:r w:rsidRPr="003D77D0">
        <w:t xml:space="preserve">, не читавший записей </w:t>
      </w:r>
      <w:proofErr w:type="spellStart"/>
      <w:r w:rsidRPr="003D77D0">
        <w:t>П.Я.Чаадаева</w:t>
      </w:r>
      <w:proofErr w:type="spellEnd"/>
      <w:r w:rsidRPr="003D77D0">
        <w:t xml:space="preserve">, в своем дневнике сделал запись, удивительно продолжившую </w:t>
      </w:r>
      <w:proofErr w:type="spellStart"/>
      <w:r w:rsidRPr="003D77D0">
        <w:t>чаадаевскую</w:t>
      </w:r>
      <w:proofErr w:type="spellEnd"/>
      <w:r w:rsidRPr="003D77D0">
        <w:t xml:space="preserve"> интуицию: «Накануне революции московская и петербургская интеллигенция держалась за столб дыма. Вот ветер и подул».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14B12"/>
    <w:multiLevelType w:val="hybridMultilevel"/>
    <w:tmpl w:val="D43A48D2"/>
    <w:lvl w:ilvl="0" w:tplc="A59CE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A065B7"/>
    <w:multiLevelType w:val="hybridMultilevel"/>
    <w:tmpl w:val="7114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29"/>
    <w:rsid w:val="0024251D"/>
    <w:rsid w:val="002A1FA6"/>
    <w:rsid w:val="00403952"/>
    <w:rsid w:val="00457C7F"/>
    <w:rsid w:val="00694E3E"/>
    <w:rsid w:val="007E4929"/>
    <w:rsid w:val="008D6587"/>
    <w:rsid w:val="00E9203C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BD7AA-6E98-43DA-93E2-C7703831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4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E4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E4929"/>
    <w:rPr>
      <w:vertAlign w:val="superscript"/>
    </w:rPr>
  </w:style>
  <w:style w:type="paragraph" w:styleId="a6">
    <w:name w:val="List Paragraph"/>
    <w:basedOn w:val="a"/>
    <w:uiPriority w:val="34"/>
    <w:qFormat/>
    <w:rsid w:val="0040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BFCC-9D34-4779-BBD9-A71D01B3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2019-05-16T18:32:00Z</dcterms:created>
  <dcterms:modified xsi:type="dcterms:W3CDTF">2019-05-17T06:22:00Z</dcterms:modified>
</cp:coreProperties>
</file>