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bidi w:val="0"/>
        <w:jc w:val="start"/>
        <w:rPr>
          <w:rFonts w:ascii="Times New Roman" w:hAnsi="Times New Roman"/>
        </w:rPr>
      </w:pPr>
      <w:r>
        <w:rPr>
          <w:rFonts w:eastAsia="TimesNewRoman,Bold" w:ascii="Times New Roman" w:hAnsi="Times New Roman"/>
          <w:sz w:val="24"/>
          <w:szCs w:val="22"/>
          <w:lang w:val="ru-RU"/>
        </w:rPr>
        <w:t>УДК 521.313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Новая метрика в пространстве кеплеровых орбит</w:t>
      </w:r>
    </w:p>
    <w:p>
      <w:pPr>
        <w:pStyle w:val="BodyText"/>
        <w:bidi w:val="0"/>
        <w:jc w:val="center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  <w:t>М. Д. Губина</w:t>
      </w:r>
      <w:r>
        <w:rPr>
          <w:rFonts w:ascii="Times New Roman" w:hAnsi="Times New Roman"/>
          <w:i/>
          <w:iCs/>
          <w:vertAlign w:val="superscript"/>
        </w:rPr>
        <w:t>1</w:t>
      </w:r>
      <w:r>
        <w:rPr>
          <w:rFonts w:ascii="Times New Roman" w:hAnsi="Times New Roman"/>
          <w:i/>
          <w:iCs/>
        </w:rPr>
        <w:t>, В. Ш. Шайдулин</w:t>
      </w:r>
      <w:r>
        <w:rPr>
          <w:rFonts w:ascii="Times New Roman" w:hAnsi="Times New Roman"/>
          <w:i/>
          <w:iCs/>
          <w:vertAlign w:val="superscript"/>
        </w:rPr>
        <w:t>1</w:t>
      </w:r>
    </w:p>
    <w:p>
      <w:pPr>
        <w:pStyle w:val="BodyText"/>
        <w:bidi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Санкт-Петербургский государственный университет (СПбГУ), Санкт-Петербург, Россия</w:t>
      </w:r>
    </w:p>
    <w:p>
      <w:pPr>
        <w:pStyle w:val="BodyText"/>
        <w:bidi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В данной работе предлагается новая метрика, основанная на фундаментальных физических инвариантах орбитального движения. В отличие от существующих подходов, в предлагаемой метрике непосредственно используются интегралы движения. Такой подход обеспечивает естественную физическую интерпретацию и устойчивость к вырожденным случаям. Доказано, что предложенная функция удовлетворяет всем аксиомам метрического пространства. Проведен сравнительный анализ с классическими критериями Саутворта-Хокинса, Драммонда, Йопека и одной из метрик Холшевникова.</w:t>
      </w:r>
    </w:p>
    <w:p>
      <w:pPr>
        <w:pStyle w:val="BodyText"/>
        <w:bidi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lineRule="auto" w:line="240"/>
        <w:ind w:hanging="1560" w:start="156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i/>
          <w:sz w:val="20"/>
          <w:szCs w:val="20"/>
          <w:lang w:val="ru-RU"/>
        </w:rPr>
        <w:t>Ключевые слова:</w:t>
      </w:r>
      <w:r>
        <w:rPr>
          <w:rFonts w:ascii="Times New Roman" w:hAnsi="Times New Roman"/>
          <w:sz w:val="20"/>
          <w:szCs w:val="20"/>
          <w:lang w:val="ru-RU"/>
        </w:rPr>
        <w:t xml:space="preserve">  критерий, метрика, кеплерова орбита, расстояние между орбитами.</w:t>
      </w:r>
    </w:p>
    <w:p>
      <w:pPr>
        <w:pStyle w:val="Normal"/>
        <w:bidi w:val="0"/>
        <w:spacing w:lineRule="auto" w:line="240"/>
        <w:ind w:hanging="1560" w:start="156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1560" w:start="1560"/>
        <w:jc w:val="start"/>
        <w:rPr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 xml:space="preserve">Губина Маргарита Денисовна – студент, </w:t>
      </w:r>
      <w:hyperlink r:id="rId2">
        <w:r>
          <w:rPr>
            <w:rStyle w:val="Hyperlink"/>
            <w:rFonts w:ascii="Times New Roman" w:hAnsi="Times New Roman"/>
            <w:sz w:val="20"/>
            <w:szCs w:val="20"/>
          </w:rPr>
          <w:t>PUMA854@yandex.ru</w:t>
        </w:r>
      </w:hyperlink>
    </w:p>
    <w:p>
      <w:pPr>
        <w:pStyle w:val="Normal"/>
        <w:bidi w:val="0"/>
        <w:spacing w:lineRule="auto" w:line="240"/>
        <w:ind w:hanging="1560" w:start="1560"/>
        <w:jc w:val="start"/>
        <w:rPr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 xml:space="preserve">Шайдулин Вахит Шамильевич – доцент Кафедры небесной механики, кандидат физико-математических наук, </w:t>
      </w:r>
      <w:hyperlink r:id="rId3">
        <w:r>
          <w:rPr>
            <w:rStyle w:val="Hyperlink"/>
            <w:rFonts w:ascii="Times New Roman" w:hAnsi="Times New Roman"/>
            <w:sz w:val="20"/>
            <w:szCs w:val="20"/>
          </w:rPr>
          <w:t>shvak@yandex.ru</w:t>
        </w:r>
      </w:hyperlink>
    </w:p>
    <w:p>
      <w:pPr>
        <w:pStyle w:val="Normal"/>
        <w:bidi w:val="0"/>
        <w:spacing w:lineRule="auto" w:line="240"/>
        <w:ind w:hanging="1560" w:start="1560"/>
        <w:jc w:val="star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1560" w:start="1560"/>
        <w:jc w:val="star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1560" w:start="1560"/>
        <w:jc w:val="center"/>
        <w:rPr>
          <w:sz w:val="20"/>
          <w:szCs w:val="20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A new metric in the space of Keplerian orbits</w:t>
      </w:r>
    </w:p>
    <w:p>
      <w:pPr>
        <w:pStyle w:val="Normal"/>
        <w:bidi w:val="0"/>
        <w:spacing w:lineRule="auto" w:line="240"/>
        <w:ind w:hanging="1560" w:start="1560"/>
        <w:jc w:val="center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  <w:t>M. D. Gubina</w:t>
      </w:r>
      <w:r>
        <w:rPr>
          <w:rFonts w:ascii="Times New Roman" w:hAnsi="Times New Roman"/>
          <w:b w:val="false"/>
          <w:bCs w:val="false"/>
          <w:i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  <w:t>, V. Sh. Shaidulin</w:t>
      </w:r>
      <w:r>
        <w:rPr>
          <w:rFonts w:ascii="Times New Roman" w:hAnsi="Times New Roman"/>
          <w:b w:val="false"/>
          <w:bCs w:val="false"/>
          <w:i/>
          <w:iCs/>
          <w:sz w:val="24"/>
          <w:szCs w:val="24"/>
          <w:vertAlign w:val="superscript"/>
        </w:rPr>
        <w:t>1</w:t>
      </w:r>
    </w:p>
    <w:p>
      <w:pPr>
        <w:pStyle w:val="Normal"/>
        <w:bidi w:val="0"/>
        <w:spacing w:lineRule="auto" w:line="240"/>
        <w:ind w:hanging="1560" w:start="156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1. Saint Petersburg State University (SPbSU), Saint Petersburg, Russia</w:t>
      </w:r>
    </w:p>
    <w:p>
      <w:pPr>
        <w:pStyle w:val="Normal"/>
        <w:bidi w:val="0"/>
        <w:spacing w:lineRule="auto" w:line="240"/>
        <w:ind w:hanging="1560" w:start="156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ab/>
        <w:t>This paper proposes a new metric based on the fundamental physical invariants of orbital motion. Unlike existing approaches, the proposed metric directly employs integrals of motion. This method provides a natural physical interpretation and robustness to degenerate cases. It is proven that the proposed function satisfies all axioms of a metric space. A comparative analysis with the classical Southworth–Hawkins, Drummond, and Jopek criteria, as well as the Kholshevnikov metric, is conducted.</w:t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0"/>
          <w:szCs w:val="20"/>
        </w:rPr>
        <w:t>Keywords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: criterion, metric, Keplerian orbit, distance between orbits.</w:t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Gubina Margarita Denisovna – student,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sz w:val="20"/>
            <w:szCs w:val="20"/>
          </w:rPr>
          <w:t>PUMA854@yandex.ru</w:t>
        </w:r>
      </w:hyperlink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Shaidulin Vakhit Shamilievich –  Associate Professor of the Department of Celestial Mechanics, Candidate of Physical and Mathematical Sciences,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sz w:val="20"/>
            <w:szCs w:val="20"/>
          </w:rPr>
          <w:t>shvak@yandex.ru</w:t>
        </w:r>
      </w:hyperlink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center"/>
        <w:rPr>
          <w:sz w:val="20"/>
          <w:szCs w:val="20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>Введение</w:t>
      </w:r>
    </w:p>
    <w:p>
      <w:pPr>
        <w:pStyle w:val="Normal"/>
        <w:bidi w:val="0"/>
        <w:spacing w:lineRule="auto" w:line="240"/>
        <w:ind w:hanging="0" w:start="0" w:end="0"/>
        <w:jc w:val="start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Одной из ключевых задач небесной механики является оценка близости орбит небесных тел. Классические подходы, основанные на сравнении орбитальных элементов, сталкиваются с принципиальными трудностями при работе с вырожденными случаями – почти круговыми орбитами, где традиционные метрики теряют свою применимость. Первый критерий был предложен Саутвортом и Хокинсом (Southworth &amp; Hawkins, 1963) D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  <w:vertAlign w:val="subscript"/>
        </w:rPr>
        <w:t>sh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для сравнения орбит, основанный на различии эксцентриситетов, перигелийных расстояний и взаимного наклона. Однако данный критерий обладает существенным недостатком – неопределенностью аргумента Π при e→0, поскольку долгота перицентра становится неопределенной для круговых орбит, что делает критерий неприменимым в таких случаях. Драммонд (Drummond, 1981) предложил улучшенную версию критерия, учитывающую относительные различия орбитальных элементов, однако функция D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  <w:vertAlign w:val="subscript"/>
        </w:rPr>
        <w:t xml:space="preserve">D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слабо различает орбиты с сильно различающимися перицентрическими расстояниями. Йопек (Jopek, 1993) предложил собственный критерий D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  <w:vertAlign w:val="subscript"/>
        </w:rPr>
        <w:t>J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, представляющий собой комбинацию элементов из критериев Саутворта-Хокинса и Драммонда. Несмотря на прогресс, данный подход сохраняет сингулярности при e→0, i→0, что ограничивает его применимость. Как было показано в работах Холшевникова (Kholshevnikov et al., 2016), все традиционные D-критерии обладают серьезными математическими недостатками. Основной проблемой является нарушение аксиомы треугольника, что означает, что эти функции не являются метриками в строгом математическом смысле.</w:t>
      </w:r>
    </w:p>
    <w:p>
      <w:pPr>
        <w:pStyle w:val="Normal"/>
        <w:bidi w:val="0"/>
        <w:spacing w:lineRule="auto" w:line="240"/>
        <w:ind w:hanging="0" w:start="0" w:end="0"/>
        <w:jc w:val="star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start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Значительный прогресс был достигнут в работах Холшевникова (2004 – 2016) (Kholshevnikov &amp; Vassiliev, 2004, Kholshevnikov, 2008, Kholshevnikov et al., 2016) впервые построившего настоящие метрики в пространствах кеплеровых орбит. Однако вычислительная сложность этих подходов ограничивает их практическое применение.</w:t>
      </w:r>
    </w:p>
    <w:p>
      <w:pPr>
        <w:pStyle w:val="Normal"/>
        <w:bidi w:val="0"/>
        <w:spacing w:lineRule="auto" w:line="240"/>
        <w:ind w:hanging="0" w:start="0" w:end="0"/>
        <w:jc w:val="star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Normal"/>
        <w:bidi w:val="0"/>
        <w:spacing w:lineRule="auto" w:line="240"/>
        <w:ind w:hanging="0" w:start="0" w:end="0"/>
        <w:jc w:val="center"/>
        <w:rPr>
          <w:sz w:val="20"/>
          <w:szCs w:val="20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>Предлагаемый подход</w:t>
      </w:r>
    </w:p>
    <w:p>
      <w:pPr>
        <w:pStyle w:val="Style14"/>
        <w:bidi w:val="0"/>
        <w:spacing w:lineRule="auto" w:line="240"/>
        <w:ind w:hanging="0" w:start="0" w:end="0"/>
        <w:jc w:val="start"/>
        <w:rPr>
          <w:sz w:val="20"/>
          <w:szCs w:val="20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ab/>
        <w:t>В данной работе предлагается новая метрика, основанная на фундаментальных физических инвариантах орбитального движения. В отличие от существующих подходов, используются непосредственно интегралы движения, что обеспечивает естественную физическую интерпретацию и устойчивость к вырожденным случаям.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ab/>
        <w:t>Рассматривается пятимерное пространство H непрямолинейных кеплеровых орбит с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метрикой следующего вида: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Para xmlns:m="http://schemas.openxmlformats.org/officeDocument/2006/math">
        <m:oMathParaPr>
          <m:jc m:val="left"/>
        </m:oMathParaPr>
        <m:oMath>
          <m:sSup>
            <m:e>
              <m:r>
                <m:t xml:space="preserve">g</m:t>
              </m:r>
            </m:e>
            <m:sup>
              <m:r>
                <m:t xml:space="preserve">2</m:t>
              </m:r>
            </m:sup>
          </m:sSup>
          <m:d>
            <m:dPr>
              <m:begChr m:val="("/>
              <m:endChr m:val=")"/>
            </m:dPr>
            <m:e>
              <m:sSub>
                <m:e>
                  <m:r>
                    <m:t xml:space="preserve">ε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=</m:t>
          </m:r>
          <m:sSup>
            <m:e>
              <m:d>
                <m:dPr>
                  <m:begChr m:val="("/>
                  <m:endChr m:val=")"/>
                </m:dPr>
                <m:e>
                  <m:f>
                    <m:num>
                      <m:sSub>
                        <m:e>
                          <m:r>
                            <m:t xml:space="preserve">E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  <m:r>
                        <m:t xml:space="preserve">−</m:t>
                      </m:r>
                      <m:sSub>
                        <m:e>
                          <m:r>
                            <m:t xml:space="preserve">E</m:t>
                          </m:r>
                        </m:e>
                        <m:sub>
                          <m:r>
                            <m:t xml:space="preserve">2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t xml:space="preserve">E</m:t>
                          </m:r>
                        </m:e>
                        <m:sub>
                          <m:r>
                            <m:t xml:space="preserve">scale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t xml:space="preserve">2</m:t>
              </m:r>
            </m:sup>
          </m:sSup>
          <m:r>
            <m:t xml:space="preserve">+</m:t>
          </m:r>
          <m:sSup>
            <m:e>
              <m:d>
                <m:dPr>
                  <m:begChr m:val="("/>
                  <m:endChr m:val=")"/>
                </m:dPr>
                <m:e>
                  <m:f>
                    <m:num>
                      <m:d>
                        <m:dPr>
                          <m:begChr m:val="|"/>
                          <m:endChr m:val="|"/>
                        </m:dPr>
                        <m:e>
                          <m:sSub>
                            <m:e>
                              <m:r>
                                <m:t xml:space="preserve">L</m:t>
                              </m:r>
                            </m:e>
                            <m:sub>
                              <m:r>
                                <m:t xml:space="preserve">1</m:t>
                              </m:r>
                            </m:sub>
                          </m:sSub>
                        </m:e>
                      </m:d>
                      <m:r>
                        <m:t xml:space="preserve">−</m:t>
                      </m:r>
                      <m:d>
                        <m:dPr>
                          <m:begChr m:val="|"/>
                          <m:endChr m:val="|"/>
                        </m:dPr>
                        <m:e>
                          <m:sSub>
                            <m:e>
                              <m:r>
                                <m:t xml:space="preserve">L</m:t>
                              </m:r>
                            </m:e>
                            <m:sub>
                              <m:r>
                                <m:t xml:space="preserve">2</m:t>
                              </m:r>
                            </m:sub>
                          </m:sSub>
                        </m:e>
                      </m:d>
                    </m:num>
                    <m:den>
                      <m:sSub>
                        <m:e>
                          <m:r>
                            <m:t xml:space="preserve">L</m:t>
                          </m:r>
                        </m:e>
                        <m:sub>
                          <m:r>
                            <m:t xml:space="preserve">scale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t xml:space="preserve">2</m:t>
              </m:r>
            </m:sup>
          </m:sSup>
          <m:r>
            <m:t xml:space="preserve">+</m:t>
          </m:r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sSup>
            <m:e>
              <m:d>
                <m:dPr>
                  <m:begChr m:val="("/>
                  <m:endChr m:val=")"/>
                </m:dPr>
                <m:e>
                  <m:acc>
                    <m:accPr>
                      <m:chr m:val="⃗"/>
                    </m:accPr>
                    <m:e>
                      <m:sSub>
                        <m:e>
                          <m:r>
                            <m:t xml:space="preserve">q</m:t>
                          </m:r>
                        </m:e>
                        <m:sub>
                          <m:r>
                            <m:t xml:space="preserve">1</m:t>
                          </m:r>
                        </m:sub>
                      </m:sSub>
                    </m:e>
                  </m:acc>
                  <m:r>
                    <m:t xml:space="preserve">,</m:t>
                  </m:r>
                  <m:acc>
                    <m:accPr>
                      <m:chr m:val="⃗"/>
                    </m:accPr>
                    <m:e>
                      <m:sSub>
                        <m:e>
                          <m:r>
                            <m:t xml:space="preserve">q</m:t>
                          </m:r>
                        </m:e>
                        <m:sub>
                          <m:r>
                            <m:t xml:space="preserve">2</m:t>
                          </m:r>
                        </m:sub>
                      </m:sSub>
                    </m:e>
                  </m:acc>
                </m:e>
              </m:d>
            </m:e>
            <m:sup>
              <m:r>
                <m:t xml:space="preserve">2</m:t>
              </m:r>
            </m:sup>
          </m:sSup>
        </m:oMath>
      </m:oMathPara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где: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 xmlns:m="http://schemas.openxmlformats.org/officeDocument/2006/math">
        <m:r>
          <m:t xml:space="preserve">E</m:t>
        </m:r>
        <m:r>
          <m:t xml:space="preserve">=</m:t>
        </m:r>
        <m:r>
          <m:t xml:space="preserve">−</m:t>
        </m:r>
        <m:f>
          <m:num>
            <m:r>
              <m:t xml:space="preserve">μ</m:t>
            </m:r>
          </m:num>
          <m:den>
            <m:r>
              <m:t xml:space="preserve">2</m:t>
            </m:r>
            <m:r>
              <m:t xml:space="preserve">a</m:t>
            </m:r>
          </m:den>
        </m:f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–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полная энергия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sz w:val="20"/>
        </w:rPr>
      </w:pPr>
      <w:r>
        <w:rPr>
          <w:sz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acc>
              <m:accPr>
                <m:chr m:val="⃗"/>
              </m:accPr>
              <m:e>
                <m:r>
                  <m:t xml:space="preserve">L</m:t>
                </m:r>
              </m:e>
            </m:acc>
          </m:e>
        </m:d>
        <m:r>
          <m:t xml:space="preserve">=</m:t>
        </m:r>
        <m:rad>
          <m:radPr>
            <m:degHide m:val="1"/>
          </m:radPr>
          <m:deg/>
          <m:e>
            <m:r>
              <m:t xml:space="preserve">μa</m:t>
            </m:r>
            <m:d>
              <m:dPr>
                <m:begChr m:val="("/>
                <m:endChr m:val=")"/>
              </m:dPr>
              <m:e>
                <m:r>
                  <m:t xml:space="preserve">1</m:t>
                </m:r>
                <m:r>
                  <m:t xml:space="preserve">−</m:t>
                </m:r>
                <m:sSup>
                  <m:e>
                    <m:r>
                      <m:t xml:space="preserve">e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d>
          </m:e>
        </m:rad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–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модуль момента импульса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sz w:val="20"/>
        </w:rPr>
      </w:pPr>
      <w:r>
        <w:rPr>
          <w:sz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 xmlns:m="http://schemas.openxmlformats.org/officeDocument/2006/math">
        <m:sSub>
          <m:e>
            <m:r>
              <m:t xml:space="preserve">d</m:t>
            </m:r>
          </m:e>
          <m:sub>
            <m:r>
              <m:t xml:space="preserve">q</m:t>
            </m:r>
          </m:sub>
        </m:sSub>
        <m:d>
          <m:dPr>
            <m:begChr m:val="("/>
            <m:endChr m:val=")"/>
          </m:dPr>
          <m:e>
            <m:acc>
              <m:accPr>
                <m:chr m:val="⃗"/>
              </m:accPr>
              <m:e>
                <m:sSub>
                  <m:e>
                    <m:r>
                      <m:t xml:space="preserve">q</m:t>
                    </m:r>
                  </m:e>
                  <m:sub>
                    <m:r>
                      <m:t xml:space="preserve">1</m:t>
                    </m:r>
                  </m:sub>
                </m:sSub>
              </m:e>
            </m:acc>
            <m:r>
              <m:t xml:space="preserve">,</m:t>
            </m:r>
            <m:acc>
              <m:accPr>
                <m:chr m:val="⃗"/>
              </m:accPr>
              <m:e>
                <m:sSub>
                  <m:e>
                    <m:r>
                      <m:t xml:space="preserve">q</m:t>
                    </m:r>
                  </m:e>
                  <m:sub>
                    <m:r>
                      <m:t xml:space="preserve">2</m:t>
                    </m:r>
                  </m:sub>
                </m:sSub>
              </m:e>
            </m:acc>
          </m:e>
        </m:d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–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расстояние между ориентациями орбит, задаваемыми единичными кватернионами </w:t>
      </w:r>
      <w:r>
        <w:rPr/>
      </w:r>
      <m:oMath xmlns:m="http://schemas.openxmlformats.org/officeDocument/2006/math">
        <m:acc>
          <m:accPr>
            <m:chr m:val="⃗"/>
          </m:accPr>
          <m:e>
            <m:sSub>
              <m:e>
                <m:r>
                  <m:t xml:space="preserve">q</m:t>
                </m:r>
              </m:e>
              <m:sub>
                <m:r>
                  <m:t xml:space="preserve">1</m:t>
                </m:r>
              </m:sub>
            </m:sSub>
          </m:e>
        </m:acc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и </w:t>
      </w:r>
      <w:r>
        <w:rPr/>
      </w:r>
      <m:oMath xmlns:m="http://schemas.openxmlformats.org/officeDocument/2006/math">
        <m:acc>
          <m:accPr>
            <m:chr m:val="⃗"/>
          </m:accPr>
          <m:e>
            <m:sSub>
              <m:e>
                <m:r>
                  <m:t xml:space="preserve">q</m:t>
                </m:r>
              </m:e>
              <m:sub>
                <m:r>
                  <m:t xml:space="preserve">2</m:t>
                </m:r>
              </m:sub>
            </m:sSub>
          </m:e>
        </m:acc>
      </m:oMath>
    </w:p>
    <w:p>
      <w:pPr>
        <w:pStyle w:val="Style14"/>
        <w:bidi w:val="0"/>
        <w:spacing w:before="0" w:after="0"/>
        <w:ind w:hanging="0" w:start="0" w:end="-850"/>
        <w:jc w:val="start"/>
        <w:rPr>
          <w:sz w:val="20"/>
        </w:rPr>
      </w:pPr>
      <w:r>
        <w:rPr>
          <w:sz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 xmlns:m="http://schemas.openxmlformats.org/officeDocument/2006/math">
        <m:sSub>
          <m:e>
            <m:r>
              <m:t xml:space="preserve">E</m:t>
            </m:r>
          </m:e>
          <m:sub>
            <m:r>
              <m:t xml:space="preserve">scale</m:t>
            </m:r>
          </m:sub>
        </m:sSub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и  </w:t>
      </w:r>
      <w:r>
        <w:rPr/>
      </w:r>
      <m:oMath xmlns:m="http://schemas.openxmlformats.org/officeDocument/2006/math">
        <m:sSub>
          <m:e>
            <m:r>
              <m:t xml:space="preserve">L</m:t>
            </m:r>
          </m:e>
          <m:sub>
            <m:r>
              <m:t xml:space="preserve">scale</m:t>
            </m:r>
          </m:sub>
        </m:sSub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– масштабные коэффициенты, обеспечивающие безразмерность и сопоставимость вкладов от разности энергий и моментов импульса в метрике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iCs/>
          <w:sz w:val="20"/>
        </w:rPr>
        <w:t>Замечание:</w:t>
      </w:r>
      <w:r>
        <w:rPr>
          <w:rFonts w:ascii="Times New Roman" w:hAnsi="Times New Roman"/>
          <w:sz w:val="20"/>
        </w:rPr>
        <w:t xml:space="preserve"> в формуле рассматривается разность модулей момента импульса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Для параметризации ориентации орбитальной плоскости в пространстве используется </w:t>
      </w:r>
      <w:r>
        <w:rPr>
          <w:rFonts w:ascii="Times New Roman" w:hAnsi="Times New Roman"/>
          <w:b/>
          <w:bCs/>
          <w:i w:val="false"/>
          <w:iCs w:val="false"/>
          <w:sz w:val="20"/>
          <w:szCs w:val="20"/>
        </w:rPr>
        <w:t>единичный кватернион</w:t>
      </w:r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/>
      </w:r>
      <m:oMath xmlns:m="http://schemas.openxmlformats.org/officeDocument/2006/math">
        <m:acc>
          <m:accPr>
            <m:chr m:val="⃗"/>
          </m:accPr>
          <m:e>
            <m:r>
              <m:t xml:space="preserve">q</m:t>
            </m:r>
          </m:e>
        </m:acc>
        <m:r>
          <m:t xml:space="preserve">∈</m:t>
        </m:r>
        <m:sSup>
          <m:e>
            <m:r>
              <m:t xml:space="preserve">S</m:t>
            </m:r>
          </m:e>
          <m:sup>
            <m:r>
              <m:t xml:space="preserve">3</m:t>
            </m:r>
          </m:sup>
        </m:sSup>
      </m:oMath>
      <w:r>
        <w:rPr>
          <w:rFonts w:ascii="Times New Roman" w:hAnsi="Times New Roman"/>
          <w:b w:val="false"/>
          <w:bCs w:val="false"/>
          <w:i w:val="false"/>
          <w:iCs w:val="false"/>
          <w:sz w:val="20"/>
          <w:szCs w:val="20"/>
        </w:rPr>
        <w:t>, который строится по орбитальным элементам следующим образом:</w:t>
      </w:r>
    </w:p>
    <w:p>
      <w:pPr>
        <w:pStyle w:val="Style14"/>
        <w:bidi w:val="0"/>
        <w:spacing w:before="0" w:after="0"/>
        <w:ind w:hanging="0" w:start="0" w:end="-850"/>
        <w:jc w:val="start"/>
        <w:rPr>
          <w:sz w:val="20"/>
        </w:rPr>
      </w:pPr>
      <w:r>
        <w:rPr>
          <w:sz w:val="20"/>
        </w:rPr>
      </w:r>
    </w:p>
    <w:p>
      <w:pPr>
        <w:pStyle w:val="Style14"/>
        <w:bidi w:val="0"/>
        <w:spacing w:before="0" w:after="0"/>
        <w:ind w:hanging="0" w:start="0" w:end="-850"/>
        <w:jc w:val="start"/>
        <w:rPr>
          <w:rFonts w:ascii="Times New Roman" w:hAnsi="Times New Roman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/>
      </w:r>
      <m:oMathPara xmlns:m="http://schemas.openxmlformats.org/officeDocument/2006/math">
        <m:oMathParaPr>
          <m:jc m:val="left"/>
        </m:oMathParaPr>
        <m:oMath>
          <m:d>
            <m:dPr>
              <m:begChr m:val="("/>
              <m:endChr m:val=")"/>
            </m:dPr>
            <m:e>
              <m:m>
                <m:mr>
                  <m:e>
                    <m:sSub>
                      <m:e>
                        <m:r>
                          <m:t xml:space="preserve">q</m:t>
                        </m:r>
                      </m:e>
                      <m:sub>
                        <m:r>
                          <m:t xml:space="preserve">0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 xml:space="preserve">q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 xml:space="preserve">q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 xml:space="preserve">q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</m:e>
                </m:mr>
              </m:m>
            </m:e>
          </m:d>
          <m:r>
            <m:t xml:space="preserve">=</m:t>
          </m:r>
          <m:d>
            <m:dPr>
              <m:begChr m:val="("/>
              <m:endChr m:val=")"/>
            </m:dPr>
            <m:e>
              <m:m>
                <m:mr>
                  <m:e>
                    <m:r>
                      <m:t xml:space="preserve">cos</m:t>
                    </m:r>
                    <m:f>
                      <m:num>
                        <m:r>
                          <m:t xml:space="preserve">i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cos</m:t>
                    </m:r>
                    <m:f>
                      <m:num>
                        <m:r>
                          <m:t xml:space="preserve">Ω</m:t>
                        </m:r>
                        <m:r>
                          <m:t xml:space="preserve">+</m:t>
                        </m:r>
                        <m:r>
                          <m:t xml:space="preserve">ω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e>
                </m:mr>
                <m:mr>
                  <m:e>
                    <m:r>
                      <m:t xml:space="preserve">sin</m:t>
                    </m:r>
                    <m:f>
                      <m:num>
                        <m:r>
                          <m:t xml:space="preserve">i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cos</m:t>
                    </m:r>
                    <m:f>
                      <m:num>
                        <m:r>
                          <m:t xml:space="preserve">Ω</m:t>
                        </m:r>
                        <m:r>
                          <m:t xml:space="preserve">−</m:t>
                        </m:r>
                        <m:r>
                          <m:t xml:space="preserve">ω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e>
                </m:mr>
                <m:mr>
                  <m:e>
                    <m:r>
                      <m:t xml:space="preserve">sin</m:t>
                    </m:r>
                    <m:f>
                      <m:num>
                        <m:r>
                          <m:t xml:space="preserve">i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sin</m:t>
                    </m:r>
                    <m:f>
                      <m:num>
                        <m:r>
                          <m:t xml:space="preserve">Ω</m:t>
                        </m:r>
                        <m:r>
                          <m:t xml:space="preserve">−</m:t>
                        </m:r>
                        <m:r>
                          <m:t xml:space="preserve">ω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e>
                </m:mr>
                <m:mr>
                  <m:e>
                    <m:r>
                      <m:t xml:space="preserve">cos</m:t>
                    </m:r>
                    <m:f>
                      <m:num>
                        <m:r>
                          <m:t xml:space="preserve">i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  <m:r>
                      <m:t xml:space="preserve">sin</m:t>
                    </m:r>
                    <m:f>
                      <m:num>
                        <m:r>
                          <m:t xml:space="preserve">Ω</m:t>
                        </m:r>
                        <m:r>
                          <m:t xml:space="preserve">+</m:t>
                        </m:r>
                        <m:r>
                          <m:t xml:space="preserve">ω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e>
                </m:mr>
              </m:m>
            </m:e>
          </m:d>
        </m:oMath>
      </m:oMathPara>
    </w:p>
    <w:p>
      <w:pPr>
        <w:pStyle w:val="Style14"/>
        <w:bidi w:val="0"/>
        <w:spacing w:before="0" w:after="0"/>
        <w:ind w:hanging="0" w:start="0" w:end="-850"/>
        <w:jc w:val="start"/>
        <w:rPr>
          <w:sz w:val="20"/>
        </w:rPr>
      </w:pPr>
      <w:r>
        <w:rPr>
          <w:sz w:val="20"/>
        </w:rPr>
      </w:r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Учитывая, что кватернионы </w:t>
      </w:r>
      <w:r>
        <w:rPr/>
      </w:r>
      <m:oMath xmlns:m="http://schemas.openxmlformats.org/officeDocument/2006/math">
        <m:acc>
          <m:accPr>
            <m:chr m:val="⃗"/>
          </m:accPr>
          <m:e>
            <m:r>
              <m:t xml:space="preserve">q</m:t>
            </m:r>
          </m:e>
        </m:acc>
        <m:r>
          <m:t xml:space="preserve">≡</m:t>
        </m:r>
        <m:r>
          <m:t xml:space="preserve">−</m:t>
        </m:r>
        <m:acc>
          <m:accPr>
            <m:chr m:val="⃗"/>
          </m:accPr>
          <m:e>
            <m:r>
              <m:t xml:space="preserve">q</m:t>
            </m:r>
          </m:e>
        </m:acc>
      </m:oMath>
      <w:r>
        <w:rPr>
          <w:rFonts w:ascii="Times New Roman" w:hAnsi="Times New Roman"/>
          <w:color w:val="000000"/>
          <w:sz w:val="20"/>
          <w:szCs w:val="20"/>
        </w:rPr>
        <w:t xml:space="preserve"> задают идентичную ориентацию орбиты, расстояние определяется на </w:t>
      </w:r>
      <w:r>
        <w:rPr/>
      </w:r>
      <m:oMath xmlns:m="http://schemas.openxmlformats.org/officeDocument/2006/math">
        <m:sSup>
          <m:e>
            <m:r>
              <m:t xml:space="preserve">S</m:t>
            </m:r>
          </m:e>
          <m:sup>
            <m:r>
              <m:t xml:space="preserve">3</m:t>
            </m:r>
          </m:sup>
        </m:sSup>
      </m:oMath>
      <w:r>
        <w:rPr>
          <w:rFonts w:ascii="Times New Roman" w:hAnsi="Times New Roman"/>
          <w:color w:val="000000"/>
          <w:sz w:val="20"/>
          <w:szCs w:val="20"/>
        </w:rPr>
        <w:t>, где эти пары отождествлены: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=</m:t>
          </m:r>
          <m:r>
            <m:t xml:space="preserve">min</m:t>
          </m:r>
          <m:d>
            <m:dPr>
              <m:begChr m:val="("/>
              <m:endChr m:val=")"/>
            </m:dPr>
            <m:e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∥</m:t>
              </m:r>
              <m:r>
                <m:t xml:space="preserve">,</m:t>
              </m:r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∥</m:t>
              </m:r>
            </m:e>
          </m:d>
          <m:r>
            <m:t xml:space="preserve">.</m:t>
          </m:r>
        </m:oMath>
      </m:oMathPara>
    </w:p>
    <w:p>
      <w:pPr>
        <w:pStyle w:val="Heading2"/>
        <w:bidi w:val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Доказательство метрических свойств</w:t>
      </w:r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Теорема 1</w:t>
      </w:r>
      <w:r>
        <w:rPr>
          <w:rFonts w:ascii="Times New Roman" w:hAnsi="Times New Roman"/>
          <w:color w:val="000000"/>
          <w:sz w:val="20"/>
          <w:szCs w:val="20"/>
        </w:rPr>
        <w:t xml:space="preserve">. 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Функция g, является метрикой в пространстве кеплеровых орбит.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Доказательство. </w:t>
      </w:r>
      <w:r>
        <w:rPr>
          <w:rFonts w:ascii="Times New Roman" w:hAnsi="Times New Roman"/>
          <w:color w:val="000000"/>
          <w:sz w:val="20"/>
          <w:szCs w:val="20"/>
        </w:rPr>
        <w:t xml:space="preserve">1.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Неотрицательность и тождество неразличимых: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/>
      </w:r>
      <m:oMath xmlns:m="http://schemas.openxmlformats.org/officeDocument/2006/math">
        <m:r>
          <m:t xml:space="preserve">g</m:t>
        </m:r>
        <m:d>
          <m:dPr>
            <m:begChr m:val="("/>
            <m:endChr m:val=")"/>
          </m:dPr>
          <m:e>
            <m:sSub>
              <m:e>
                <m:r>
                  <m:t xml:space="preserve">E</m:t>
                </m:r>
              </m:e>
              <m:sub>
                <m:r>
                  <m:t xml:space="preserve">1</m:t>
                </m:r>
              </m:sub>
            </m:sSub>
            <m:r>
              <m:t xml:space="preserve">,</m:t>
            </m:r>
            <m:sSub>
              <m:e>
                <m:r>
                  <m:t xml:space="preserve">E</m:t>
                </m:r>
              </m:e>
              <m:sub>
                <m:r>
                  <m:t xml:space="preserve">2</m:t>
                </m:r>
              </m:sub>
            </m:sSub>
          </m:e>
        </m:d>
        <m:r>
          <m:t xml:space="preserve">≥</m:t>
        </m:r>
        <m:r>
          <m:t xml:space="preserve">0</m:t>
        </m:r>
      </m:oMath>
      <w:r>
        <w:rPr>
          <w:rFonts w:ascii="Times New Roman" w:hAnsi="Times New Roman"/>
          <w:color w:val="000000"/>
          <w:sz w:val="20"/>
          <w:szCs w:val="20"/>
        </w:rPr>
        <w:t>, так как все слагаемые неотрицательны</w:t>
      </w:r>
    </w:p>
    <w:p>
      <w:pPr>
        <w:pStyle w:val="Normal"/>
        <w:numPr>
          <w:ilvl w:val="0"/>
          <w:numId w:val="8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/>
      </w:r>
      <m:oMath xmlns:m="http://schemas.openxmlformats.org/officeDocument/2006/math">
        <m:r>
          <m:t xml:space="preserve">g</m:t>
        </m:r>
        <m:d>
          <m:dPr>
            <m:begChr m:val="("/>
            <m:endChr m:val=")"/>
          </m:dPr>
          <m:e>
            <m:sSub>
              <m:e>
                <m:r>
                  <m:t xml:space="preserve">E</m:t>
                </m:r>
              </m:e>
              <m:sub>
                <m:r>
                  <m:t xml:space="preserve">1</m:t>
                </m:r>
              </m:sub>
            </m:sSub>
            <m:r>
              <m:t xml:space="preserve">,</m:t>
            </m:r>
            <m:sSub>
              <m:e>
                <m:r>
                  <m:t xml:space="preserve">E</m:t>
                </m:r>
              </m:e>
              <m:sub>
                <m:r>
                  <m:t xml:space="preserve">2</m:t>
                </m:r>
              </m:sub>
            </m:sSub>
          </m:e>
        </m:d>
        <m:r>
          <m:t xml:space="preserve">=</m:t>
        </m:r>
        <m:r>
          <m:t xml:space="preserve">0</m:t>
        </m:r>
      </m:oMath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тогда и только тогда, когда: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m>
            <m:mr>
              <m:e>
                <m:d>
                  <m:dPr>
                    <m:begChr m:val="|"/>
                    <m:endChr m:val="|"/>
                  </m:dPr>
                  <m:e>
                    <m:sSub>
                      <m:e>
                        <m:r>
                          <m:t xml:space="preserve">E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  <m:r>
                      <m:t xml:space="preserve">−</m:t>
                    </m:r>
                    <m:sSub>
                      <m:e>
                        <m:r>
                          <m:t xml:space="preserve">E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e>
                </m:d>
                <m:r>
                  <m:t xml:space="preserve">=</m:t>
                </m:r>
                <m:r>
                  <m:t xml:space="preserve">0</m:t>
                </m:r>
                <m:r>
                  <m:t xml:space="preserve">→</m:t>
                </m:r>
                <m:sSub>
                  <m:e>
                    <m:r>
                      <m:t xml:space="preserve">E</m:t>
                    </m:r>
                  </m:e>
                  <m:sub>
                    <m:r>
                      <m:t xml:space="preserve">1</m:t>
                    </m:r>
                  </m:sub>
                </m:sSub>
                <m:r>
                  <m:t xml:space="preserve">=</m:t>
                </m:r>
                <m:sSub>
                  <m:e>
                    <m:r>
                      <m:t xml:space="preserve">E</m:t>
                    </m:r>
                  </m:e>
                  <m:sub>
                    <m:r>
                      <m:t xml:space="preserve">2</m:t>
                    </m:r>
                  </m:sub>
                </m:sSub>
              </m:e>
            </m:mr>
            <m:mr>
              <m:e>
                <m:d>
                  <m:dPr>
                    <m:begChr m:val="|"/>
                    <m:endChr m:val="|"/>
                  </m:dPr>
                  <m:e>
                    <m:sSub>
                      <m:e>
                        <m:r>
                          <m:t xml:space="preserve">L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  <m:r>
                      <m:t xml:space="preserve">−</m:t>
                    </m:r>
                    <m:sSub>
                      <m:e>
                        <m:r>
                          <m:t xml:space="preserve">L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e>
                </m:d>
                <m:r>
                  <m:t xml:space="preserve">=</m:t>
                </m:r>
                <m:r>
                  <m:t xml:space="preserve">0</m:t>
                </m:r>
                <m:r>
                  <m:t xml:space="preserve">→</m:t>
                </m:r>
                <m:sSub>
                  <m:e>
                    <m:r>
                      <m:t xml:space="preserve">L</m:t>
                    </m:r>
                  </m:e>
                  <m:sub>
                    <m:r>
                      <m:t xml:space="preserve">1</m:t>
                    </m:r>
                  </m:sub>
                </m:sSub>
                <m:r>
                  <m:t xml:space="preserve">=</m:t>
                </m:r>
                <m:sSub>
                  <m:e>
                    <m:r>
                      <m:t xml:space="preserve">L</m:t>
                    </m:r>
                  </m:e>
                  <m:sub>
                    <m:r>
                      <m:t xml:space="preserve">2</m:t>
                    </m:r>
                  </m:sub>
                </m:sSub>
              </m:e>
            </m:mr>
            <m:mr>
              <m:e>
                <m:sSub>
                  <m:e>
                    <m:r>
                      <m:t xml:space="preserve">d</m:t>
                    </m:r>
                  </m:e>
                  <m:sub>
                    <m:r>
                      <m:t xml:space="preserve">q</m:t>
                    </m:r>
                  </m:sub>
                </m:sSub>
                <m:d>
                  <m:dPr>
                    <m:begChr m:val="("/>
                    <m:endChr m:val=")"/>
                  </m:dPr>
                  <m:e>
                    <m:sSub>
                      <m:e>
                        <m:acc>
                          <m:accPr>
                            <m:chr m:val="⃗"/>
                          </m:accPr>
                          <m:e>
                            <m:r>
                              <m:t xml:space="preserve">q</m:t>
                            </m:r>
                          </m:e>
                        </m:acc>
                      </m:e>
                      <m:sub>
                        <m:r>
                          <m:t xml:space="preserve">1</m:t>
                        </m:r>
                      </m:sub>
                    </m:sSub>
                    <m:r>
                      <m:t xml:space="preserve">,</m:t>
                    </m:r>
                    <m:sSub>
                      <m:e>
                        <m:acc>
                          <m:accPr>
                            <m:chr m:val="⃗"/>
                          </m:accPr>
                          <m:e>
                            <m:r>
                              <m:t xml:space="preserve">q</m:t>
                            </m:r>
                          </m:e>
                        </m:acc>
                      </m:e>
                      <m:sub>
                        <m:r>
                          <m:t xml:space="preserve">2</m:t>
                        </m:r>
                      </m:sub>
                    </m:sSub>
                  </m:e>
                </m:d>
                <m:r>
                  <m:t xml:space="preserve">=</m:t>
                </m:r>
                <m:r>
                  <m:t xml:space="preserve">0</m:t>
                </m:r>
                <m:r>
                  <m:t xml:space="preserve">→</m:t>
                </m:r>
                <m:sSub>
                  <m:e>
                    <m:acc>
                      <m:accPr>
                        <m:chr m:val="⃗"/>
                      </m:accPr>
                      <m:e>
                        <m:r>
                          <m:t xml:space="preserve">q</m:t>
                        </m:r>
                      </m:e>
                    </m:acc>
                  </m:e>
                  <m:sub>
                    <m:r>
                      <m:t xml:space="preserve">1</m:t>
                    </m:r>
                  </m:sub>
                </m:sSub>
                <m:r>
                  <m:t xml:space="preserve">=</m:t>
                </m:r>
                <m:r>
                  <m:t xml:space="preserve">±</m:t>
                </m:r>
                <m:sSub>
                  <m:e>
                    <m:acc>
                      <m:accPr>
                        <m:chr m:val="⃗"/>
                      </m:accPr>
                      <m:e>
                        <m:r>
                          <m:t xml:space="preserve">q</m:t>
                        </m:r>
                      </m:e>
                    </m:acc>
                  </m:e>
                  <m:sub>
                    <m:r>
                      <m:t xml:space="preserve">2</m:t>
                    </m:r>
                  </m:sub>
                </m:sSub>
              </m:e>
            </m:mr>
          </m:m>
        </m:oMath>
      </m:oMathPara>
    </w:p>
    <w:p>
      <w:pPr>
        <w:pStyle w:val="Normal"/>
        <w:numPr>
          <w:ilvl w:val="0"/>
          <w:numId w:val="2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Совместное выполнение этих условий означает </w:t>
      </w:r>
      <w:r>
        <w:rPr/>
      </w:r>
      <m:oMath xmlns:m="http://schemas.openxmlformats.org/officeDocument/2006/math">
        <m:sSub>
          <m:e>
            <m:r>
              <m:t xml:space="preserve">ε</m:t>
            </m:r>
          </m:e>
          <m:sub>
            <m:r>
              <m:t xml:space="preserve">1</m:t>
            </m:r>
          </m:sub>
        </m:sSub>
        <m:r>
          <m:t xml:space="preserve">=</m:t>
        </m:r>
        <m:sSub>
          <m:e>
            <m:r>
              <m:t xml:space="preserve">ε</m:t>
            </m:r>
          </m:e>
          <m:sub>
            <m:r>
              <m:t xml:space="preserve">2</m:t>
            </m:r>
          </m:sub>
        </m:sSub>
      </m:oMath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2.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Симметричность: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r>
            <m:t xml:space="preserve">g</m:t>
          </m:r>
          <m:d>
            <m:dPr>
              <m:begChr m:val="("/>
              <m:endChr m:val=")"/>
            </m:dPr>
            <m:e>
              <m:sSub>
                <m:e>
                  <m:r>
                    <m:t xml:space="preserve">ε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=</m:t>
          </m:r>
          <m:r>
            <m:t xml:space="preserve">g</m:t>
          </m:r>
          <m:d>
            <m:dPr>
              <m:begChr m:val="("/>
              <m:endChr m:val=")"/>
            </m:dPr>
            <m:e>
              <m:sSub>
                <m:e>
                  <m:r>
                    <m:t xml:space="preserve">ε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,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1</m:t>
                  </m:r>
                </m:sub>
              </m:sSub>
            </m:e>
          </m:d>
        </m:oMath>
      </m:oMathPara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Симметричность очевидна из определения.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3.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Неравенство треугольника: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Для доказательства достаточно показать, что каждая компонента метрики удовлетворяет неравенству треугольника. Предварительно докажем вспомогательную лемму: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Лемма 1</w:t>
      </w:r>
      <w:r>
        <w:rPr>
          <w:rFonts w:ascii="Times New Roman" w:hAnsi="Times New Roman"/>
          <w:color w:val="000000"/>
          <w:sz w:val="20"/>
          <w:szCs w:val="20"/>
        </w:rPr>
        <w:t xml:space="preserve">. 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Функция </w:t>
      </w:r>
      <w:r>
        <w:rPr/>
      </w:r>
      <m:oMath xmlns:m="http://schemas.openxmlformats.org/officeDocument/2006/math">
        <m:sSub>
          <m:e>
            <m:r>
              <m:t xml:space="preserve">d</m:t>
            </m:r>
          </m:e>
          <m:sub>
            <m:r>
              <m:t xml:space="preserve">q</m:t>
            </m:r>
          </m:sub>
        </m:sSub>
        <m:d>
          <m:dPr>
            <m:begChr m:val="("/>
            <m:endChr m:val=")"/>
          </m:dPr>
          <m:e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1</m:t>
                </m:r>
              </m:sub>
            </m:sSub>
            <m:r>
              <m:t xml:space="preserve">,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2</m:t>
                </m:r>
              </m:sub>
            </m:sSub>
          </m:e>
        </m:d>
        <m:r>
          <m:t xml:space="preserve">=</m:t>
        </m:r>
        <m:r>
          <m:t xml:space="preserve">min</m:t>
        </m:r>
        <m:d>
          <m:dPr>
            <m:begChr m:val="("/>
            <m:endChr m:val=")"/>
          </m:dPr>
          <m:e>
            <m:r>
              <m:t xml:space="preserve">∥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1</m:t>
                </m:r>
              </m:sub>
            </m:sSub>
            <m:r>
              <m:t xml:space="preserve">−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2</m:t>
                </m:r>
              </m:sub>
            </m:sSub>
            <m:r>
              <m:t xml:space="preserve">∥</m:t>
            </m:r>
            <m:r>
              <m:t xml:space="preserve">,</m:t>
            </m:r>
            <m:r>
              <m:t xml:space="preserve">∥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1</m:t>
                </m:r>
              </m:sub>
            </m:sSub>
            <m:r>
              <m:t xml:space="preserve">+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2</m:t>
                </m:r>
              </m:sub>
            </m:sSub>
            <m:r>
              <m:t xml:space="preserve">∥</m:t>
            </m:r>
          </m:e>
        </m:d>
      </m:oMath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задаёт метрику на </w:t>
      </w:r>
      <w:r>
        <w:rPr/>
      </w:r>
      <m:oMath xmlns:m="http://schemas.openxmlformats.org/officeDocument/2006/math">
        <m:sSup>
          <m:e>
            <m:r>
              <m:t xml:space="preserve">S</m:t>
            </m:r>
          </m:e>
          <m:sup>
            <m:r>
              <m:t xml:space="preserve">3</m:t>
            </m:r>
          </m:sup>
        </m:sSup>
      </m:oMath>
      <w:r>
        <w:rPr>
          <w:rFonts w:ascii="Times New Roman" w:hAnsi="Times New Roman"/>
          <w:i/>
          <w:iCs/>
          <w:color w:val="000000"/>
          <w:sz w:val="20"/>
          <w:szCs w:val="20"/>
        </w:rPr>
        <w:t>.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Доказательство.</w:t>
      </w:r>
      <w:r>
        <w:rPr>
          <w:rFonts w:ascii="Times New Roman" w:hAnsi="Times New Roman"/>
          <w:color w:val="000000"/>
          <w:sz w:val="20"/>
          <w:szCs w:val="20"/>
        </w:rPr>
        <w:t xml:space="preserve"> Для </w:t>
      </w:r>
      <w:r>
        <w:rPr/>
      </w:r>
      <m:oMath xmlns:m="http://schemas.openxmlformats.org/officeDocument/2006/math">
        <m:sSub>
          <m:e>
            <m:acc>
              <m:accPr>
                <m:chr m:val="⃗"/>
              </m:accPr>
              <m:e>
                <m:r>
                  <m:t xml:space="preserve">q</m:t>
                </m:r>
              </m:e>
            </m:acc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acc>
              <m:accPr>
                <m:chr m:val="⃗"/>
              </m:accPr>
              <m:e>
                <m:r>
                  <m:t xml:space="preserve">q</m:t>
                </m:r>
              </m:e>
            </m:acc>
          </m:e>
          <m:sub>
            <m:r>
              <m:t xml:space="preserve">2</m:t>
            </m:r>
          </m:sub>
        </m:sSub>
        <m:r>
          <m:t xml:space="preserve">∈</m:t>
        </m:r>
        <m:sSup>
          <m:e>
            <m:r>
              <m:t xml:space="preserve">S</m:t>
            </m:r>
          </m:e>
          <m:sup>
            <m:r>
              <m:t xml:space="preserve">3</m:t>
            </m:r>
          </m:sup>
        </m:sSup>
      </m:oMath>
      <w:r>
        <w:rPr>
          <w:rFonts w:ascii="Times New Roman" w:hAnsi="Times New Roman"/>
          <w:color w:val="000000"/>
          <w:sz w:val="20"/>
          <w:szCs w:val="20"/>
        </w:rPr>
        <w:t xml:space="preserve"> определим: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=</m:t>
          </m:r>
          <m:limLow>
            <m:e>
              <m:r>
                <m:t xml:space="preserve">min</m:t>
              </m:r>
            </m:e>
            <m:lim>
              <m:sSub>
                <m:e>
                  <m:r>
                    <m:t xml:space="preserve">ε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∈</m:t>
              </m:r>
              <m:r>
                <m:t xml:space="preserve">{</m:t>
              </m:r>
              <m:r>
                <m:t xml:space="preserve">±</m:t>
              </m:r>
              <m:r>
                <m:t xml:space="preserve">1</m:t>
              </m:r>
              <m:r>
                <m:t xml:space="preserve">}</m:t>
              </m:r>
            </m:lim>
          </m:limLow>
          <m:r>
            <m:t xml:space="preserve">∥</m:t>
          </m:r>
          <m:sSub>
            <m:e>
              <m:r>
                <m:t xml:space="preserve">ε</m:t>
              </m:r>
            </m:e>
            <m:sub>
              <m:r>
                <m:t xml:space="preserve">1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1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2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∥</m:t>
          </m:r>
        </m:oMath>
      </m:oMathPara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Рассмотрим три единичных кватерниона </w:t>
      </w:r>
      <w:r>
        <w:rPr/>
      </w:r>
      <m:oMath xmlns:m="http://schemas.openxmlformats.org/officeDocument/2006/math">
        <m:sSub>
          <m:e>
            <m:acc>
              <m:accPr>
                <m:chr m:val="⃗"/>
              </m:accPr>
              <m:e>
                <m:r>
                  <m:t xml:space="preserve">q</m:t>
                </m:r>
              </m:e>
            </m:acc>
          </m:e>
          <m:sub>
            <m:r>
              <m:t xml:space="preserve">1</m:t>
            </m:r>
          </m:sub>
        </m:sSub>
        <m:r>
          <m:t xml:space="preserve">,</m:t>
        </m:r>
        <m:sSub>
          <m:e>
            <m:acc>
              <m:accPr>
                <m:chr m:val="⃗"/>
              </m:accPr>
              <m:e>
                <m:r>
                  <m:t xml:space="preserve">q</m:t>
                </m:r>
              </m:e>
            </m:acc>
          </m:e>
          <m:sub>
            <m:r>
              <m:t xml:space="preserve">2</m:t>
            </m:r>
          </m:sub>
        </m:sSub>
        <m:r>
          <m:t xml:space="preserve">,</m:t>
        </m:r>
        <m:sSub>
          <m:e>
            <m:acc>
              <m:accPr>
                <m:chr m:val="⃗"/>
              </m:accPr>
              <m:e>
                <m:r>
                  <m:t xml:space="preserve">q</m:t>
                </m:r>
              </m:e>
            </m:acc>
          </m:e>
          <m:sub>
            <m:r>
              <m:t xml:space="preserve">3</m:t>
            </m:r>
          </m:sub>
        </m:sSub>
        <m:r>
          <m:t xml:space="preserve">∈</m:t>
        </m:r>
        <m:sSup>
          <m:e>
            <m:r>
              <m:t xml:space="preserve">S</m:t>
            </m:r>
          </m:e>
          <m:sup>
            <m:r>
              <m:t xml:space="preserve">3</m:t>
            </m:r>
          </m:sup>
        </m:sSup>
      </m:oMath>
      <w:r>
        <w:rPr>
          <w:rFonts w:ascii="Times New Roman" w:hAnsi="Times New Roman"/>
          <w:color w:val="000000"/>
          <w:sz w:val="20"/>
          <w:szCs w:val="20"/>
        </w:rPr>
        <w:t>.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Существуют </w:t>
      </w:r>
      <w:r>
        <w:rPr/>
      </w:r>
      <m:oMath xmlns:m="http://schemas.openxmlformats.org/officeDocument/2006/math">
        <m:sSub>
          <m:e>
            <m:r>
              <m:t xml:space="preserve">ε</m:t>
            </m:r>
          </m:e>
          <m:sub>
            <m:r>
              <m:t xml:space="preserve">12</m:t>
            </m:r>
          </m:sub>
        </m:sSub>
        <m:r>
          <m:t xml:space="preserve">,</m:t>
        </m:r>
        <m:sSub>
          <m:e>
            <m:r>
              <m:t xml:space="preserve">ε</m:t>
            </m:r>
          </m:e>
          <m:sub>
            <m:r>
              <m:t xml:space="preserve">23</m:t>
            </m:r>
          </m:sub>
        </m:sSub>
        <m:r>
          <m:t xml:space="preserve">∈</m:t>
        </m:r>
        <m:r>
          <m:t xml:space="preserve">{</m:t>
        </m:r>
        <m:r>
          <m:t xml:space="preserve">±</m:t>
        </m:r>
        <m:r>
          <m:t xml:space="preserve">1</m:t>
        </m:r>
        <m:r>
          <m:t xml:space="preserve">}</m:t>
        </m:r>
      </m:oMath>
      <w:r>
        <w:rPr>
          <w:rFonts w:ascii="Times New Roman" w:hAnsi="Times New Roman"/>
          <w:color w:val="000000"/>
          <w:sz w:val="20"/>
          <w:szCs w:val="20"/>
        </w:rPr>
        <w:t xml:space="preserve"> такие, что: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=</m:t>
          </m:r>
          <m:r>
            <m:t xml:space="preserve">min</m:t>
          </m:r>
          <m:d>
            <m:dPr>
              <m:begChr m:val="("/>
              <m:endChr m:val=")"/>
            </m:dPr>
            <m:e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∥</m:t>
              </m:r>
              <m:r>
                <m:t xml:space="preserve">,</m:t>
              </m:r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∥</m:t>
              </m:r>
            </m:e>
          </m:d>
          <m:r>
            <m:t xml:space="preserve">=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1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12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∥</m:t>
          </m:r>
        </m:oMath>
      </m:oMathPara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3</m:t>
                  </m:r>
                </m:sub>
              </m:sSub>
            </m:e>
          </m:d>
          <m:r>
            <m:t xml:space="preserve">=</m:t>
          </m:r>
          <m:r>
            <m:t xml:space="preserve">min</m:t>
          </m:r>
          <m:d>
            <m:dPr>
              <m:begChr m:val="("/>
              <m:endChr m:val=")"/>
            </m:dPr>
            <m:e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−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3</m:t>
                  </m:r>
                </m:sub>
              </m:sSub>
              <m:r>
                <m:t xml:space="preserve">∥</m:t>
              </m:r>
              <m:r>
                <m:t xml:space="preserve">,</m:t>
              </m:r>
              <m:r>
                <m:t xml:space="preserve">∥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3</m:t>
                  </m:r>
                </m:sub>
              </m:sSub>
              <m:r>
                <m:t xml:space="preserve">∥</m:t>
              </m:r>
            </m:e>
          </m:d>
          <m:r>
            <m:t xml:space="preserve">=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23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3</m:t>
              </m:r>
            </m:sub>
          </m:sSub>
          <m:r>
            <m:t xml:space="preserve">∥</m:t>
          </m:r>
        </m:oMath>
      </m:oMathPara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Положим </w:t>
      </w:r>
      <w:r>
        <w:rPr/>
      </w:r>
      <m:oMath xmlns:m="http://schemas.openxmlformats.org/officeDocument/2006/math">
        <m:sSub>
          <m:e>
            <m:r>
              <m:t xml:space="preserve">ε</m:t>
            </m:r>
          </m:e>
          <m:sub>
            <m:r>
              <m:t xml:space="preserve">13</m:t>
            </m:r>
          </m:sub>
        </m:sSub>
        <m:r>
          <m:t xml:space="preserve">=</m:t>
        </m:r>
        <m:sSub>
          <m:e>
            <m:r>
              <m:t xml:space="preserve">ε</m:t>
            </m:r>
          </m:e>
          <m:sub>
            <m:r>
              <m:t xml:space="preserve">12</m:t>
            </m:r>
          </m:sub>
        </m:sSub>
        <m:sSub>
          <m:e>
            <m:r>
              <m:t xml:space="preserve">ε</m:t>
            </m:r>
          </m:e>
          <m:sub>
            <m:r>
              <m:t xml:space="preserve">23</m:t>
            </m:r>
          </m:sub>
        </m:sSub>
      </m:oMath>
      <w:r>
        <w:rPr>
          <w:rFonts w:ascii="Times New Roman" w:hAnsi="Times New Roman"/>
          <w:color w:val="000000"/>
          <w:sz w:val="20"/>
          <w:szCs w:val="20"/>
        </w:rPr>
        <w:t>. Тогда:</w:t>
      </w:r>
    </w:p>
    <w:p>
      <w:pPr>
        <w:pStyle w:val="BodyText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3</m:t>
                  </m:r>
                </m:sub>
              </m:sSub>
            </m:e>
          </m:d>
          <m:r>
            <m:t xml:space="preserve">⩽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1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13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3</m:t>
              </m:r>
            </m:sub>
          </m:sSub>
          <m:r>
            <m:t xml:space="preserve">∥</m:t>
          </m:r>
          <m:r>
            <m:t xml:space="preserve">⩽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1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12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∥</m:t>
          </m:r>
          <m:r>
            <m:t xml:space="preserve">+</m:t>
          </m:r>
          <m:r>
            <m:t xml:space="preserve">∥</m:t>
          </m:r>
          <m:sSub>
            <m:e>
              <m:r>
                <m:t xml:space="preserve">ε</m:t>
              </m:r>
            </m:e>
            <m:sub>
              <m:r>
                <m:t xml:space="preserve">12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13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3</m:t>
              </m:r>
            </m:sub>
          </m:sSub>
          <m:r>
            <m:t xml:space="preserve">∥</m:t>
          </m:r>
          <m:r>
            <m:t xml:space="preserve">=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1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12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∥</m:t>
          </m:r>
          <m:r>
            <m:t xml:space="preserve">+</m:t>
          </m:r>
          <m:r>
            <m:t xml:space="preserve">∥</m:t>
          </m:r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2</m:t>
              </m:r>
            </m:sub>
          </m:sSub>
          <m:r>
            <m:t xml:space="preserve">−</m:t>
          </m:r>
          <m:sSub>
            <m:e>
              <m:r>
                <m:t xml:space="preserve">ε</m:t>
              </m:r>
            </m:e>
            <m:sub>
              <m:r>
                <m:t xml:space="preserve">23</m:t>
              </m:r>
            </m:sub>
          </m:sSub>
          <m:sSub>
            <m:e>
              <m:acc>
                <m:accPr>
                  <m:chr m:val="⃗"/>
                </m:accPr>
                <m:e>
                  <m:r>
                    <m:t xml:space="preserve">q</m:t>
                  </m:r>
                </m:e>
              </m:acc>
            </m:e>
            <m:sub>
              <m:r>
                <m:t xml:space="preserve">3</m:t>
              </m:r>
            </m:sub>
          </m:sSub>
          <m:r>
            <m:t xml:space="preserve">∥</m:t>
          </m:r>
          <m:r>
            <m:t xml:space="preserve">=</m:t>
          </m:r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1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</m:e>
          </m:d>
          <m:r>
            <m:t xml:space="preserve">+</m:t>
          </m:r>
          <m:sSub>
            <m:e>
              <m:r>
                <m:t xml:space="preserve">d</m:t>
              </m:r>
            </m:e>
            <m:sub>
              <m:r>
                <m:t xml:space="preserve">q</m:t>
              </m:r>
            </m:sub>
          </m:sSub>
          <m:d>
            <m:dPr>
              <m:begChr m:val="("/>
              <m:endChr m:val=")"/>
            </m:dPr>
            <m:e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2</m:t>
                  </m:r>
                </m:sub>
              </m:sSub>
              <m:r>
                <m:t xml:space="preserve">,</m:t>
              </m:r>
              <m:sSub>
                <m:e>
                  <m:acc>
                    <m:accPr>
                      <m:chr m:val="⃗"/>
                    </m:accPr>
                    <m:e>
                      <m:r>
                        <m:t xml:space="preserve">q</m:t>
                      </m:r>
                    </m:e>
                  </m:acc>
                </m:e>
                <m:sub>
                  <m:r>
                    <m:t xml:space="preserve">3</m:t>
                  </m:r>
                </m:sub>
              </m:sSub>
            </m:e>
          </m:d>
        </m:oMath>
      </m:oMathPara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Что и требовалось доказать. </w:t>
      </w:r>
    </w:p>
    <w:p>
      <w:pPr>
        <w:pStyle w:val="Normal"/>
        <w:numPr>
          <w:ilvl w:val="0"/>
          <w:numId w:val="9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sSub>
              <m:e>
                <m:r>
                  <m:t xml:space="preserve">E</m:t>
                </m:r>
              </m:e>
              <m:sub>
                <m:r>
                  <m:t xml:space="preserve">1</m:t>
                </m:r>
              </m:sub>
            </m:sSub>
            <m:r>
              <m:t xml:space="preserve">−</m:t>
            </m:r>
            <m:sSub>
              <m:e>
                <m:r>
                  <m:t xml:space="preserve">E</m:t>
                </m:r>
              </m:e>
              <m:sub>
                <m:r>
                  <m:t xml:space="preserve">3</m:t>
                </m:r>
              </m:sub>
            </m:sSub>
          </m:e>
        </m:d>
        <m:r>
          <m:t xml:space="preserve">≤</m:t>
        </m:r>
        <m:d>
          <m:dPr>
            <m:begChr m:val="|"/>
            <m:endChr m:val="|"/>
          </m:dPr>
          <m:e>
            <m:sSub>
              <m:e>
                <m:r>
                  <m:t xml:space="preserve">E</m:t>
                </m:r>
              </m:e>
              <m:sub>
                <m:r>
                  <m:t xml:space="preserve">1</m:t>
                </m:r>
              </m:sub>
            </m:sSub>
            <m:r>
              <m:t xml:space="preserve">−</m:t>
            </m:r>
            <m:sSub>
              <m:e>
                <m:r>
                  <m:t xml:space="preserve">E</m:t>
                </m:r>
              </m:e>
              <m:sub>
                <m:r>
                  <m:t xml:space="preserve">2</m:t>
                </m:r>
              </m:sub>
            </m:sSub>
          </m:e>
        </m:d>
        <m:r>
          <m:t xml:space="preserve">+</m:t>
        </m:r>
        <m:d>
          <m:dPr>
            <m:begChr m:val="|"/>
            <m:endChr m:val="|"/>
          </m:dPr>
          <m:e>
            <m:sSub>
              <m:e>
                <m:r>
                  <m:t xml:space="preserve">E</m:t>
                </m:r>
              </m:e>
              <m:sub>
                <m:r>
                  <m:t xml:space="preserve">2</m:t>
                </m:r>
              </m:sub>
            </m:sSub>
            <m:r>
              <m:t xml:space="preserve">−</m:t>
            </m:r>
            <m:sSub>
              <m:e>
                <m:r>
                  <m:t xml:space="preserve">E</m:t>
                </m:r>
              </m:e>
              <m:sub>
                <m:r>
                  <m:t xml:space="preserve">3</m:t>
                </m:r>
              </m:sub>
            </m:sSub>
          </m:e>
        </m:d>
      </m:oMath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(свойство модуля)</w:t>
      </w:r>
    </w:p>
    <w:p>
      <w:pPr>
        <w:pStyle w:val="Normal"/>
        <w:numPr>
          <w:ilvl w:val="0"/>
          <w:numId w:val="10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/>
      </w:r>
      <m:oMath xmlns:m="http://schemas.openxmlformats.org/officeDocument/2006/math">
        <m:d>
          <m:dPr>
            <m:begChr m:val="|"/>
            <m:endChr m:val="|"/>
          </m:dPr>
          <m:e>
            <m:sSub>
              <m:e>
                <m:r>
                  <m:t xml:space="preserve">L</m:t>
                </m:r>
              </m:e>
              <m:sub>
                <m:r>
                  <m:t xml:space="preserve">1</m:t>
                </m:r>
              </m:sub>
            </m:sSub>
            <m:r>
              <m:t xml:space="preserve">−</m:t>
            </m:r>
            <m:sSub>
              <m:e>
                <m:r>
                  <m:t xml:space="preserve">L</m:t>
                </m:r>
              </m:e>
              <m:sub>
                <m:r>
                  <m:t xml:space="preserve">3</m:t>
                </m:r>
              </m:sub>
            </m:sSub>
          </m:e>
        </m:d>
        <m:r>
          <m:t xml:space="preserve">≤</m:t>
        </m:r>
        <m:d>
          <m:dPr>
            <m:begChr m:val="|"/>
            <m:endChr m:val="|"/>
          </m:dPr>
          <m:e>
            <m:sSub>
              <m:e>
                <m:r>
                  <m:t xml:space="preserve">L</m:t>
                </m:r>
              </m:e>
              <m:sub>
                <m:r>
                  <m:t xml:space="preserve">1</m:t>
                </m:r>
              </m:sub>
            </m:sSub>
            <m:r>
              <m:t xml:space="preserve">−</m:t>
            </m:r>
            <m:sSub>
              <m:e>
                <m:r>
                  <m:t xml:space="preserve">L</m:t>
                </m:r>
              </m:e>
              <m:sub>
                <m:r>
                  <m:t xml:space="preserve">2</m:t>
                </m:r>
              </m:sub>
            </m:sSub>
          </m:e>
        </m:d>
        <m:r>
          <m:t xml:space="preserve">+</m:t>
        </m:r>
        <m:d>
          <m:dPr>
            <m:begChr m:val="|"/>
            <m:endChr m:val="|"/>
          </m:dPr>
          <m:e>
            <m:sSub>
              <m:e>
                <m:r>
                  <m:t xml:space="preserve">L</m:t>
                </m:r>
              </m:e>
              <m:sub>
                <m:r>
                  <m:t xml:space="preserve">2</m:t>
                </m:r>
              </m:sub>
            </m:sSub>
            <m:r>
              <m:t xml:space="preserve">−</m:t>
            </m:r>
            <m:sSub>
              <m:e>
                <m:r>
                  <m:t xml:space="preserve">L</m:t>
                </m:r>
              </m:e>
              <m:sub>
                <m:r>
                  <m:t xml:space="preserve">3</m:t>
                </m:r>
              </m:sub>
            </m:sSub>
          </m:e>
        </m:d>
      </m:oMath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(свойство модуля)</w:t>
      </w:r>
    </w:p>
    <w:p>
      <w:pPr>
        <w:pStyle w:val="Normal"/>
        <w:numPr>
          <w:ilvl w:val="0"/>
          <w:numId w:val="11"/>
        </w:numPr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/>
      </w:r>
      <m:oMath xmlns:m="http://schemas.openxmlformats.org/officeDocument/2006/math">
        <m:sSub>
          <m:e>
            <m:r>
              <m:t xml:space="preserve">d</m:t>
            </m:r>
          </m:e>
          <m:sub>
            <m:r>
              <m:t xml:space="preserve">q</m:t>
            </m:r>
          </m:sub>
        </m:sSub>
        <m:d>
          <m:dPr>
            <m:begChr m:val="("/>
            <m:endChr m:val=")"/>
          </m:dPr>
          <m:e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1</m:t>
                </m:r>
              </m:sub>
            </m:sSub>
            <m:r>
              <m:t xml:space="preserve">,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3</m:t>
                </m:r>
              </m:sub>
            </m:sSub>
          </m:e>
        </m:d>
        <m:r>
          <m:t xml:space="preserve">≤</m:t>
        </m:r>
        <m:sSub>
          <m:e>
            <m:r>
              <m:t xml:space="preserve">d</m:t>
            </m:r>
          </m:e>
          <m:sub>
            <m:r>
              <m:t xml:space="preserve">q</m:t>
            </m:r>
          </m:sub>
        </m:sSub>
        <m:d>
          <m:dPr>
            <m:begChr m:val="("/>
            <m:endChr m:val=")"/>
          </m:dPr>
          <m:e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1</m:t>
                </m:r>
              </m:sub>
            </m:sSub>
            <m:r>
              <m:t xml:space="preserve">,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2</m:t>
                </m:r>
              </m:sub>
            </m:sSub>
          </m:e>
        </m:d>
        <m:r>
          <m:t xml:space="preserve">+</m:t>
        </m:r>
        <m:sSub>
          <m:e>
            <m:r>
              <m:t xml:space="preserve">d</m:t>
            </m:r>
          </m:e>
          <m:sub>
            <m:r>
              <m:t xml:space="preserve">q</m:t>
            </m:r>
          </m:sub>
        </m:sSub>
        <m:d>
          <m:dPr>
            <m:begChr m:val="("/>
            <m:endChr m:val=")"/>
          </m:dPr>
          <m:e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2</m:t>
                </m:r>
              </m:sub>
            </m:sSub>
            <m:r>
              <m:t xml:space="preserve">,</m:t>
            </m:r>
            <m:sSub>
              <m:e>
                <m:acc>
                  <m:accPr>
                    <m:chr m:val="⃗"/>
                  </m:accPr>
                  <m:e>
                    <m:r>
                      <m:t xml:space="preserve">q</m:t>
                    </m:r>
                  </m:e>
                </m:acc>
              </m:e>
              <m:sub>
                <m:r>
                  <m:t xml:space="preserve">3</m:t>
                </m:r>
              </m:sub>
            </m:sSub>
          </m:e>
        </m:d>
      </m:oMath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(см. лемму выше)</w:t>
      </w:r>
    </w:p>
    <w:p>
      <w:pPr>
        <w:pStyle w:val="FirstParagraph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Поскольку все три компоненты удовлетворяют неравенству треугольника, а функция g представляет собой взвешенную евклидову норму, то g также удовлетворяет неравенству треугольника.</w:t>
      </w:r>
    </w:p>
    <w:p>
      <w:pPr>
        <w:pStyle w:val="BodyText"/>
        <w:bidi w:val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Таким образом, функция g удовлетворяет всем аксиомам метрического пространства. </w:t>
      </w:r>
    </w:p>
    <w:p>
      <w:pPr>
        <w:pStyle w:val="Heading1"/>
        <w:bidi w:val="0"/>
        <w:jc w:val="center"/>
        <w:rPr>
          <w:rFonts w:ascii="Times New Roman" w:hAnsi="Times New Roman"/>
          <w:color w:val="000000"/>
          <w:sz w:val="20"/>
          <w:szCs w:val="20"/>
        </w:rPr>
      </w:pPr>
      <w:bookmarkStart w:id="0" w:name="заключение"/>
      <w:r>
        <w:rPr>
          <w:rFonts w:ascii="Times New Roman" w:hAnsi="Times New Roman"/>
          <w:color w:val="000000"/>
          <w:sz w:val="24"/>
          <w:szCs w:val="24"/>
        </w:rPr>
        <w:t>Заключение</w:t>
      </w:r>
    </w:p>
    <w:p>
      <w:pPr>
        <w:pStyle w:val="FirstParagraph"/>
        <w:bidi w:val="0"/>
        <w:spacing w:before="180" w:after="18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Разработанная метрика представляет собой эффективный инструмент для решения широкого круга задач небесной механики, включая идентификацию метеорных потоков, классификацию орбит и поиск объектов общего происхождения. В отличие от критериев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>(Southworth &amp; Hawkins, 1963, Drummond, 1981, Jopek, 1993)</w:t>
      </w:r>
      <w:r>
        <w:rPr>
          <w:rFonts w:ascii="Times New Roman" w:hAnsi="Times New Roman"/>
          <w:color w:val="000000"/>
          <w:sz w:val="20"/>
          <w:szCs w:val="20"/>
        </w:rPr>
        <w:t>, она лишена сингулярностей и применима ко всем типам орбит. По сравнению с метриками, предлагаемый подход обладает более простой вычислительной реализацией. Величины, входящие в её определение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>–</w:t>
      </w:r>
      <w:r>
        <w:rPr>
          <w:rFonts w:ascii="Times New Roman" w:hAnsi="Times New Roman"/>
          <w:color w:val="000000"/>
          <w:sz w:val="20"/>
          <w:szCs w:val="20"/>
        </w:rPr>
        <w:t xml:space="preserve"> энергия E, модуль момента импульса |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L</w:t>
      </w:r>
      <w:r>
        <w:rPr>
          <w:rFonts w:ascii="Times New Roman" w:hAnsi="Times New Roman"/>
          <w:color w:val="000000"/>
          <w:sz w:val="20"/>
          <w:szCs w:val="20"/>
        </w:rPr>
        <w:t>| и параметры ориентации 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>–</w:t>
      </w:r>
      <w:r>
        <w:rPr>
          <w:rFonts w:ascii="Times New Roman" w:hAnsi="Times New Roman"/>
          <w:color w:val="000000"/>
          <w:sz w:val="20"/>
          <w:szCs w:val="20"/>
        </w:rPr>
        <w:t xml:space="preserve"> просто выражаются через стандартные кеплеровы элементы, что позволяет избежать сложных тригонометрических преобразований и вычислительных процедур, необходимых при использовании метрик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>(Kholshevnikov &amp; Vassiliev, 2004, Kholshevnikov, 2008, Kholshevnikov et al., 2016)</w:t>
      </w:r>
      <w:r>
        <w:rPr>
          <w:rFonts w:ascii="Times New Roman" w:hAnsi="Times New Roman"/>
          <w:color w:val="000000"/>
          <w:sz w:val="20"/>
          <w:szCs w:val="20"/>
        </w:rPr>
        <w:t>. Таким образом, предложенная метрика является перспективным инструментом для исследований</w:t>
      </w:r>
      <w:bookmarkEnd w:id="0"/>
      <w:r>
        <w:rPr>
          <w:rFonts w:ascii="Times New Roman" w:hAnsi="Times New Roman"/>
          <w:color w:val="000000"/>
          <w:sz w:val="20"/>
          <w:szCs w:val="20"/>
        </w:rPr>
        <w:t>.</w:t>
      </w:r>
    </w:p>
    <w:p>
      <w:pPr>
        <w:pStyle w:val="FirstParagraph"/>
        <w:bidi w:val="0"/>
        <w:spacing w:before="180" w:after="18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Style w:val="Strong"/>
          <w:rFonts w:ascii="Times New Roman" w:hAnsi="Times New Roman"/>
          <w:color w:val="000000"/>
          <w:sz w:val="24"/>
          <w:szCs w:val="24"/>
        </w:rPr>
        <w:t>Список литературы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Drummond J. D. A test of comet and meteor shower associations // Icarus. — 1981. — Vol. 45. — P. 545–553.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Jopek T. J. Remarks on the meteor orbital similarity D-criterion // Icarus. — 1993. — Vol. 106, No 2. — P. 603–607.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Kholshevnikov K. V., Vassiliev N. N. Natural metrics in the spaces of elliptic orbits // Celestial Mechanics and Dynamical Astronomy. — 2004. — Vol. 89, No 2. — P. 119–125.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Kholshevnikov K. V. Metric Spaces of Keplerian Orbits // Celestial Mechanics and Dynamical Astronomy. — 2008. — Vol. 100, No 3. — P. 169–179.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Kholshevnikov K. V., Kokhirova G. I., Babadzhanov P. B., Khamroev U. H. Metrics in the space of orbits and their application to searching for celestial objects of common origin // Monthly Notices of the Royal Astronomical Society. — 2016. — Vol. 462, No 2. — P. 2275–2283.</w:t>
      </w:r>
    </w:p>
    <w:p>
      <w:pPr>
        <w:pStyle w:val="BodyText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  <w:t>Southworth R. B., Hawkins G. S. Statistics of meteor streams // Smithsonian Contributions to Astrophysics. — 1963. — Vol. 7. — P. 261–285.</w:t>
      </w:r>
    </w:p>
    <w:p>
      <w:pPr>
        <w:pStyle w:val="BodyText"/>
        <w:bidi w:val="0"/>
        <w:spacing w:before="180" w:after="18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BodyText"/>
        <w:bidi w:val="0"/>
        <w:spacing w:before="180" w:after="18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sectPr>
      <w:type w:val="nextPage"/>
      <w:pgSz w:w="11906" w:h="16838"/>
      <w:pgMar w:left="1777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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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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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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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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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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"/>
      <w:lvlJc w:val="start"/>
      <w:pPr>
        <w:tabs>
          <w:tab w:val="num" w:pos="0"/>
        </w:tabs>
        <w:ind w:star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start"/>
      <w:pPr>
        <w:tabs>
          <w:tab w:val="num" w:pos="0"/>
        </w:tabs>
        <w:ind w:star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start"/>
      <w:pPr>
        <w:tabs>
          <w:tab w:val="num" w:pos="0"/>
        </w:tabs>
        <w:ind w:star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start"/>
      <w:pPr>
        <w:tabs>
          <w:tab w:val="num" w:pos="0"/>
        </w:tabs>
        <w:ind w:star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start"/>
      <w:pPr>
        <w:tabs>
          <w:tab w:val="num" w:pos="0"/>
        </w:tabs>
        <w:ind w:star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480" w:hanging="480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</w:numbering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Free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WenQuanYi Micro Hei" w:cs="FreeSans"/>
      <w:color w:val="auto"/>
      <w:kern w:val="2"/>
      <w:sz w:val="24"/>
      <w:szCs w:val="24"/>
      <w:lang w:val="en-GB" w:eastAsia="zh-CN" w:bidi="hi-IN"/>
    </w:rPr>
  </w:style>
  <w:style w:type="paragraph" w:styleId="Heading1">
    <w:name w:val="heading 1"/>
    <w:basedOn w:val="Normal"/>
    <w:next w:val="BodyText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type="paragraph" w:styleId="Heading2">
    <w:name w:val="heading 2"/>
    <w:basedOn w:val="Normal"/>
    <w:next w:val="BodyText"/>
    <w:qFormat/>
    <w:pPr>
      <w:keepNext w:val="true"/>
      <w:keepLines/>
      <w:spacing w:before="200" w:after="0"/>
      <w:outlineLvl w:val="1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FreeSans"/>
    </w:rPr>
  </w:style>
  <w:style w:type="paragraph" w:styleId="Style14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FirstParagraph">
    <w:name w:val="First Paragraph"/>
    <w:basedOn w:val="BodyText"/>
    <w:next w:val="BodyText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UMA854@yandex.ru" TargetMode="External"/><Relationship Id="rId3" Type="http://schemas.openxmlformats.org/officeDocument/2006/relationships/hyperlink" Target="mailto:shvak@yandex.ru" TargetMode="External"/><Relationship Id="rId4" Type="http://schemas.openxmlformats.org/officeDocument/2006/relationships/hyperlink" Target="mailto:PUMA854@yandex.ru" TargetMode="External"/><Relationship Id="rId5" Type="http://schemas.openxmlformats.org/officeDocument/2006/relationships/hyperlink" Target="mailto:shvak@yandex.ru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LibreOffice/24.8.7.2$Linux_X86_64 LibreOffice_project/480$Build-2</Application>
  <AppVersion>15.0000</AppVersion>
  <Pages>4</Pages>
  <Words>952</Words>
  <Characters>6697</Characters>
  <CharactersWithSpaces>7634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2026-03-28T15:04:37Z</dcterms:created>
  <dc:creator/>
  <dc:description/>
  <dc:language>en-GB</dc:language>
  <cp:lastModifiedBy/>
  <dcterms:modified xsi:type="dcterms:W3CDTF">2026-03-28T22:03:33Z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