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Pr="00E214AC" w:rsidRDefault="00AC177F" w:rsidP="00AC177F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E214AC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Динамика распространения графиоза </w:t>
      </w:r>
    </w:p>
    <w:p w:rsidR="00AC177F" w:rsidRPr="00E214AC" w:rsidRDefault="00AC177F" w:rsidP="00AC177F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E214AC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в Красносельском районе Санкт-Петербурга </w:t>
      </w:r>
    </w:p>
    <w:p w:rsidR="00AC177F" w:rsidRDefault="00AC177F" w:rsidP="00AC177F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E214AC">
        <w:rPr>
          <w:rFonts w:ascii="Times New Roman" w:hAnsi="Times New Roman" w:cs="Times New Roman"/>
          <w:b/>
          <w:caps/>
          <w:color w:val="000000"/>
          <w:sz w:val="28"/>
          <w:szCs w:val="28"/>
        </w:rPr>
        <w:t>(микрорайон Урицк)</w:t>
      </w:r>
    </w:p>
    <w:p w:rsidR="00AC177F" w:rsidRDefault="00AC177F" w:rsidP="00AC177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4AC">
        <w:rPr>
          <w:rFonts w:ascii="Times New Roman" w:hAnsi="Times New Roman" w:cs="Times New Roman"/>
          <w:color w:val="000000"/>
          <w:sz w:val="28"/>
          <w:szCs w:val="28"/>
        </w:rPr>
        <w:t xml:space="preserve">Исакова А.А., </w:t>
      </w:r>
    </w:p>
    <w:p w:rsidR="00AC177F" w:rsidRPr="00E214AC" w:rsidRDefault="00AC177F" w:rsidP="00AC177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4AC">
        <w:rPr>
          <w:rFonts w:ascii="Times New Roman" w:hAnsi="Times New Roman" w:cs="Times New Roman"/>
          <w:sz w:val="28"/>
          <w:szCs w:val="28"/>
        </w:rPr>
        <w:t>Академическая гимназия им. Д.К. Фаддеева СПбГУ</w:t>
      </w:r>
    </w:p>
    <w:p w:rsidR="00AC177F" w:rsidRDefault="00AC177F" w:rsidP="00AC17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Смирнов П.Д., ассистент кафедры ботаники СПбГУ</w:t>
      </w:r>
    </w:p>
    <w:p w:rsidR="00AC177F" w:rsidRPr="00AC177F" w:rsidRDefault="00AC177F" w:rsidP="00C64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4D08" w:rsidRPr="00AC177F" w:rsidRDefault="00C64D08" w:rsidP="00C64D0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177F">
        <w:rPr>
          <w:rFonts w:ascii="Times New Roman" w:hAnsi="Times New Roman" w:cs="Times New Roman"/>
          <w:sz w:val="20"/>
          <w:szCs w:val="20"/>
        </w:rPr>
        <w:t xml:space="preserve">Аннотация: Данная работа продолжает исследования, начатые в </w:t>
      </w:r>
      <w:proofErr w:type="gramStart"/>
      <w:r w:rsidRPr="00AC177F">
        <w:rPr>
          <w:rFonts w:ascii="Times New Roman" w:hAnsi="Times New Roman" w:cs="Times New Roman"/>
          <w:sz w:val="20"/>
          <w:szCs w:val="20"/>
        </w:rPr>
        <w:t>сентябре</w:t>
      </w:r>
      <w:proofErr w:type="gramEnd"/>
      <w:r w:rsidRPr="00AC177F">
        <w:rPr>
          <w:rFonts w:ascii="Times New Roman" w:hAnsi="Times New Roman" w:cs="Times New Roman"/>
          <w:sz w:val="20"/>
          <w:szCs w:val="20"/>
        </w:rPr>
        <w:t xml:space="preserve"> 2022г., когда методом наблюдения было проведено обследование вязовых посадок в микрорайоне Урицк. Было обнаружено большое количество здоровых вязов, растущих в </w:t>
      </w:r>
      <w:proofErr w:type="gramStart"/>
      <w:r w:rsidRPr="00AC177F">
        <w:rPr>
          <w:rFonts w:ascii="Times New Roman" w:hAnsi="Times New Roman" w:cs="Times New Roman"/>
          <w:sz w:val="20"/>
          <w:szCs w:val="20"/>
        </w:rPr>
        <w:t>очагах</w:t>
      </w:r>
      <w:proofErr w:type="gramEnd"/>
      <w:r w:rsidRPr="00AC177F">
        <w:rPr>
          <w:rFonts w:ascii="Times New Roman" w:hAnsi="Times New Roman" w:cs="Times New Roman"/>
          <w:sz w:val="20"/>
          <w:szCs w:val="20"/>
        </w:rPr>
        <w:t xml:space="preserve"> распространения графиоза. Была выдвинута гипотеза, что ситуация с распространением графиоза будет ухудшаться. Повторные обследования территории в 2023 и 2024 гг. подтвердили ранее выдвинутую гипотезу: наблюдается увеличение числа очагов распространения графиоза и ухудшение ситуации в уже имеющихся очагах.</w:t>
      </w:r>
    </w:p>
    <w:p w:rsidR="00C64D08" w:rsidRPr="00C64D08" w:rsidRDefault="00C64D08" w:rsidP="00C64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14AC" w:rsidRPr="00C64D08" w:rsidRDefault="00E214AC" w:rsidP="00C64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D08">
        <w:rPr>
          <w:rFonts w:ascii="Times New Roman" w:hAnsi="Times New Roman" w:cs="Times New Roman"/>
          <w:sz w:val="24"/>
          <w:szCs w:val="24"/>
        </w:rPr>
        <w:t>Вязы занимают второе место в озеленении Санкт-Петербурга после липы. В настоящее время происходит массовая гибель этих деревьев из-за голландской болезни, или графиоза ильмовых, которую распространяют жуки заболонники</w:t>
      </w: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64D08">
        <w:rPr>
          <w:rFonts w:ascii="Times New Roman" w:hAnsi="Times New Roman" w:cs="Times New Roman"/>
          <w:sz w:val="24"/>
          <w:szCs w:val="24"/>
        </w:rPr>
        <w:t xml:space="preserve">В вязовых посадках голландская болезнь и заболонники распространяются в виде очагов — скоплений пораженных деревьев. </w:t>
      </w:r>
      <w:r w:rsidRPr="00C64D08">
        <w:rPr>
          <w:rStyle w:val="fontstyle01"/>
          <w:rFonts w:ascii="Times New Roman" w:hAnsi="Times New Roman" w:cs="Times New Roman"/>
          <w:sz w:val="24"/>
          <w:szCs w:val="24"/>
        </w:rPr>
        <w:t xml:space="preserve">Возбудителем болезни является гриб Офиостома вязовая (сумчатая стадия </w:t>
      </w:r>
      <w:r w:rsidRPr="00C64D08">
        <w:rPr>
          <w:rStyle w:val="fontstyle21"/>
          <w:rFonts w:ascii="Times New Roman" w:hAnsi="Times New Roman" w:cs="Times New Roman"/>
          <w:sz w:val="24"/>
          <w:szCs w:val="24"/>
        </w:rPr>
        <w:t>Ophiostoma ulmi</w:t>
      </w:r>
      <w:r w:rsidRPr="00C64D08">
        <w:rPr>
          <w:rStyle w:val="fontstyle21"/>
          <w:rFonts w:ascii="Times New Roman" w:hAnsi="Times New Roman" w:cs="Times New Roman"/>
          <w:i w:val="0"/>
          <w:sz w:val="24"/>
          <w:szCs w:val="24"/>
        </w:rPr>
        <w:t>,</w:t>
      </w:r>
      <w:r w:rsidRPr="00C64D08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C64D08">
        <w:rPr>
          <w:rStyle w:val="fontstyle01"/>
          <w:rFonts w:ascii="Times New Roman" w:hAnsi="Times New Roman" w:cs="Times New Roman"/>
          <w:sz w:val="24"/>
          <w:szCs w:val="24"/>
        </w:rPr>
        <w:t xml:space="preserve">конидиальная стадия </w:t>
      </w:r>
      <w:r w:rsidRPr="00C64D08">
        <w:rPr>
          <w:rStyle w:val="fontstyle21"/>
          <w:rFonts w:ascii="Times New Roman" w:hAnsi="Times New Roman" w:cs="Times New Roman"/>
          <w:sz w:val="24"/>
          <w:szCs w:val="24"/>
        </w:rPr>
        <w:t>Graphium ulmi</w:t>
      </w:r>
      <w:r w:rsidRPr="00C64D08">
        <w:rPr>
          <w:rStyle w:val="fontstyle01"/>
          <w:rFonts w:ascii="Times New Roman" w:hAnsi="Times New Roman" w:cs="Times New Roman"/>
          <w:sz w:val="24"/>
          <w:szCs w:val="24"/>
        </w:rPr>
        <w:t xml:space="preserve">). Офиостомоз, или графиоз, поражает только вязы и не </w:t>
      </w:r>
      <w:proofErr w:type="gramStart"/>
      <w:r w:rsidRPr="00C64D08">
        <w:rPr>
          <w:rStyle w:val="fontstyle01"/>
          <w:rFonts w:ascii="Times New Roman" w:hAnsi="Times New Roman" w:cs="Times New Roman"/>
          <w:sz w:val="24"/>
          <w:szCs w:val="24"/>
        </w:rPr>
        <w:t>опасен</w:t>
      </w:r>
      <w:proofErr w:type="gramEnd"/>
      <w:r w:rsidRPr="00C64D08">
        <w:rPr>
          <w:rStyle w:val="fontstyle01"/>
          <w:rFonts w:ascii="Times New Roman" w:hAnsi="Times New Roman" w:cs="Times New Roman"/>
          <w:sz w:val="24"/>
          <w:szCs w:val="24"/>
        </w:rPr>
        <w:t xml:space="preserve"> для других видов деревьев, человека и животных</w:t>
      </w:r>
      <w:r w:rsidR="00C64D08" w:rsidRPr="00C64D08">
        <w:rPr>
          <w:rStyle w:val="fontstyle01"/>
          <w:rFonts w:ascii="Times New Roman" w:hAnsi="Times New Roman" w:cs="Times New Roman"/>
          <w:sz w:val="24"/>
          <w:szCs w:val="24"/>
        </w:rPr>
        <w:t xml:space="preserve"> [1]</w:t>
      </w:r>
      <w:r w:rsidRPr="00C64D08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3D68AF" w:rsidRPr="00C64D08" w:rsidRDefault="003D68AF" w:rsidP="00C64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D08">
        <w:rPr>
          <w:rFonts w:ascii="Times New Roman" w:hAnsi="Times New Roman" w:cs="Times New Roman"/>
          <w:sz w:val="24"/>
          <w:szCs w:val="24"/>
        </w:rPr>
        <w:t>Эффективных мер лечения графиоза не существует.</w:t>
      </w:r>
      <w:r w:rsidRPr="00C64D08">
        <w:rPr>
          <w:rFonts w:ascii="Times New Roman" w:eastAsia="Times New Roman" w:hAnsi="Times New Roman" w:cs="Times New Roman"/>
          <w:sz w:val="24"/>
          <w:szCs w:val="24"/>
        </w:rPr>
        <w:t xml:space="preserve"> Погибает 100% пораженных деревьев.</w:t>
      </w:r>
      <w:r w:rsidRPr="00C64D08">
        <w:rPr>
          <w:rFonts w:ascii="Times New Roman" w:hAnsi="Times New Roman" w:cs="Times New Roman"/>
          <w:sz w:val="24"/>
          <w:szCs w:val="24"/>
        </w:rPr>
        <w:t xml:space="preserve"> Методами борьбы является санитарная рубка и обрезка пораженных деревьев, уничтожение переносчиков болезни, высадка саженцев, устойчивых к </w:t>
      </w:r>
      <w:proofErr w:type="spellStart"/>
      <w:r w:rsidRPr="00C64D08">
        <w:rPr>
          <w:rFonts w:ascii="Times New Roman" w:hAnsi="Times New Roman" w:cs="Times New Roman"/>
          <w:sz w:val="24"/>
          <w:szCs w:val="24"/>
        </w:rPr>
        <w:t>графиозу</w:t>
      </w:r>
      <w:proofErr w:type="spellEnd"/>
      <w:r w:rsidR="00C64D08">
        <w:rPr>
          <w:rFonts w:ascii="Times New Roman" w:hAnsi="Times New Roman" w:cs="Times New Roman"/>
          <w:sz w:val="24"/>
          <w:szCs w:val="24"/>
        </w:rPr>
        <w:t xml:space="preserve"> </w:t>
      </w:r>
      <w:r w:rsidR="00C64D08" w:rsidRPr="00C64D08">
        <w:rPr>
          <w:rFonts w:ascii="Times New Roman" w:hAnsi="Times New Roman" w:cs="Times New Roman"/>
          <w:sz w:val="24"/>
          <w:szCs w:val="24"/>
        </w:rPr>
        <w:t>[2]</w:t>
      </w:r>
      <w:r w:rsidRPr="00C64D08">
        <w:rPr>
          <w:rFonts w:ascii="Times New Roman" w:hAnsi="Times New Roman" w:cs="Times New Roman"/>
          <w:sz w:val="24"/>
          <w:szCs w:val="24"/>
        </w:rPr>
        <w:t>.</w:t>
      </w:r>
    </w:p>
    <w:p w:rsidR="00E214AC" w:rsidRPr="00C64D08" w:rsidRDefault="003D68AF" w:rsidP="00C64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D08">
        <w:rPr>
          <w:rFonts w:ascii="Times New Roman" w:hAnsi="Times New Roman" w:cs="Times New Roman"/>
          <w:sz w:val="24"/>
          <w:szCs w:val="24"/>
        </w:rPr>
        <w:t>Важным шагом для предотвращения распространения графиоза является своевременное выявление очагов поражения. Знание территориального размещения таких очагов позволяет истребить или локализовать болезнь с помощью санитарных мероприятий.</w:t>
      </w:r>
    </w:p>
    <w:p w:rsidR="00152087" w:rsidRDefault="003D68AF" w:rsidP="00C64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4D08">
        <w:rPr>
          <w:rFonts w:ascii="Times New Roman" w:eastAsia="Times New Roman" w:hAnsi="Times New Roman" w:cs="Times New Roman"/>
          <w:sz w:val="24"/>
          <w:szCs w:val="24"/>
        </w:rPr>
        <w:t>Данная работа продолжает исследования, проведенные в сентябре 2022 и сентябр</w:t>
      </w:r>
      <w:r w:rsidR="00152087" w:rsidRPr="00C64D0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64D0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52087" w:rsidRPr="00C64D0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64D08">
        <w:rPr>
          <w:rFonts w:ascii="Times New Roman" w:eastAsia="Times New Roman" w:hAnsi="Times New Roman" w:cs="Times New Roman"/>
          <w:sz w:val="24"/>
          <w:szCs w:val="24"/>
        </w:rPr>
        <w:t xml:space="preserve"> гг. В сентябре 2024г. повторно были осмотрены вязы, произрастающие вдоль дорог и внутри кварталов микрорайона Урицк. </w:t>
      </w:r>
      <w:r w:rsidRPr="00C64D08">
        <w:rPr>
          <w:rFonts w:ascii="Times New Roman" w:hAnsi="Times New Roman" w:cs="Times New Roman"/>
          <w:sz w:val="24"/>
          <w:szCs w:val="24"/>
        </w:rPr>
        <w:t xml:space="preserve">Вязовые посадки были отмечены на карте, был проведен подсчет и фотографирование вязов, выявлены деревья, пораженные графиозом, определена стадия поражения и классифицированы очаги поражения. </w:t>
      </w:r>
      <w:r w:rsidRPr="00C64D08">
        <w:rPr>
          <w:rFonts w:ascii="Times New Roman" w:eastAsia="Times New Roman" w:hAnsi="Times New Roman" w:cs="Times New Roman"/>
          <w:sz w:val="24"/>
          <w:szCs w:val="24"/>
        </w:rPr>
        <w:t>Всего в 2022г. было обнаружено 143 вяза. Если в 2022г. количество внешне здоровых деревьев составило чуть больше половины (77 шт.), то к 2024г. количество таких деревьев сократилось до четверти (37 шт.). В 2023г. было вырублено 15 зараженных деревьев, к 2024г. количество таких деревьев достигло 49, т.е. за 2 года было вырублено более трети вязов</w:t>
      </w:r>
      <w:r w:rsidR="00152087" w:rsidRPr="00C64D08">
        <w:rPr>
          <w:rFonts w:ascii="Times New Roman" w:eastAsia="Times New Roman" w:hAnsi="Times New Roman" w:cs="Times New Roman"/>
          <w:sz w:val="24"/>
          <w:szCs w:val="24"/>
        </w:rPr>
        <w:t xml:space="preserve"> (Рис.1).</w:t>
      </w:r>
      <w:r w:rsidRPr="00C64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177F" w:rsidRPr="00AC177F" w:rsidRDefault="00AC177F" w:rsidP="00AC17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177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>
            <wp:extent cx="4914900" cy="3971926"/>
            <wp:effectExtent l="19050" t="0" r="19050" b="952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2087" w:rsidRPr="00C64D08" w:rsidRDefault="00152087" w:rsidP="00AC177F">
      <w:pPr>
        <w:pStyle w:val="a4"/>
        <w:spacing w:before="0" w:after="0" w:line="360" w:lineRule="auto"/>
        <w:jc w:val="center"/>
        <w:rPr>
          <w:rFonts w:eastAsia="Times New Roman"/>
          <w:u w:val="single"/>
        </w:rPr>
      </w:pPr>
      <w:r w:rsidRPr="00C64D08">
        <w:rPr>
          <w:rFonts w:eastAsia="Times New Roman"/>
          <w:u w:val="single"/>
        </w:rPr>
        <w:t>Рис. 1. Соотношение количества вязов с разной степенью поражения кроны</w:t>
      </w:r>
    </w:p>
    <w:p w:rsidR="00152087" w:rsidRPr="00C64D08" w:rsidRDefault="00152087" w:rsidP="00C64D08">
      <w:pPr>
        <w:pStyle w:val="a4"/>
        <w:spacing w:before="0" w:after="0" w:line="360" w:lineRule="auto"/>
        <w:rPr>
          <w:rFonts w:eastAsia="Times New Roman"/>
        </w:rPr>
      </w:pPr>
      <w:r w:rsidRPr="00C64D08">
        <w:rPr>
          <w:rFonts w:eastAsia="Times New Roman"/>
        </w:rPr>
        <w:t xml:space="preserve">Сократилось число участков, не имеющих признаков поражения графиозом. В 2022 году из 36 обследованных участков таких было 14, в 2023 году осталось 11, а в 2024 – 7. В 2024 году отмечено 9 участков, где вязы были полностью вырублены в результате санитарных мероприятий. (Рис. 2) </w:t>
      </w:r>
    </w:p>
    <w:p w:rsidR="00152087" w:rsidRPr="00C64D08" w:rsidRDefault="00AC177F" w:rsidP="00AC177F">
      <w:pPr>
        <w:pStyle w:val="a4"/>
        <w:spacing w:before="0" w:after="0" w:line="360" w:lineRule="auto"/>
        <w:jc w:val="center"/>
        <w:rPr>
          <w:rFonts w:eastAsia="Times New Roman"/>
        </w:rPr>
      </w:pPr>
      <w:r w:rsidRPr="00AC177F">
        <w:rPr>
          <w:noProof/>
          <w:lang w:eastAsia="ru-RU"/>
        </w:rPr>
        <w:drawing>
          <wp:inline distT="0" distB="0" distL="0" distR="0">
            <wp:extent cx="4914900" cy="35242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2087" w:rsidRPr="00C64D08" w:rsidRDefault="00152087" w:rsidP="00AC177F">
      <w:pPr>
        <w:pStyle w:val="a4"/>
        <w:spacing w:before="0" w:after="0" w:line="360" w:lineRule="auto"/>
        <w:jc w:val="center"/>
        <w:rPr>
          <w:rFonts w:eastAsia="Times New Roman"/>
          <w:u w:val="single"/>
        </w:rPr>
      </w:pPr>
      <w:r w:rsidRPr="00C64D08">
        <w:rPr>
          <w:rFonts w:eastAsia="Times New Roman"/>
          <w:u w:val="single"/>
        </w:rPr>
        <w:t>Рис. 2. Соотношение участков с разной степенью распространения графиоза</w:t>
      </w:r>
    </w:p>
    <w:p w:rsidR="00152087" w:rsidRPr="00C64D08" w:rsidRDefault="00152087" w:rsidP="00C64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Наблюдается увеличение числа очагов распространения графиоза и ухудшение ситуации в уже имеющихся очагах. В 2024 году все 7 участков без признаков поражения болезнью представлены одиночными деревьями. В групповых посадках заражение хотя бы одного дерева приводит к распространению болезни. </w:t>
      </w: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деревья, как правило, погибают за один сезон, возрастные болеют в хронической форме, усыхая постепенно на протяжении нескольких лет. </w:t>
      </w:r>
      <w:r w:rsidRPr="00C64D08">
        <w:rPr>
          <w:rFonts w:ascii="Times New Roman" w:eastAsia="Times New Roman" w:hAnsi="Times New Roman" w:cs="Times New Roman"/>
          <w:sz w:val="24"/>
          <w:szCs w:val="24"/>
        </w:rPr>
        <w:t>В двух очагах после вырубки зараженных деревьев удалось остановить распространение графиоза – оставшиеся деревья в сентябре 2024 года выглядели внешне здоровым.</w:t>
      </w: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Однако, вырубка, проводимая в затухающих очагах, малоэффективна и направлена в основном на поддержание эстетичного внешнего вида зеленых насаждений. </w:t>
      </w:r>
    </w:p>
    <w:p w:rsidR="00152087" w:rsidRDefault="00152087" w:rsidP="00C64D08">
      <w:pPr>
        <w:pStyle w:val="a4"/>
        <w:spacing w:before="0" w:after="0" w:line="360" w:lineRule="auto"/>
        <w:rPr>
          <w:rFonts w:eastAsia="Times New Roman"/>
          <w:lang w:val="en-US"/>
        </w:rPr>
      </w:pPr>
      <w:r w:rsidRPr="00C64D08">
        <w:rPr>
          <w:rFonts w:eastAsia="Times New Roman"/>
        </w:rPr>
        <w:t>Представляет интерес информация о количестве еще здоровых деревьев, произрастающих в очагах поражения графиозом. Если в 2022 году в очагах поражения находилось 57 здоровых вязов, то в 2023 году среди них здоровыми остались 47, а в 2024 – 30. В 2023 году в очагах поражения оказалось 1 новое дерево, у которого в 2024 году были обнаружены признаки графиоза. В 2024 году еще два здоровых дерева оказались в очагах поражения графиозом. Если не будут приняты меры по локализации графиоза, то, скорее всего, все эти деревья будут заражены и погибнут (Рис. 3)</w:t>
      </w:r>
    </w:p>
    <w:p w:rsidR="00AC177F" w:rsidRPr="00AC177F" w:rsidRDefault="00AC177F" w:rsidP="00AC177F">
      <w:pPr>
        <w:pStyle w:val="a4"/>
        <w:spacing w:before="0" w:after="0" w:line="360" w:lineRule="auto"/>
        <w:jc w:val="center"/>
        <w:rPr>
          <w:rFonts w:eastAsia="Times New Roman"/>
          <w:lang w:val="en-US"/>
        </w:rPr>
      </w:pPr>
      <w:r w:rsidRPr="00AC177F">
        <w:rPr>
          <w:rFonts w:eastAsia="Times New Roman"/>
          <w:lang w:val="en-US"/>
        </w:rPr>
        <w:drawing>
          <wp:inline distT="0" distB="0" distL="0" distR="0">
            <wp:extent cx="4914900" cy="3524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2087" w:rsidRPr="00C64D08" w:rsidRDefault="00152087" w:rsidP="00AC17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C64D08">
        <w:rPr>
          <w:rFonts w:ascii="Times New Roman" w:eastAsia="Times New Roman" w:hAnsi="Times New Roman" w:cs="Times New Roman"/>
          <w:sz w:val="24"/>
          <w:szCs w:val="24"/>
          <w:u w:val="single"/>
        </w:rPr>
        <w:t>Рис. 3. Соотношение количества здоровых вязов в разных очагах поражения графиозом</w:t>
      </w:r>
    </w:p>
    <w:p w:rsidR="00AC177F" w:rsidRDefault="00AC17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52087" w:rsidRPr="00C64D08" w:rsidRDefault="00152087" w:rsidP="00C64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Динамика изменения степени поражения вязов с течением времени представлена на рисунке 4.</w:t>
      </w:r>
    </w:p>
    <w:p w:rsidR="00AC177F" w:rsidRDefault="00AC177F" w:rsidP="00AC17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C17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drawing>
          <wp:inline distT="0" distB="0" distL="0" distR="0">
            <wp:extent cx="4248150" cy="4173225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1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087" w:rsidRPr="00C64D08" w:rsidRDefault="00152087" w:rsidP="00AC17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 Динамика изменения степени поражения вязов</w:t>
      </w:r>
    </w:p>
    <w:p w:rsidR="00E214AC" w:rsidRPr="00C64D08" w:rsidRDefault="00E214AC" w:rsidP="00C64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D08">
        <w:rPr>
          <w:rFonts w:ascii="Times New Roman" w:hAnsi="Times New Roman" w:cs="Times New Roman"/>
          <w:sz w:val="24"/>
          <w:szCs w:val="24"/>
        </w:rPr>
        <w:t xml:space="preserve">Полученные данные позволили актуализировать информацию на </w:t>
      </w:r>
      <w:r w:rsidRPr="00C64D08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C64D08">
        <w:rPr>
          <w:rFonts w:ascii="Times New Roman" w:hAnsi="Times New Roman" w:cs="Times New Roman"/>
          <w:sz w:val="24"/>
          <w:szCs w:val="24"/>
        </w:rPr>
        <w:t xml:space="preserve">-карте микрорайона Урицк </w:t>
      </w:r>
    </w:p>
    <w:p w:rsidR="00E214AC" w:rsidRPr="00C64D08" w:rsidRDefault="006E672E" w:rsidP="00C64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214AC" w:rsidRPr="00C64D08">
          <w:rPr>
            <w:rStyle w:val="a6"/>
            <w:rFonts w:ascii="Times New Roman" w:hAnsi="Times New Roman" w:cs="Times New Roman"/>
            <w:sz w:val="24"/>
            <w:szCs w:val="24"/>
          </w:rPr>
          <w:t>https://www.google.com/maps/d/u/2/edit?mid=1tRIMeQrEJ_l7Q4AZu0Qs-yIazcpASEU&amp;usp=sharing</w:t>
        </w:r>
      </w:hyperlink>
    </w:p>
    <w:p w:rsidR="003D68AF" w:rsidRDefault="003D68AF" w:rsidP="00C64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данные были направлены в Комитет по благоустройству Санкт-Петербурга (обращение № 1034878 от 13.02.2023г.), в результате чего была проведена санитарная рубка пораженных вязов в марте (15 деревьев) и ноябре–декабре 2023г. (34 дерева). Однако часть пораженных деревьев вырублены не были, они послужили очагами дальнейшего распространения графиоза летом 2024г. К сентябрю 2024г. в обследуемом районе были обнаружены новые пораженные деревья.</w:t>
      </w:r>
    </w:p>
    <w:p w:rsidR="00C64D08" w:rsidRDefault="00C64D08" w:rsidP="00C64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D08" w:rsidRPr="00C64D08" w:rsidRDefault="00C64D08" w:rsidP="00C64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C64D08" w:rsidRPr="00C64D08" w:rsidRDefault="00C64D08" w:rsidP="00C64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Мощеникова Н.Б., </w:t>
      </w:r>
      <w:proofErr w:type="spell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Вязникова</w:t>
      </w:r>
      <w:proofErr w:type="spell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Методическое пособие по изучению голландской болезни вязов. СПб.: Комитет по </w:t>
      </w:r>
      <w:proofErr w:type="spell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природопольз</w:t>
      </w:r>
      <w:proofErr w:type="spell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</w:t>
      </w:r>
      <w:proofErr w:type="gram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</w:t>
      </w:r>
      <w:proofErr w:type="spell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среды и </w:t>
      </w:r>
      <w:proofErr w:type="spell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proofErr w:type="spell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</w:t>
      </w:r>
      <w:proofErr w:type="spell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</w:t>
      </w:r>
      <w:proofErr w:type="spell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., 2016.</w:t>
      </w:r>
    </w:p>
    <w:p w:rsidR="00CB3465" w:rsidRPr="00E214AC" w:rsidRDefault="00C64D08" w:rsidP="00C64D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Щербакова Л.Н., Шевченко С.В., Мощеникова Н.Б. Проблема гибели вязов в Санкт-Петербурге // Известия Санкт-Петербургской лесотехнической академии. 2019 </w:t>
      </w:r>
      <w:proofErr w:type="spellStart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C64D08">
        <w:rPr>
          <w:rFonts w:ascii="Times New Roman" w:eastAsia="Times New Roman" w:hAnsi="Times New Roman" w:cs="Times New Roman"/>
          <w:sz w:val="24"/>
          <w:szCs w:val="24"/>
          <w:lang w:eastAsia="ru-RU"/>
        </w:rPr>
        <w:t>. 228 С. 352–366.</w:t>
      </w:r>
    </w:p>
    <w:sectPr w:rsidR="00CB3465" w:rsidRPr="00E214AC" w:rsidSect="00152087">
      <w:footerReference w:type="default" r:id="rId13"/>
      <w:footerReference w:type="first" r:id="rId14"/>
      <w:pgSz w:w="11906" w:h="16838"/>
      <w:pgMar w:top="1134" w:right="567" w:bottom="851" w:left="1418" w:header="284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A3" w:rsidRDefault="006715A3" w:rsidP="00D10E3C">
      <w:pPr>
        <w:spacing w:after="0" w:line="240" w:lineRule="auto"/>
      </w:pPr>
      <w:r>
        <w:separator/>
      </w:r>
    </w:p>
  </w:endnote>
  <w:endnote w:type="continuationSeparator" w:id="0">
    <w:p w:rsidR="006715A3" w:rsidRDefault="006715A3" w:rsidP="00D1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769443"/>
      <w:docPartObj>
        <w:docPartGallery w:val="Page Numbers (Bottom of Page)"/>
        <w:docPartUnique/>
      </w:docPartObj>
    </w:sdtPr>
    <w:sdtContent>
      <w:p w:rsidR="006715A3" w:rsidRDefault="006E672E">
        <w:pPr>
          <w:pStyle w:val="ad"/>
          <w:jc w:val="right"/>
        </w:pPr>
        <w:fldSimple w:instr=" PAGE   \* MERGEFORMAT ">
          <w:r w:rsidR="00AC177F">
            <w:rPr>
              <w:noProof/>
            </w:rPr>
            <w:t>1</w:t>
          </w:r>
        </w:fldSimple>
      </w:p>
    </w:sdtContent>
  </w:sdt>
  <w:p w:rsidR="006715A3" w:rsidRDefault="006715A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66" w:rsidRDefault="009C5766">
    <w:pPr>
      <w:pStyle w:val="ad"/>
      <w:jc w:val="right"/>
    </w:pPr>
  </w:p>
  <w:p w:rsidR="009C5766" w:rsidRDefault="009C576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A3" w:rsidRDefault="006715A3" w:rsidP="00D10E3C">
      <w:pPr>
        <w:spacing w:after="0" w:line="240" w:lineRule="auto"/>
      </w:pPr>
      <w:r>
        <w:separator/>
      </w:r>
    </w:p>
  </w:footnote>
  <w:footnote w:type="continuationSeparator" w:id="0">
    <w:p w:rsidR="006715A3" w:rsidRDefault="006715A3" w:rsidP="00D1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DF6"/>
    <w:multiLevelType w:val="hybridMultilevel"/>
    <w:tmpl w:val="751C350E"/>
    <w:lvl w:ilvl="0" w:tplc="C7742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34BD"/>
    <w:multiLevelType w:val="hybridMultilevel"/>
    <w:tmpl w:val="472C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8FF"/>
    <w:multiLevelType w:val="hybridMultilevel"/>
    <w:tmpl w:val="E1FE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B31C7"/>
    <w:multiLevelType w:val="hybridMultilevel"/>
    <w:tmpl w:val="A7EC9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535B5"/>
    <w:multiLevelType w:val="hybridMultilevel"/>
    <w:tmpl w:val="751C350E"/>
    <w:lvl w:ilvl="0" w:tplc="C7742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66D0A"/>
    <w:multiLevelType w:val="hybridMultilevel"/>
    <w:tmpl w:val="CFA0AF74"/>
    <w:lvl w:ilvl="0" w:tplc="516E4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4F1C74"/>
    <w:multiLevelType w:val="multilevel"/>
    <w:tmpl w:val="70F27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026"/>
    <w:rsid w:val="00057683"/>
    <w:rsid w:val="00083EF7"/>
    <w:rsid w:val="000C4A87"/>
    <w:rsid w:val="000F5079"/>
    <w:rsid w:val="0010756E"/>
    <w:rsid w:val="00112B84"/>
    <w:rsid w:val="00147AA2"/>
    <w:rsid w:val="00151FA3"/>
    <w:rsid w:val="00152087"/>
    <w:rsid w:val="00186346"/>
    <w:rsid w:val="00187BF8"/>
    <w:rsid w:val="001A32F0"/>
    <w:rsid w:val="001B17B5"/>
    <w:rsid w:val="001B4434"/>
    <w:rsid w:val="001B7FC0"/>
    <w:rsid w:val="001C4F5F"/>
    <w:rsid w:val="001E1990"/>
    <w:rsid w:val="001E6C93"/>
    <w:rsid w:val="001E7083"/>
    <w:rsid w:val="0025169B"/>
    <w:rsid w:val="002D461A"/>
    <w:rsid w:val="002D7BCC"/>
    <w:rsid w:val="00301D3F"/>
    <w:rsid w:val="00305059"/>
    <w:rsid w:val="003237B4"/>
    <w:rsid w:val="00326A16"/>
    <w:rsid w:val="00342F26"/>
    <w:rsid w:val="00364D9A"/>
    <w:rsid w:val="00367AF9"/>
    <w:rsid w:val="00367BAF"/>
    <w:rsid w:val="003971A7"/>
    <w:rsid w:val="003D5958"/>
    <w:rsid w:val="003D68AF"/>
    <w:rsid w:val="00425934"/>
    <w:rsid w:val="004414E0"/>
    <w:rsid w:val="00470208"/>
    <w:rsid w:val="00473228"/>
    <w:rsid w:val="00497046"/>
    <w:rsid w:val="004A5BE6"/>
    <w:rsid w:val="004A67BB"/>
    <w:rsid w:val="004C7013"/>
    <w:rsid w:val="004D49CB"/>
    <w:rsid w:val="004E40C7"/>
    <w:rsid w:val="00554056"/>
    <w:rsid w:val="0056002D"/>
    <w:rsid w:val="00562085"/>
    <w:rsid w:val="005712F0"/>
    <w:rsid w:val="00572C4D"/>
    <w:rsid w:val="005A686E"/>
    <w:rsid w:val="005B7973"/>
    <w:rsid w:val="005F19C0"/>
    <w:rsid w:val="00614A59"/>
    <w:rsid w:val="006715A3"/>
    <w:rsid w:val="00685E93"/>
    <w:rsid w:val="006A199C"/>
    <w:rsid w:val="006A333B"/>
    <w:rsid w:val="006B792D"/>
    <w:rsid w:val="006E672E"/>
    <w:rsid w:val="007232EB"/>
    <w:rsid w:val="00734EA6"/>
    <w:rsid w:val="00734F08"/>
    <w:rsid w:val="0073782E"/>
    <w:rsid w:val="00745524"/>
    <w:rsid w:val="0074648E"/>
    <w:rsid w:val="00786E6C"/>
    <w:rsid w:val="00795154"/>
    <w:rsid w:val="007E53BA"/>
    <w:rsid w:val="007E75AA"/>
    <w:rsid w:val="007F5F2F"/>
    <w:rsid w:val="00801A53"/>
    <w:rsid w:val="0085258F"/>
    <w:rsid w:val="008B236A"/>
    <w:rsid w:val="008D54F7"/>
    <w:rsid w:val="008D5D83"/>
    <w:rsid w:val="008F23B7"/>
    <w:rsid w:val="008F5111"/>
    <w:rsid w:val="0090312A"/>
    <w:rsid w:val="009717CB"/>
    <w:rsid w:val="0098692A"/>
    <w:rsid w:val="0099131C"/>
    <w:rsid w:val="00995545"/>
    <w:rsid w:val="009C2BA9"/>
    <w:rsid w:val="009C5766"/>
    <w:rsid w:val="009E4C27"/>
    <w:rsid w:val="00A2341E"/>
    <w:rsid w:val="00A40355"/>
    <w:rsid w:val="00A56444"/>
    <w:rsid w:val="00AC177F"/>
    <w:rsid w:val="00B00397"/>
    <w:rsid w:val="00B02F17"/>
    <w:rsid w:val="00B14EC8"/>
    <w:rsid w:val="00B469DD"/>
    <w:rsid w:val="00B77E3A"/>
    <w:rsid w:val="00B93A88"/>
    <w:rsid w:val="00C33CCC"/>
    <w:rsid w:val="00C3460A"/>
    <w:rsid w:val="00C54B9E"/>
    <w:rsid w:val="00C55B4F"/>
    <w:rsid w:val="00C64D08"/>
    <w:rsid w:val="00C90558"/>
    <w:rsid w:val="00CB3465"/>
    <w:rsid w:val="00CC0345"/>
    <w:rsid w:val="00CE1C5A"/>
    <w:rsid w:val="00CF101A"/>
    <w:rsid w:val="00CF3026"/>
    <w:rsid w:val="00D01FFE"/>
    <w:rsid w:val="00D04FAF"/>
    <w:rsid w:val="00D10E3C"/>
    <w:rsid w:val="00D25D06"/>
    <w:rsid w:val="00D6581B"/>
    <w:rsid w:val="00D751A2"/>
    <w:rsid w:val="00D77445"/>
    <w:rsid w:val="00DB0992"/>
    <w:rsid w:val="00DB5F35"/>
    <w:rsid w:val="00DF26C1"/>
    <w:rsid w:val="00E214AC"/>
    <w:rsid w:val="00E228C4"/>
    <w:rsid w:val="00E465B9"/>
    <w:rsid w:val="00E74620"/>
    <w:rsid w:val="00ED3484"/>
    <w:rsid w:val="00EE104F"/>
    <w:rsid w:val="00F101F6"/>
    <w:rsid w:val="00F17A1A"/>
    <w:rsid w:val="00F352F4"/>
    <w:rsid w:val="00F4389D"/>
    <w:rsid w:val="00F544CE"/>
    <w:rsid w:val="00F76768"/>
    <w:rsid w:val="00F7775F"/>
    <w:rsid w:val="00F97929"/>
    <w:rsid w:val="00FB74EC"/>
    <w:rsid w:val="00FF37B5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F3026"/>
    <w:pPr>
      <w:suppressAutoHyphens/>
      <w:spacing w:before="113" w:after="142" w:line="288" w:lineRule="auto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CF3026"/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a6">
    <w:name w:val="Hyperlink"/>
    <w:uiPriority w:val="99"/>
    <w:unhideWhenUsed/>
    <w:rsid w:val="00CF3026"/>
    <w:rPr>
      <w:color w:val="0000FF"/>
      <w:u w:val="single"/>
    </w:rPr>
  </w:style>
  <w:style w:type="character" w:customStyle="1" w:styleId="fontstyle01">
    <w:name w:val="fontstyle01"/>
    <w:basedOn w:val="a0"/>
    <w:rsid w:val="00CE1C5A"/>
    <w:rPr>
      <w:rFonts w:ascii="MinionPro-Regular" w:hAnsi="MinionPro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E1C5A"/>
    <w:rPr>
      <w:rFonts w:ascii="MinionPro-It" w:hAnsi="MinionPro-It" w:hint="default"/>
      <w:b w:val="0"/>
      <w:bCs w:val="0"/>
      <w:i/>
      <w:iCs/>
      <w:color w:val="000000"/>
      <w:sz w:val="22"/>
      <w:szCs w:val="22"/>
    </w:rPr>
  </w:style>
  <w:style w:type="table" w:styleId="a7">
    <w:name w:val="Table Grid"/>
    <w:basedOn w:val="a1"/>
    <w:uiPriority w:val="59"/>
    <w:rsid w:val="00CE1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C5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D49CB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D1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10E3C"/>
  </w:style>
  <w:style w:type="paragraph" w:styleId="ad">
    <w:name w:val="footer"/>
    <w:basedOn w:val="a"/>
    <w:link w:val="ae"/>
    <w:uiPriority w:val="99"/>
    <w:unhideWhenUsed/>
    <w:rsid w:val="00D1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0E3C"/>
  </w:style>
  <w:style w:type="paragraph" w:styleId="af">
    <w:name w:val="endnote text"/>
    <w:basedOn w:val="a"/>
    <w:link w:val="af0"/>
    <w:uiPriority w:val="99"/>
    <w:semiHidden/>
    <w:unhideWhenUsed/>
    <w:rsid w:val="00E214A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214A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214A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E214A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214A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214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d/u/2/edit?mid=1tRIMeQrEJ_l7Q4AZu0Qs-yIazcpASEU&amp;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ROM.service-logistic.local\SHARED$\COMMON\SECURE\&#1050;&#1072;&#1088;&#1072;&#1095;&#1080;&#1085;&#1086;&#1074;&#1072;&#1050;&#1072;&#1088;&#1080;&#1085;&#1072;\&#1051;&#1080;&#1095;&#1085;&#1086;&#1077;\&#1044;&#1086;&#1082;&#1091;&#1084;&#1077;&#1085;&#1090;&#1099;\&#1042;&#1057;&#1054;&#1064;%20&#1101;&#1082;&#1086;&#1083;&#1086;&#1075;&#1080;&#1103;\&#1059;&#1095;&#1077;&#1085;&#1099;&#1077;%20&#1073;&#1091;&#1076;&#1091;&#1097;&#1077;&#1075;&#1086;\&#1048;&#1089;&#1072;&#1082;&#1086;&#1074;&#1072;_&#1056;&#1080;&#1089;&#1091;&#1085;&#1082;&#1080;1-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OM.service-logistic.local\SHARED$\COMMON\SECURE\&#1050;&#1072;&#1088;&#1072;&#1095;&#1080;&#1085;&#1086;&#1074;&#1072;&#1050;&#1072;&#1088;&#1080;&#1085;&#1072;\&#1051;&#1080;&#1095;&#1085;&#1086;&#1077;\&#1044;&#1086;&#1082;&#1091;&#1084;&#1077;&#1085;&#1090;&#1099;\&#1042;&#1057;&#1054;&#1064;%20&#1101;&#1082;&#1086;&#1083;&#1086;&#1075;&#1080;&#1103;\&#1059;&#1095;&#1077;&#1085;&#1099;&#1077;%20&#1073;&#1091;&#1076;&#1091;&#1097;&#1077;&#1075;&#1086;\&#1048;&#1089;&#1072;&#1082;&#1086;&#1074;&#1072;_&#1056;&#1080;&#1089;&#1091;&#1085;&#1082;&#1080;1-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OM.service-logistic.local\SHARED$\COMMON\SECURE\&#1050;&#1072;&#1088;&#1072;&#1095;&#1080;&#1085;&#1086;&#1074;&#1072;&#1050;&#1072;&#1088;&#1080;&#1085;&#1072;\&#1051;&#1080;&#1095;&#1085;&#1086;&#1077;\&#1044;&#1086;&#1082;&#1091;&#1084;&#1077;&#1085;&#1090;&#1099;\&#1042;&#1057;&#1054;&#1064;%20&#1101;&#1082;&#1086;&#1083;&#1086;&#1075;&#1080;&#1103;\&#1059;&#1095;&#1077;&#1085;&#1099;&#1077;%20&#1073;&#1091;&#1076;&#1091;&#1097;&#1077;&#1075;&#1086;\&#1048;&#1089;&#1072;&#1082;&#1086;&#1074;&#1072;_&#1056;&#1080;&#1089;&#1091;&#1085;&#1082;&#1080;1-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plotArea>
      <c:layout>
        <c:manualLayout>
          <c:layoutTarget val="inner"/>
          <c:xMode val="edge"/>
          <c:yMode val="edge"/>
          <c:x val="1.5503875968992326E-2"/>
          <c:y val="7.5501117471243884E-2"/>
          <c:w val="0.95607235142118863"/>
          <c:h val="0.79598906641461564"/>
        </c:manualLayout>
      </c:layout>
      <c:barChart>
        <c:barDir val="col"/>
        <c:grouping val="clustered"/>
        <c:ser>
          <c:idx val="0"/>
          <c:order val="0"/>
          <c:tx>
            <c:v>сен.22</c:v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6"/>
              <c:pt idx="0">
                <c:v>0 стадия</c:v>
              </c:pt>
              <c:pt idx="1">
                <c:v>1 стадия</c:v>
              </c:pt>
              <c:pt idx="2">
                <c:v>2 стадия</c:v>
              </c:pt>
              <c:pt idx="3">
                <c:v>3 стадия</c:v>
              </c:pt>
              <c:pt idx="4">
                <c:v>4 стадия</c:v>
              </c:pt>
              <c:pt idx="5">
                <c:v>5 стадия</c:v>
              </c:pt>
            </c:strLit>
          </c:cat>
          <c:val>
            <c:numLit>
              <c:formatCode>General</c:formatCode>
              <c:ptCount val="6"/>
              <c:pt idx="0">
                <c:v>77</c:v>
              </c:pt>
              <c:pt idx="1">
                <c:v>27</c:v>
              </c:pt>
              <c:pt idx="2">
                <c:v>5</c:v>
              </c:pt>
              <c:pt idx="3">
                <c:v>7</c:v>
              </c:pt>
              <c:pt idx="4">
                <c:v>27</c:v>
              </c:pt>
              <c:pt idx="5">
                <c:v>0</c:v>
              </c:pt>
            </c:numLit>
          </c:val>
        </c:ser>
        <c:ser>
          <c:idx val="1"/>
          <c:order val="1"/>
          <c:tx>
            <c:v>сен.23</c:v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dLbl>
              <c:idx val="4"/>
              <c:layout>
                <c:manualLayout>
                  <c:x val="1.0335917312661499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6"/>
              <c:pt idx="0">
                <c:v>0 стадия</c:v>
              </c:pt>
              <c:pt idx="1">
                <c:v>1 стадия</c:v>
              </c:pt>
              <c:pt idx="2">
                <c:v>2 стадия</c:v>
              </c:pt>
              <c:pt idx="3">
                <c:v>3 стадия</c:v>
              </c:pt>
              <c:pt idx="4">
                <c:v>4 стадия</c:v>
              </c:pt>
              <c:pt idx="5">
                <c:v>5 стадия</c:v>
              </c:pt>
            </c:strLit>
          </c:cat>
          <c:val>
            <c:numLit>
              <c:formatCode>General</c:formatCode>
              <c:ptCount val="6"/>
              <c:pt idx="0">
                <c:v>63</c:v>
              </c:pt>
              <c:pt idx="1">
                <c:v>19</c:v>
              </c:pt>
              <c:pt idx="2">
                <c:v>9</c:v>
              </c:pt>
              <c:pt idx="3">
                <c:v>10</c:v>
              </c:pt>
              <c:pt idx="4">
                <c:v>27</c:v>
              </c:pt>
              <c:pt idx="5">
                <c:v>15</c:v>
              </c:pt>
            </c:numLit>
          </c:val>
        </c:ser>
        <c:ser>
          <c:idx val="2"/>
          <c:order val="2"/>
          <c:tx>
            <c:v>сен.24</c:v>
          </c:tx>
          <c:spPr>
            <a:noFill/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6"/>
              <c:pt idx="0">
                <c:v>0 стадия</c:v>
              </c:pt>
              <c:pt idx="1">
                <c:v>1 стадия</c:v>
              </c:pt>
              <c:pt idx="2">
                <c:v>2 стадия</c:v>
              </c:pt>
              <c:pt idx="3">
                <c:v>3 стадия</c:v>
              </c:pt>
              <c:pt idx="4">
                <c:v>4 стадия</c:v>
              </c:pt>
              <c:pt idx="5">
                <c:v>5 стадия</c:v>
              </c:pt>
            </c:strLit>
          </c:cat>
          <c:val>
            <c:numLit>
              <c:formatCode>General</c:formatCode>
              <c:ptCount val="6"/>
              <c:pt idx="0">
                <c:v>37</c:v>
              </c:pt>
              <c:pt idx="1">
                <c:v>24</c:v>
              </c:pt>
              <c:pt idx="2">
                <c:v>10</c:v>
              </c:pt>
              <c:pt idx="3">
                <c:v>7</c:v>
              </c:pt>
              <c:pt idx="4">
                <c:v>16</c:v>
              </c:pt>
              <c:pt idx="5">
                <c:v>49</c:v>
              </c:pt>
            </c:numLit>
          </c:val>
        </c:ser>
        <c:dLbls>
          <c:showVal val="1"/>
        </c:dLbls>
        <c:overlap val="-25"/>
        <c:axId val="74049408"/>
        <c:axId val="74050944"/>
      </c:barChart>
      <c:catAx>
        <c:axId val="74049408"/>
        <c:scaling>
          <c:orientation val="minMax"/>
        </c:scaling>
        <c:axPos val="b"/>
        <c:numFmt formatCode="General" sourceLinked="0"/>
        <c:majorTickMark val="none"/>
        <c:tickLblPos val="nextTo"/>
        <c:crossAx val="74050944"/>
        <c:crosses val="autoZero"/>
        <c:auto val="1"/>
        <c:lblAlgn val="ctr"/>
        <c:lblOffset val="100"/>
      </c:catAx>
      <c:valAx>
        <c:axId val="7405094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740494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5847240025229515"/>
          <c:y val="3.5171853654876829E-2"/>
          <c:w val="0.35534436102464101"/>
          <c:h val="5.7819053023646629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plotArea>
      <c:layout>
        <c:manualLayout>
          <c:layoutTarget val="inner"/>
          <c:xMode val="edge"/>
          <c:yMode val="edge"/>
          <c:x val="2.067183462532321E-2"/>
          <c:y val="2.1447116407746478E-2"/>
          <c:w val="0.95607235142118863"/>
          <c:h val="0.79598906641461564"/>
        </c:manualLayout>
      </c:layout>
      <c:barChart>
        <c:barDir val="col"/>
        <c:grouping val="clustered"/>
        <c:ser>
          <c:idx val="0"/>
          <c:order val="0"/>
          <c:tx>
            <c:v>сен.22</c:v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5"/>
              <c:pt idx="0">
                <c:v>Без признаков
поражения</c:v>
              </c:pt>
              <c:pt idx="1">
                <c:v>Возникающий очаг</c:v>
              </c:pt>
              <c:pt idx="2">
                <c:v>Действующий очаг</c:v>
              </c:pt>
              <c:pt idx="3">
                <c:v>Затухающий очаг</c:v>
              </c:pt>
              <c:pt idx="4">
                <c:v>Полностью вырубленный</c:v>
              </c:pt>
            </c:strLit>
          </c:cat>
          <c:val>
            <c:numLit>
              <c:formatCode>General</c:formatCode>
              <c:ptCount val="5"/>
              <c:pt idx="0">
                <c:v>14</c:v>
              </c:pt>
              <c:pt idx="1">
                <c:v>3</c:v>
              </c:pt>
              <c:pt idx="2">
                <c:v>4</c:v>
              </c:pt>
              <c:pt idx="3">
                <c:v>15</c:v>
              </c:pt>
              <c:pt idx="4">
                <c:v>0</c:v>
              </c:pt>
            </c:numLit>
          </c:val>
        </c:ser>
        <c:ser>
          <c:idx val="1"/>
          <c:order val="1"/>
          <c:tx>
            <c:v>сен.23</c:v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5"/>
              <c:pt idx="0">
                <c:v>Без признаков
поражения</c:v>
              </c:pt>
              <c:pt idx="1">
                <c:v>Возникающий очаг</c:v>
              </c:pt>
              <c:pt idx="2">
                <c:v>Действующий очаг</c:v>
              </c:pt>
              <c:pt idx="3">
                <c:v>Затухающий очаг</c:v>
              </c:pt>
              <c:pt idx="4">
                <c:v>Полностью вырубленный</c:v>
              </c:pt>
            </c:strLit>
          </c:cat>
          <c:val>
            <c:numLit>
              <c:formatCode>General</c:formatCode>
              <c:ptCount val="5"/>
              <c:pt idx="0">
                <c:v>11</c:v>
              </c:pt>
              <c:pt idx="1">
                <c:v>3</c:v>
              </c:pt>
              <c:pt idx="2">
                <c:v>3</c:v>
              </c:pt>
              <c:pt idx="3">
                <c:v>18</c:v>
              </c:pt>
              <c:pt idx="4">
                <c:v>1</c:v>
              </c:pt>
            </c:numLit>
          </c:val>
        </c:ser>
        <c:ser>
          <c:idx val="2"/>
          <c:order val="2"/>
          <c:tx>
            <c:v>сен.24</c:v>
          </c:tx>
          <c:spPr>
            <a:noFill/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5"/>
              <c:pt idx="0">
                <c:v>Без признаков
поражения</c:v>
              </c:pt>
              <c:pt idx="1">
                <c:v>Возникающий очаг</c:v>
              </c:pt>
              <c:pt idx="2">
                <c:v>Действующий очаг</c:v>
              </c:pt>
              <c:pt idx="3">
                <c:v>Затухающий очаг</c:v>
              </c:pt>
              <c:pt idx="4">
                <c:v>Полностью вырубленный</c:v>
              </c:pt>
            </c:strLit>
          </c:cat>
          <c:val>
            <c:numLit>
              <c:formatCode>General</c:formatCode>
              <c:ptCount val="5"/>
              <c:pt idx="0">
                <c:v>7</c:v>
              </c:pt>
              <c:pt idx="1">
                <c:v>1</c:v>
              </c:pt>
              <c:pt idx="2">
                <c:v>5</c:v>
              </c:pt>
              <c:pt idx="3">
                <c:v>14</c:v>
              </c:pt>
              <c:pt idx="4">
                <c:v>9</c:v>
              </c:pt>
            </c:numLit>
          </c:val>
        </c:ser>
        <c:dLbls>
          <c:showVal val="1"/>
        </c:dLbls>
        <c:overlap val="-25"/>
        <c:axId val="74034176"/>
        <c:axId val="74478720"/>
      </c:barChart>
      <c:catAx>
        <c:axId val="74034176"/>
        <c:scaling>
          <c:orientation val="minMax"/>
        </c:scaling>
        <c:axPos val="b"/>
        <c:numFmt formatCode="General" sourceLinked="0"/>
        <c:majorTickMark val="none"/>
        <c:tickLblPos val="nextTo"/>
        <c:crossAx val="74478720"/>
        <c:crosses val="autoZero"/>
        <c:auto val="1"/>
        <c:lblAlgn val="ctr"/>
        <c:lblOffset val="100"/>
      </c:catAx>
      <c:valAx>
        <c:axId val="7447872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740341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692277333946414"/>
          <c:y val="1.8475750577367205E-2"/>
          <c:w val="0.35534436102464101"/>
          <c:h val="6.5163651840817446E-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plotArea>
      <c:layout>
        <c:manualLayout>
          <c:layoutTarget val="inner"/>
          <c:xMode val="edge"/>
          <c:yMode val="edge"/>
          <c:x val="2.0671834625323234E-2"/>
          <c:y val="2.1447116407746495E-2"/>
          <c:w val="0.95607235142118863"/>
          <c:h val="0.79598906641461564"/>
        </c:manualLayout>
      </c:layout>
      <c:barChart>
        <c:barDir val="col"/>
        <c:grouping val="clustered"/>
        <c:ser>
          <c:idx val="0"/>
          <c:order val="0"/>
          <c:tx>
            <c:v>сен.22</c:v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3"/>
              <c:pt idx="0">
                <c:v>Возникающий очаг</c:v>
              </c:pt>
              <c:pt idx="1">
                <c:v>Действующий очаг</c:v>
              </c:pt>
              <c:pt idx="2">
                <c:v>Затухающий очаг</c:v>
              </c:pt>
            </c:strLit>
          </c:cat>
          <c:val>
            <c:numLit>
              <c:formatCode>General</c:formatCode>
              <c:ptCount val="3"/>
              <c:pt idx="0">
                <c:v>37</c:v>
              </c:pt>
              <c:pt idx="1">
                <c:v>4</c:v>
              </c:pt>
              <c:pt idx="2">
                <c:v>16</c:v>
              </c:pt>
            </c:numLit>
          </c:val>
        </c:ser>
        <c:ser>
          <c:idx val="1"/>
          <c:order val="1"/>
          <c:tx>
            <c:v>сен.23</c:v>
          </c:tx>
          <c:spPr>
            <a:pattFill prst="dk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3"/>
              <c:pt idx="0">
                <c:v>Возникающий очаг</c:v>
              </c:pt>
              <c:pt idx="1">
                <c:v>Действующий очаг</c:v>
              </c:pt>
              <c:pt idx="2">
                <c:v>Затухающий очаг</c:v>
              </c:pt>
            </c:strLit>
          </c:cat>
          <c:val>
            <c:numLit>
              <c:formatCode>General</c:formatCode>
              <c:ptCount val="3"/>
              <c:pt idx="0">
                <c:v>33</c:v>
              </c:pt>
              <c:pt idx="1">
                <c:v>4</c:v>
              </c:pt>
              <c:pt idx="2">
                <c:v>11</c:v>
              </c:pt>
            </c:numLit>
          </c:val>
        </c:ser>
        <c:ser>
          <c:idx val="2"/>
          <c:order val="2"/>
          <c:tx>
            <c:v>сен.24</c:v>
          </c:tx>
          <c:spPr>
            <a:noFill/>
            <a:ln>
              <a:solidFill>
                <a:schemeClr val="tx1"/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Lit>
              <c:ptCount val="3"/>
              <c:pt idx="0">
                <c:v>Возникающий очаг</c:v>
              </c:pt>
              <c:pt idx="1">
                <c:v>Действующий очаг</c:v>
              </c:pt>
              <c:pt idx="2">
                <c:v>Затухающий очаг</c:v>
              </c:pt>
            </c:strLit>
          </c:cat>
          <c:val>
            <c:numLit>
              <c:formatCode>General</c:formatCode>
              <c:ptCount val="3"/>
              <c:pt idx="0">
                <c:v>4</c:v>
              </c:pt>
              <c:pt idx="1">
                <c:v>19</c:v>
              </c:pt>
              <c:pt idx="2">
                <c:v>7</c:v>
              </c:pt>
            </c:numLit>
          </c:val>
        </c:ser>
        <c:dLbls>
          <c:showVal val="1"/>
        </c:dLbls>
        <c:overlap val="-25"/>
        <c:axId val="77679616"/>
        <c:axId val="77724672"/>
      </c:barChart>
      <c:catAx>
        <c:axId val="77679616"/>
        <c:scaling>
          <c:orientation val="minMax"/>
        </c:scaling>
        <c:axPos val="b"/>
        <c:numFmt formatCode="General" sourceLinked="0"/>
        <c:majorTickMark val="none"/>
        <c:tickLblPos val="nextTo"/>
        <c:crossAx val="77724672"/>
        <c:crosses val="autoZero"/>
        <c:auto val="1"/>
        <c:lblAlgn val="ctr"/>
        <c:lblOffset val="100"/>
      </c:catAx>
      <c:valAx>
        <c:axId val="7772467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776796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6922773339464162"/>
          <c:y val="1.8475750577367205E-2"/>
          <c:w val="0.35534436102464101"/>
          <c:h val="6.5163651840817446E-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94241-0881-4A83-A122-B5E0C199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karachinova</dc:creator>
  <cp:lastModifiedBy>karachinova</cp:lastModifiedBy>
  <cp:revision>2</cp:revision>
  <cp:lastPrinted>2025-02-06T20:33:00Z</cp:lastPrinted>
  <dcterms:created xsi:type="dcterms:W3CDTF">2025-09-05T14:16:00Z</dcterms:created>
  <dcterms:modified xsi:type="dcterms:W3CDTF">2025-09-05T14:16:00Z</dcterms:modified>
</cp:coreProperties>
</file>