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29" w:rsidRPr="00DE30C5" w:rsidRDefault="00104729" w:rsidP="00DE30C5">
      <w:pPr>
        <w:spacing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</w:pPr>
      <w:r w:rsidRPr="00DE30C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 xml:space="preserve">УДК </w:t>
      </w:r>
      <w:r w:rsidRPr="004D6F22">
        <w:rPr>
          <w:rFonts w:ascii="Times New Roman" w:hAnsi="Times New Roman" w:cs="Times New Roman"/>
          <w:sz w:val="24"/>
          <w:szCs w:val="24"/>
          <w:lang w:val="ru-RU"/>
        </w:rPr>
        <w:t>551.3</w:t>
      </w:r>
    </w:p>
    <w:p w:rsidR="00C0096F" w:rsidRPr="00DE30C5" w:rsidRDefault="00104729" w:rsidP="00DE30C5">
      <w:pPr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  <w:lang w:val="ru-RU"/>
        </w:rPr>
      </w:pPr>
      <w:r w:rsidRPr="00DE30C5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  <w:lang w:val="ru-RU"/>
        </w:rPr>
        <w:t xml:space="preserve">ПОСТКРИОГЕННАЯ ТРАНСФОРМАЦИЯ ВЫСОКОГОРИЙ </w:t>
      </w:r>
    </w:p>
    <w:p w:rsidR="00D90429" w:rsidRPr="00DE30C5" w:rsidRDefault="00104729" w:rsidP="00DE30C5">
      <w:pPr>
        <w:spacing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  <w:lang w:val="ru-RU"/>
        </w:rPr>
      </w:pPr>
      <w:r w:rsidRPr="00DE30C5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  <w:lang w:val="ru-RU"/>
        </w:rPr>
        <w:t>СЕВЕРО-ЧУЙСКОГО ХРЕБТА ПОСЛЕ МАЛОГО ЛЕДНИКОВОГО ПЕРИОДА</w:t>
      </w:r>
    </w:p>
    <w:p w:rsidR="00C0096F" w:rsidRPr="004D6F22" w:rsidRDefault="00C0096F" w:rsidP="00DE3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0C5">
        <w:rPr>
          <w:rFonts w:ascii="Times New Roman" w:hAnsi="Times New Roman" w:cs="Times New Roman"/>
          <w:b/>
          <w:sz w:val="24"/>
          <w:szCs w:val="24"/>
        </w:rPr>
        <w:t xml:space="preserve">POST-CRYOGENIC TRANSFORMATION OF THE HIGHLANDS </w:t>
      </w:r>
    </w:p>
    <w:p w:rsidR="00C0096F" w:rsidRPr="00DE30C5" w:rsidRDefault="00C0096F" w:rsidP="00DE30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0C5">
        <w:rPr>
          <w:rFonts w:ascii="Times New Roman" w:hAnsi="Times New Roman" w:cs="Times New Roman"/>
          <w:b/>
          <w:sz w:val="24"/>
          <w:szCs w:val="24"/>
        </w:rPr>
        <w:t>OF THE NORTH CHUYA RIDGE AFTER THE LITTLE ICE AGE</w:t>
      </w:r>
    </w:p>
    <w:p w:rsidR="00B66815" w:rsidRPr="004D6F22" w:rsidRDefault="00B66815" w:rsidP="00DE30C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30C5">
        <w:rPr>
          <w:rFonts w:ascii="Times New Roman" w:hAnsi="Times New Roman" w:cs="Times New Roman"/>
          <w:i/>
          <w:sz w:val="24"/>
          <w:szCs w:val="24"/>
          <w:lang w:val="ru-RU"/>
        </w:rPr>
        <w:t>Горбунова</w:t>
      </w:r>
      <w:r w:rsidRPr="004D6F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0C5">
        <w:rPr>
          <w:rFonts w:ascii="Times New Roman" w:hAnsi="Times New Roman" w:cs="Times New Roman"/>
          <w:i/>
          <w:sz w:val="24"/>
          <w:szCs w:val="24"/>
          <w:lang w:val="ru-RU"/>
        </w:rPr>
        <w:t>Юлия</w:t>
      </w:r>
      <w:r w:rsidRPr="004D6F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0C5">
        <w:rPr>
          <w:rFonts w:ascii="Times New Roman" w:hAnsi="Times New Roman" w:cs="Times New Roman"/>
          <w:i/>
          <w:sz w:val="24"/>
          <w:szCs w:val="24"/>
          <w:lang w:val="ru-RU"/>
        </w:rPr>
        <w:t>Александровна</w:t>
      </w:r>
      <w:r w:rsidRPr="004D6F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6815" w:rsidRPr="004D6F22" w:rsidRDefault="00B66815" w:rsidP="00DE30C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30C5">
        <w:rPr>
          <w:rFonts w:ascii="Times New Roman" w:hAnsi="Times New Roman" w:cs="Times New Roman"/>
          <w:i/>
          <w:sz w:val="24"/>
          <w:szCs w:val="24"/>
        </w:rPr>
        <w:t>Gorbunova</w:t>
      </w:r>
      <w:proofErr w:type="spellEnd"/>
      <w:r w:rsidRPr="004D6F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145C">
        <w:rPr>
          <w:rFonts w:ascii="Times New Roman" w:hAnsi="Times New Roman" w:cs="Times New Roman"/>
          <w:i/>
          <w:sz w:val="24"/>
          <w:szCs w:val="24"/>
        </w:rPr>
        <w:t>I</w:t>
      </w:r>
      <w:r w:rsidRPr="00DE30C5">
        <w:rPr>
          <w:rFonts w:ascii="Times New Roman" w:hAnsi="Times New Roman" w:cs="Times New Roman"/>
          <w:i/>
          <w:sz w:val="24"/>
          <w:szCs w:val="24"/>
        </w:rPr>
        <w:t>ul</w:t>
      </w:r>
      <w:r w:rsidR="0053145C">
        <w:rPr>
          <w:rFonts w:ascii="Times New Roman" w:hAnsi="Times New Roman" w:cs="Times New Roman"/>
          <w:i/>
          <w:sz w:val="24"/>
          <w:szCs w:val="24"/>
        </w:rPr>
        <w:t>i</w:t>
      </w:r>
      <w:r w:rsidRPr="00DE30C5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Pr="004D6F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0C5">
        <w:rPr>
          <w:rFonts w:ascii="Times New Roman" w:hAnsi="Times New Roman" w:cs="Times New Roman"/>
          <w:i/>
          <w:sz w:val="24"/>
          <w:szCs w:val="24"/>
        </w:rPr>
        <w:t>Alexandrovna</w:t>
      </w:r>
      <w:proofErr w:type="spellEnd"/>
      <w:r w:rsidRPr="004D6F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6815" w:rsidRPr="00DE30C5" w:rsidRDefault="00B66815" w:rsidP="00DE30C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г. Санкт-Петербург, Санкт-Петербургский государственный университет </w:t>
      </w:r>
    </w:p>
    <w:p w:rsidR="00B66815" w:rsidRPr="00DE30C5" w:rsidRDefault="00B66815" w:rsidP="00DE30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C5">
        <w:rPr>
          <w:rFonts w:ascii="Times New Roman" w:hAnsi="Times New Roman" w:cs="Times New Roman"/>
          <w:i/>
          <w:sz w:val="24"/>
          <w:szCs w:val="24"/>
        </w:rPr>
        <w:t>Saint-Petersburg, Saint-Petersburg State Universit</w:t>
      </w:r>
      <w:r w:rsidRPr="00DE30C5">
        <w:rPr>
          <w:rFonts w:ascii="Times New Roman" w:hAnsi="Times New Roman" w:cs="Times New Roman"/>
          <w:sz w:val="24"/>
          <w:szCs w:val="24"/>
        </w:rPr>
        <w:t xml:space="preserve">y </w:t>
      </w:r>
    </w:p>
    <w:p w:rsidR="00B66815" w:rsidRPr="00DE30C5" w:rsidRDefault="0031387B" w:rsidP="00DE30C5">
      <w:pPr>
        <w:spacing w:line="240" w:lineRule="auto"/>
        <w:jc w:val="right"/>
        <w:rPr>
          <w:rFonts w:ascii="Times New Roman" w:hAnsi="Times New Roman" w:cs="Times New Roman"/>
          <w:i/>
          <w:spacing w:val="1"/>
          <w:sz w:val="24"/>
          <w:szCs w:val="24"/>
          <w:shd w:val="clear" w:color="auto" w:fill="FFFFFF"/>
          <w:lang w:val="ru-RU"/>
        </w:rPr>
      </w:pPr>
      <w:hyperlink r:id="rId5" w:history="1">
        <w:r w:rsidR="00B66815" w:rsidRPr="00DE30C5">
          <w:rPr>
            <w:rStyle w:val="a4"/>
            <w:rFonts w:ascii="Times New Roman" w:hAnsi="Times New Roman" w:cs="Times New Roman"/>
            <w:i/>
            <w:spacing w:val="1"/>
            <w:sz w:val="24"/>
            <w:szCs w:val="24"/>
            <w:shd w:val="clear" w:color="auto" w:fill="FFFFFF"/>
          </w:rPr>
          <w:t>jugorbunovalia</w:t>
        </w:r>
        <w:r w:rsidR="00B66815" w:rsidRPr="00DE30C5">
          <w:rPr>
            <w:rStyle w:val="a4"/>
            <w:rFonts w:ascii="Times New Roman" w:hAnsi="Times New Roman" w:cs="Times New Roman"/>
            <w:i/>
            <w:spacing w:val="1"/>
            <w:sz w:val="24"/>
            <w:szCs w:val="24"/>
            <w:shd w:val="clear" w:color="auto" w:fill="FFFFFF"/>
            <w:lang w:val="ru-RU"/>
          </w:rPr>
          <w:t>@</w:t>
        </w:r>
        <w:r w:rsidR="00B66815" w:rsidRPr="00DE30C5">
          <w:rPr>
            <w:rStyle w:val="a4"/>
            <w:rFonts w:ascii="Times New Roman" w:hAnsi="Times New Roman" w:cs="Times New Roman"/>
            <w:i/>
            <w:spacing w:val="1"/>
            <w:sz w:val="24"/>
            <w:szCs w:val="24"/>
            <w:shd w:val="clear" w:color="auto" w:fill="FFFFFF"/>
          </w:rPr>
          <w:t>gmail</w:t>
        </w:r>
        <w:r w:rsidR="00B66815" w:rsidRPr="00DE30C5">
          <w:rPr>
            <w:rStyle w:val="a4"/>
            <w:rFonts w:ascii="Times New Roman" w:hAnsi="Times New Roman" w:cs="Times New Roman"/>
            <w:i/>
            <w:spacing w:val="1"/>
            <w:sz w:val="24"/>
            <w:szCs w:val="24"/>
            <w:shd w:val="clear" w:color="auto" w:fill="FFFFFF"/>
            <w:lang w:val="ru-RU"/>
          </w:rPr>
          <w:t>.</w:t>
        </w:r>
        <w:r w:rsidR="00B66815" w:rsidRPr="00DE30C5">
          <w:rPr>
            <w:rStyle w:val="a4"/>
            <w:rFonts w:ascii="Times New Roman" w:hAnsi="Times New Roman" w:cs="Times New Roman"/>
            <w:i/>
            <w:spacing w:val="1"/>
            <w:sz w:val="24"/>
            <w:szCs w:val="24"/>
            <w:shd w:val="clear" w:color="auto" w:fill="FFFFFF"/>
          </w:rPr>
          <w:t>com</w:t>
        </w:r>
      </w:hyperlink>
    </w:p>
    <w:p w:rsidR="00B66815" w:rsidRPr="00DE30C5" w:rsidRDefault="00B66815" w:rsidP="00DE30C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Научный руководитель: </w:t>
      </w:r>
      <w:r w:rsidRPr="00DE30C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д.г.н., проф</w:t>
      </w:r>
      <w:r w:rsidRPr="00DE3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DE30C5">
        <w:rPr>
          <w:rFonts w:ascii="Times New Roman" w:hAnsi="Times New Roman" w:cs="Times New Roman"/>
          <w:i/>
          <w:sz w:val="24"/>
          <w:szCs w:val="24"/>
        </w:rPr>
        <w:t>Ганюшкин</w:t>
      </w:r>
      <w:proofErr w:type="spellEnd"/>
      <w:r w:rsidRPr="00DE3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0C5">
        <w:rPr>
          <w:rFonts w:ascii="Times New Roman" w:hAnsi="Times New Roman" w:cs="Times New Roman"/>
          <w:i/>
          <w:sz w:val="24"/>
          <w:szCs w:val="24"/>
        </w:rPr>
        <w:t>Дмитрий</w:t>
      </w:r>
      <w:proofErr w:type="spellEnd"/>
      <w:r w:rsidRPr="00DE3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0C5">
        <w:rPr>
          <w:rFonts w:ascii="Times New Roman" w:hAnsi="Times New Roman" w:cs="Times New Roman"/>
          <w:i/>
          <w:sz w:val="24"/>
          <w:szCs w:val="24"/>
        </w:rPr>
        <w:t>Анатольевич</w:t>
      </w:r>
      <w:proofErr w:type="spellEnd"/>
      <w:r w:rsidRPr="00DE30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0429" w:rsidRDefault="00B66815" w:rsidP="007F41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30C5">
        <w:rPr>
          <w:rFonts w:ascii="Times New Roman" w:hAnsi="Times New Roman" w:cs="Times New Roman"/>
          <w:i/>
          <w:sz w:val="24"/>
          <w:szCs w:val="24"/>
        </w:rPr>
        <w:t xml:space="preserve">Research advisor: Professor, </w:t>
      </w:r>
      <w:proofErr w:type="spellStart"/>
      <w:r w:rsidRPr="00DE30C5">
        <w:rPr>
          <w:rFonts w:ascii="Times New Roman" w:hAnsi="Times New Roman" w:cs="Times New Roman"/>
          <w:i/>
          <w:sz w:val="24"/>
          <w:szCs w:val="24"/>
        </w:rPr>
        <w:t>Ganyushkin</w:t>
      </w:r>
      <w:proofErr w:type="spellEnd"/>
      <w:r w:rsidRPr="00DE30C5">
        <w:rPr>
          <w:rFonts w:ascii="Times New Roman" w:hAnsi="Times New Roman" w:cs="Times New Roman"/>
          <w:i/>
          <w:sz w:val="24"/>
          <w:szCs w:val="24"/>
        </w:rPr>
        <w:t xml:space="preserve"> Dmitry </w:t>
      </w:r>
      <w:proofErr w:type="spellStart"/>
      <w:r w:rsidRPr="00DE30C5">
        <w:rPr>
          <w:rFonts w:ascii="Times New Roman" w:hAnsi="Times New Roman" w:cs="Times New Roman"/>
          <w:i/>
          <w:sz w:val="24"/>
          <w:szCs w:val="24"/>
        </w:rPr>
        <w:t>Anatolyevich</w:t>
      </w:r>
      <w:proofErr w:type="spellEnd"/>
    </w:p>
    <w:p w:rsidR="007F41BD" w:rsidRPr="007F41BD" w:rsidRDefault="007F41BD" w:rsidP="007F41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6815" w:rsidRPr="005E531A" w:rsidRDefault="00B66815" w:rsidP="00F1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31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  <w:r w:rsidRPr="005E531A">
        <w:rPr>
          <w:rFonts w:ascii="Times New Roman" w:hAnsi="Times New Roman" w:cs="Times New Roman"/>
          <w:sz w:val="24"/>
          <w:szCs w:val="24"/>
          <w:lang w:val="ru-RU"/>
        </w:rPr>
        <w:t xml:space="preserve">: В данной статье </w:t>
      </w:r>
      <w:r w:rsidR="004D6F22" w:rsidRPr="005E531A">
        <w:rPr>
          <w:rFonts w:ascii="Times New Roman" w:hAnsi="Times New Roman" w:cs="Times New Roman"/>
          <w:sz w:val="24"/>
          <w:szCs w:val="24"/>
          <w:lang w:val="ru-RU"/>
        </w:rPr>
        <w:t xml:space="preserve">проведен анализ распространения на территории Северо-Чуйского хребта таких экзогенных процессов, как осыпи, на основе дешифрирования космических снимков. По этим данным определены стадии </w:t>
      </w:r>
      <w:proofErr w:type="spellStart"/>
      <w:r w:rsidR="004D6F22" w:rsidRPr="005E531A">
        <w:rPr>
          <w:rFonts w:ascii="Times New Roman" w:hAnsi="Times New Roman" w:cs="Times New Roman"/>
          <w:sz w:val="24"/>
          <w:szCs w:val="24"/>
          <w:lang w:val="ru-RU"/>
        </w:rPr>
        <w:t>посткриогенной</w:t>
      </w:r>
      <w:proofErr w:type="spellEnd"/>
      <w:r w:rsidR="004D6F22" w:rsidRPr="005E531A">
        <w:rPr>
          <w:rFonts w:ascii="Times New Roman" w:hAnsi="Times New Roman" w:cs="Times New Roman"/>
          <w:sz w:val="24"/>
          <w:szCs w:val="24"/>
          <w:lang w:val="ru-RU"/>
        </w:rPr>
        <w:t xml:space="preserve"> трансформации исследуемой территории в период с МЛП по настоящее время.</w:t>
      </w:r>
    </w:p>
    <w:p w:rsidR="005E531A" w:rsidRPr="005E531A" w:rsidRDefault="00B66815" w:rsidP="00F1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31A">
        <w:rPr>
          <w:rFonts w:ascii="Times New Roman" w:hAnsi="Times New Roman" w:cs="Times New Roman"/>
          <w:b/>
          <w:sz w:val="24"/>
          <w:szCs w:val="24"/>
        </w:rPr>
        <w:t>Abstract</w:t>
      </w:r>
      <w:r w:rsidRPr="005E531A">
        <w:rPr>
          <w:rFonts w:ascii="Times New Roman" w:hAnsi="Times New Roman" w:cs="Times New Roman"/>
          <w:sz w:val="24"/>
          <w:szCs w:val="24"/>
        </w:rPr>
        <w:t xml:space="preserve">: </w:t>
      </w:r>
      <w:r w:rsidR="005E531A" w:rsidRPr="005E531A">
        <w:rPr>
          <w:rFonts w:ascii="Times New Roman" w:hAnsi="Times New Roman" w:cs="Times New Roman"/>
          <w:sz w:val="24"/>
          <w:szCs w:val="24"/>
        </w:rPr>
        <w:t xml:space="preserve">This article analyzes the distribution of such exogenous processes as talus on the territory of the North </w:t>
      </w:r>
      <w:proofErr w:type="spellStart"/>
      <w:r w:rsidR="005E531A" w:rsidRPr="005E531A">
        <w:rPr>
          <w:rFonts w:ascii="Times New Roman" w:hAnsi="Times New Roman" w:cs="Times New Roman"/>
          <w:sz w:val="24"/>
          <w:szCs w:val="24"/>
        </w:rPr>
        <w:t>Chuya</w:t>
      </w:r>
      <w:proofErr w:type="spellEnd"/>
      <w:r w:rsidR="005E531A" w:rsidRPr="005E531A">
        <w:rPr>
          <w:rFonts w:ascii="Times New Roman" w:hAnsi="Times New Roman" w:cs="Times New Roman"/>
          <w:sz w:val="24"/>
          <w:szCs w:val="24"/>
        </w:rPr>
        <w:t xml:space="preserve"> ridge, based on the decryption of satellite images. According to these data, the stages of post-cryogenic transformation of the study area during the period from the LIA to the present have been determined.</w:t>
      </w:r>
    </w:p>
    <w:p w:rsidR="00B66815" w:rsidRPr="005E3006" w:rsidRDefault="00B66815" w:rsidP="00F1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b/>
          <w:sz w:val="24"/>
          <w:szCs w:val="24"/>
          <w:lang w:val="ru-RU"/>
        </w:rPr>
        <w:t>Ключевые слова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: Алтай, осыпь, дистанционное зондирование, </w:t>
      </w:r>
      <w:r w:rsidR="00A24497" w:rsidRPr="005E3006">
        <w:rPr>
          <w:rFonts w:ascii="Times New Roman" w:hAnsi="Times New Roman" w:cs="Times New Roman"/>
          <w:sz w:val="24"/>
          <w:szCs w:val="24"/>
          <w:lang w:val="ru-RU"/>
        </w:rPr>
        <w:t>МЛП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, Северо-Чуйский хребет</w:t>
      </w:r>
    </w:p>
    <w:p w:rsidR="00B66815" w:rsidRPr="005E3006" w:rsidRDefault="00B66815" w:rsidP="00F13F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b/>
          <w:sz w:val="24"/>
          <w:szCs w:val="24"/>
        </w:rPr>
        <w:t>Key words</w:t>
      </w:r>
      <w:r w:rsidRPr="005E3006">
        <w:rPr>
          <w:rFonts w:ascii="Times New Roman" w:hAnsi="Times New Roman" w:cs="Times New Roman"/>
          <w:sz w:val="24"/>
          <w:szCs w:val="24"/>
        </w:rPr>
        <w:t xml:space="preserve">: Altai, talus, remote sensing, </w:t>
      </w:r>
      <w:r w:rsidR="00A24497" w:rsidRPr="005E3006">
        <w:rPr>
          <w:rFonts w:ascii="Times New Roman" w:hAnsi="Times New Roman" w:cs="Times New Roman"/>
          <w:sz w:val="24"/>
          <w:szCs w:val="24"/>
        </w:rPr>
        <w:t>LIA</w:t>
      </w:r>
      <w:r w:rsidRPr="005E3006">
        <w:rPr>
          <w:rFonts w:ascii="Times New Roman" w:hAnsi="Times New Roman" w:cs="Times New Roman"/>
          <w:sz w:val="24"/>
          <w:szCs w:val="24"/>
        </w:rPr>
        <w:t xml:space="preserve">, North </w:t>
      </w:r>
      <w:proofErr w:type="spellStart"/>
      <w:r w:rsidRPr="005E3006">
        <w:rPr>
          <w:rFonts w:ascii="Times New Roman" w:hAnsi="Times New Roman" w:cs="Times New Roman"/>
          <w:sz w:val="24"/>
          <w:szCs w:val="24"/>
        </w:rPr>
        <w:t>Chuya</w:t>
      </w:r>
      <w:proofErr w:type="spellEnd"/>
      <w:r w:rsidRPr="005E3006">
        <w:rPr>
          <w:rFonts w:ascii="Times New Roman" w:hAnsi="Times New Roman" w:cs="Times New Roman"/>
          <w:sz w:val="24"/>
          <w:szCs w:val="24"/>
        </w:rPr>
        <w:t xml:space="preserve"> ridge</w:t>
      </w:r>
    </w:p>
    <w:p w:rsidR="00C0096F" w:rsidRPr="005E3006" w:rsidRDefault="00DE30C5" w:rsidP="00F13F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Исследование динамики гляциальных процессов высокогорий необходимо для оценки влияния динамики оледенения на другие кри</w:t>
      </w:r>
      <w:r w:rsidR="001C1BEF">
        <w:rPr>
          <w:rFonts w:ascii="Times New Roman" w:hAnsi="Times New Roman" w:cs="Times New Roman"/>
          <w:sz w:val="24"/>
          <w:szCs w:val="24"/>
          <w:lang w:val="ru-RU"/>
        </w:rPr>
        <w:t>огенные процессы и возможности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прогноза опасных природных явлений.</w:t>
      </w:r>
    </w:p>
    <w:p w:rsidR="00C0096F" w:rsidRPr="005E3006" w:rsidRDefault="00C0096F" w:rsidP="009B0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DE30C5" w:rsidRPr="005E300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</w:t>
      </w:r>
      <w:r w:rsidR="00DE30C5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является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анализ</w:t>
      </w:r>
      <w:r w:rsidR="00DE30C5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распространения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экзогенных процессов на территории </w:t>
      </w:r>
      <w:r w:rsidR="00DE30C5" w:rsidRPr="005E3006">
        <w:rPr>
          <w:rFonts w:ascii="Times New Roman" w:hAnsi="Times New Roman" w:cs="Times New Roman"/>
          <w:sz w:val="24"/>
          <w:szCs w:val="24"/>
          <w:lang w:val="ru-RU"/>
        </w:rPr>
        <w:t>Северо-Чуйск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ого хребта.</w:t>
      </w:r>
    </w:p>
    <w:p w:rsidR="00DE30C5" w:rsidRDefault="001C1BEF" w:rsidP="005E3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BEF">
        <w:rPr>
          <w:rFonts w:ascii="Times New Roman" w:hAnsi="Times New Roman" w:cs="Times New Roman"/>
          <w:sz w:val="24"/>
          <w:szCs w:val="24"/>
          <w:lang w:val="ru-RU"/>
        </w:rPr>
        <w:t xml:space="preserve">Для дешифрирования ледников был использован 12-канальный спутниковый снимок </w:t>
      </w:r>
      <w:r w:rsidRPr="00935E0C">
        <w:rPr>
          <w:rFonts w:ascii="Times New Roman" w:hAnsi="Times New Roman" w:cs="Times New Roman"/>
          <w:sz w:val="24"/>
          <w:szCs w:val="24"/>
        </w:rPr>
        <w:t>Sentinel</w:t>
      </w:r>
      <w:r w:rsidRPr="001C1BEF">
        <w:rPr>
          <w:rFonts w:ascii="Times New Roman" w:hAnsi="Times New Roman" w:cs="Times New Roman"/>
          <w:sz w:val="24"/>
          <w:szCs w:val="24"/>
          <w:lang w:val="ru-RU"/>
        </w:rPr>
        <w:t xml:space="preserve">-2 с разрешением 10 м </w:t>
      </w:r>
      <w:r w:rsidR="00EE2A8D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E2A8D" w:rsidRPr="00EE2A8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C1BEF">
        <w:rPr>
          <w:rFonts w:ascii="Times New Roman" w:hAnsi="Times New Roman" w:cs="Times New Roman"/>
          <w:sz w:val="24"/>
          <w:szCs w:val="24"/>
          <w:lang w:val="ru-RU"/>
        </w:rPr>
        <w:t xml:space="preserve">]. Снимок был взят по дате 24 августа 2021 года, тем самым исключено влияние сезонного снежного покрова. Облачность на снимке отсутствует. В ходе работы был сделан синтез каналов в </w:t>
      </w:r>
      <w:r w:rsidRPr="00935E0C">
        <w:rPr>
          <w:rFonts w:ascii="Times New Roman" w:hAnsi="Times New Roman" w:cs="Times New Roman"/>
          <w:sz w:val="24"/>
          <w:szCs w:val="24"/>
        </w:rPr>
        <w:t>RGB</w:t>
      </w:r>
      <w:r w:rsidRPr="001C1BEF">
        <w:rPr>
          <w:rFonts w:ascii="Times New Roman" w:hAnsi="Times New Roman" w:cs="Times New Roman"/>
          <w:sz w:val="24"/>
          <w:szCs w:val="24"/>
          <w:lang w:val="ru-RU"/>
        </w:rPr>
        <w:t xml:space="preserve">-модели и взято сочетание каналов 432 (естественные цвета: красный, зеленый, синий). </w:t>
      </w:r>
      <w:r w:rsidR="00DE30C5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В расчет брались осыпи площадью более 0,001 км². Все высотные характеристики и данные об уклонах и экспозициях получены с помощью цифровой модели рельефа </w:t>
      </w:r>
      <w:r w:rsidR="00DE30C5" w:rsidRPr="005E3006">
        <w:rPr>
          <w:rFonts w:ascii="Times New Roman" w:hAnsi="Times New Roman" w:cs="Times New Roman"/>
          <w:sz w:val="24"/>
          <w:szCs w:val="24"/>
        </w:rPr>
        <w:t>SRTM</w:t>
      </w:r>
      <w:r w:rsidR="00DE30C5" w:rsidRPr="005E3006">
        <w:rPr>
          <w:rFonts w:ascii="Times New Roman" w:hAnsi="Times New Roman" w:cs="Times New Roman"/>
          <w:sz w:val="24"/>
          <w:szCs w:val="24"/>
          <w:lang w:val="ru-RU"/>
        </w:rPr>
        <w:t>3 с разрешением 30 м. Погрешность определения площади составила 4,5 %.</w:t>
      </w:r>
    </w:p>
    <w:p w:rsidR="009B0CDD" w:rsidRDefault="009B0CDD" w:rsidP="009B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осыпи были разделены на три группы: </w:t>
      </w:r>
    </w:p>
    <w:p w:rsidR="009B0CDD" w:rsidRDefault="009B0CDD" w:rsidP="009B0C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CDD">
        <w:rPr>
          <w:rFonts w:ascii="Times New Roman" w:hAnsi="Times New Roman" w:cs="Times New Roman"/>
          <w:sz w:val="24"/>
          <w:szCs w:val="24"/>
          <w:lang w:val="ru-RU"/>
        </w:rPr>
        <w:t>лежащие</w:t>
      </w:r>
      <w:proofErr w:type="gramEnd"/>
      <w:r w:rsidRPr="009B0C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непосредс</w:t>
      </w:r>
      <w:r w:rsidRPr="009B0CDD">
        <w:rPr>
          <w:rFonts w:ascii="Times New Roman" w:hAnsi="Times New Roman" w:cs="Times New Roman"/>
          <w:sz w:val="24"/>
          <w:szCs w:val="24"/>
          <w:lang w:val="ru-RU"/>
        </w:rPr>
        <w:t>твенно на морене МЛП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B0CDD" w:rsidRDefault="009B0CDD" w:rsidP="009B0C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лежащие на тех же высотах, что и осыпи первой группы, но не на морене МЛП;</w:t>
      </w:r>
    </w:p>
    <w:p w:rsidR="009B0CDD" w:rsidRPr="009B0CDD" w:rsidRDefault="009B0CDD" w:rsidP="009B0CD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нижележащие осыпи.</w:t>
      </w:r>
    </w:p>
    <w:p w:rsidR="00D90429" w:rsidRPr="005E3006" w:rsidRDefault="00D90429" w:rsidP="005E30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В ходе работы было </w:t>
      </w:r>
      <w:r w:rsidR="00B66815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вручную </w:t>
      </w:r>
      <w:proofErr w:type="spellStart"/>
      <w:r w:rsidR="00B66815" w:rsidRPr="005E3006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дешифрировано</w:t>
      </w:r>
      <w:proofErr w:type="spellEnd"/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около 17 тысяч осыпей общей площадью в 170,157 км² (табл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>ица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57F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90429" w:rsidRPr="005E3006" w:rsidRDefault="00D90429" w:rsidP="00A607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>ица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57F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. Распре</w:t>
      </w:r>
      <w:r w:rsidR="004D6F22">
        <w:rPr>
          <w:rFonts w:ascii="Times New Roman" w:hAnsi="Times New Roman" w:cs="Times New Roman"/>
          <w:sz w:val="24"/>
          <w:szCs w:val="24"/>
          <w:lang w:val="ru-RU"/>
        </w:rPr>
        <w:t>деление осыпей по бассейнам рек, составлено автором</w:t>
      </w:r>
    </w:p>
    <w:tbl>
      <w:tblPr>
        <w:tblW w:w="7108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2268"/>
        <w:gridCol w:w="3119"/>
      </w:tblGrid>
      <w:tr w:rsidR="00D90429" w:rsidRPr="006557F7" w:rsidTr="00A607DE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Бассейн реки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осыпей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Суммарная площадь, </w:t>
            </w:r>
            <w:proofErr w:type="gramStart"/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км</w:t>
            </w:r>
            <w:proofErr w:type="gramEnd"/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²</w:t>
            </w:r>
          </w:p>
        </w:tc>
      </w:tr>
      <w:tr w:rsidR="00D90429" w:rsidRPr="006557F7" w:rsidTr="00A607DE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Юнгур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4876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50,087</w:t>
            </w:r>
          </w:p>
        </w:tc>
      </w:tr>
      <w:tr w:rsidR="00D90429" w:rsidRPr="006557F7" w:rsidTr="00A607DE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Шавлы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3681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36,547</w:t>
            </w:r>
          </w:p>
        </w:tc>
      </w:tr>
      <w:tr w:rsidR="00D90429" w:rsidRPr="006557F7" w:rsidTr="00A607DE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Маашей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12,324</w:t>
            </w:r>
          </w:p>
        </w:tc>
      </w:tr>
      <w:tr w:rsidR="00D90429" w:rsidRPr="005E3006" w:rsidTr="00A607DE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Актру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5,003</w:t>
            </w:r>
          </w:p>
        </w:tc>
      </w:tr>
      <w:tr w:rsidR="00D90429" w:rsidRPr="005E3006" w:rsidTr="00A607DE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Тетё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4,994</w:t>
            </w:r>
          </w:p>
        </w:tc>
      </w:tr>
      <w:tr w:rsidR="00D90429" w:rsidRPr="005E3006" w:rsidTr="00A607DE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Джело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6,477</w:t>
            </w:r>
          </w:p>
        </w:tc>
      </w:tr>
      <w:tr w:rsidR="00D90429" w:rsidRPr="005E3006" w:rsidTr="00A607DE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Карагем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5029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54,724</w:t>
            </w:r>
          </w:p>
        </w:tc>
      </w:tr>
      <w:tr w:rsidR="00D90429" w:rsidRPr="005E3006" w:rsidTr="00A607DE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D90429" w:rsidRPr="005E3006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E30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∑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90429" w:rsidRPr="006557F7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16941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90429" w:rsidRPr="006557F7" w:rsidRDefault="00D90429" w:rsidP="005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170,157</w:t>
            </w:r>
          </w:p>
        </w:tc>
      </w:tr>
    </w:tbl>
    <w:p w:rsidR="00D90429" w:rsidRPr="005E3006" w:rsidRDefault="00D90429" w:rsidP="00A82D09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На низких высотах (до 2000 м) осыпи встречаются только в бассейнах рек </w:t>
      </w:r>
      <w:proofErr w:type="spellStart"/>
      <w:r w:rsidRPr="005E3006">
        <w:rPr>
          <w:rFonts w:ascii="Times New Roman" w:hAnsi="Times New Roman" w:cs="Times New Roman"/>
          <w:sz w:val="24"/>
          <w:szCs w:val="24"/>
          <w:lang w:val="ru-RU"/>
        </w:rPr>
        <w:t>Карагем</w:t>
      </w:r>
      <w:proofErr w:type="spellEnd"/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E3006">
        <w:rPr>
          <w:rFonts w:ascii="Times New Roman" w:hAnsi="Times New Roman" w:cs="Times New Roman"/>
          <w:sz w:val="24"/>
          <w:szCs w:val="24"/>
          <w:lang w:val="ru-RU"/>
        </w:rPr>
        <w:t>Юнгур</w:t>
      </w:r>
      <w:proofErr w:type="spellEnd"/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E3006">
        <w:rPr>
          <w:rFonts w:ascii="Times New Roman" w:hAnsi="Times New Roman" w:cs="Times New Roman"/>
          <w:sz w:val="24"/>
          <w:szCs w:val="24"/>
          <w:lang w:val="ru-RU"/>
        </w:rPr>
        <w:t>Шавлы</w:t>
      </w:r>
      <w:proofErr w:type="spellEnd"/>
      <w:r w:rsidRPr="005E3006">
        <w:rPr>
          <w:rFonts w:ascii="Times New Roman" w:hAnsi="Times New Roman" w:cs="Times New Roman"/>
          <w:sz w:val="24"/>
          <w:szCs w:val="24"/>
          <w:lang w:val="ru-RU"/>
        </w:rPr>
        <w:t>, т.е. в более низкогорной западной части хребта. Они занимают преимущественно южные экспозиции (юго-запад, юг, юго-восток).</w:t>
      </w:r>
    </w:p>
    <w:p w:rsidR="00D90429" w:rsidRPr="005E3006" w:rsidRDefault="00D90429" w:rsidP="005E3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На высотах 2000-3000 м осыпи на всей территории Северо-Чуйского хребта распределены более или менее равномерно по всем экспозициям.</w:t>
      </w:r>
    </w:p>
    <w:p w:rsidR="00D90429" w:rsidRDefault="00D90429" w:rsidP="005E30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На участках выше 3000 м осыпи занимают в основном южные склоны (юго-запад, юг, юго-восток), что связано с существованием оледенения на этих высотах: ледники занимают преимущественно северные экспозиции (северо-запад, север, северо-восток).</w:t>
      </w:r>
    </w:p>
    <w:p w:rsidR="00A607DE" w:rsidRDefault="00D90429" w:rsidP="005E3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ab/>
        <w:t>Относительная площадь осыпей, лежащих непосредственно на морене МЛП</w:t>
      </w:r>
      <w:r w:rsidR="006557F7">
        <w:rPr>
          <w:rFonts w:ascii="Times New Roman" w:hAnsi="Times New Roman" w:cs="Times New Roman"/>
          <w:sz w:val="24"/>
          <w:szCs w:val="24"/>
          <w:lang w:val="ru-RU"/>
        </w:rPr>
        <w:t xml:space="preserve"> (1 группа)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, т.е. являющихся молодыми образованиями, колеблется от 7,7% (на территории бассейна р. </w:t>
      </w:r>
      <w:proofErr w:type="spellStart"/>
      <w:r w:rsidRPr="005E3006">
        <w:rPr>
          <w:rFonts w:ascii="Times New Roman" w:hAnsi="Times New Roman" w:cs="Times New Roman"/>
          <w:sz w:val="24"/>
          <w:szCs w:val="24"/>
          <w:lang w:val="ru-RU"/>
        </w:rPr>
        <w:t>Шавлы</w:t>
      </w:r>
      <w:proofErr w:type="spellEnd"/>
      <w:r w:rsidRPr="005E3006">
        <w:rPr>
          <w:rFonts w:ascii="Times New Roman" w:hAnsi="Times New Roman" w:cs="Times New Roman"/>
          <w:sz w:val="24"/>
          <w:szCs w:val="24"/>
          <w:lang w:val="ru-RU"/>
        </w:rPr>
        <w:t>) до 3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 xml:space="preserve">0,1% (бассейн р. </w:t>
      </w:r>
      <w:proofErr w:type="spellStart"/>
      <w:r w:rsidR="00A607DE">
        <w:rPr>
          <w:rFonts w:ascii="Times New Roman" w:hAnsi="Times New Roman" w:cs="Times New Roman"/>
          <w:sz w:val="24"/>
          <w:szCs w:val="24"/>
          <w:lang w:val="ru-RU"/>
        </w:rPr>
        <w:t>Актру</w:t>
      </w:r>
      <w:proofErr w:type="spellEnd"/>
      <w:r w:rsidR="00A607DE">
        <w:rPr>
          <w:rFonts w:ascii="Times New Roman" w:hAnsi="Times New Roman" w:cs="Times New Roman"/>
          <w:sz w:val="24"/>
          <w:szCs w:val="24"/>
          <w:lang w:val="ru-RU"/>
        </w:rPr>
        <w:t>) (рисунок</w:t>
      </w:r>
      <w:r w:rsidR="006557F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90429" w:rsidRPr="005E3006" w:rsidRDefault="00D90429" w:rsidP="00A607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68750" cy="2095500"/>
            <wp:effectExtent l="19050" t="0" r="12700" b="0"/>
            <wp:docPr id="6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0429" w:rsidRDefault="00A607DE" w:rsidP="00A607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="006557F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. Относительная площадь осыпей, лежащих на морене, от суммарной площади всех осыпей в конкретном бассейне </w:t>
      </w:r>
      <w:r w:rsidR="004D6F22">
        <w:rPr>
          <w:rFonts w:ascii="Times New Roman" w:hAnsi="Times New Roman" w:cs="Times New Roman"/>
          <w:sz w:val="24"/>
          <w:szCs w:val="24"/>
          <w:lang w:val="ru-RU"/>
        </w:rPr>
        <w:t>реки, составлено автором</w:t>
      </w:r>
    </w:p>
    <w:p w:rsidR="009B0CDD" w:rsidRPr="005E3006" w:rsidRDefault="009B0CDD" w:rsidP="009B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В целом относительная площадь осыпей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 xml:space="preserve">1 и </w:t>
      </w:r>
      <w:r>
        <w:rPr>
          <w:rFonts w:ascii="Times New Roman" w:hAnsi="Times New Roman" w:cs="Times New Roman"/>
          <w:sz w:val="24"/>
          <w:szCs w:val="24"/>
          <w:lang w:val="ru-RU"/>
        </w:rPr>
        <w:t>2 группа)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, лежащих в пределах высот 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>морен МЛП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, больше (примерно в 2-3 раза), чем нижележащих </w:t>
      </w:r>
      <w:r>
        <w:rPr>
          <w:rFonts w:ascii="Times New Roman" w:hAnsi="Times New Roman" w:cs="Times New Roman"/>
          <w:sz w:val="24"/>
          <w:szCs w:val="24"/>
          <w:lang w:val="ru-RU"/>
        </w:rPr>
        <w:t>осыпей (3 группа)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, что говорит о развитых склоновых процессах на территории отступания ледников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 xml:space="preserve"> (рисунок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>, 3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B0CDD" w:rsidRPr="005E3006" w:rsidRDefault="009B0CDD" w:rsidP="005E3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1BD" w:rsidRPr="005E3006" w:rsidRDefault="007F41BD" w:rsidP="00A60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1BD">
        <w:rPr>
          <w:noProof/>
          <w:lang w:val="ru-RU" w:eastAsia="ru-RU"/>
        </w:rPr>
        <w:lastRenderedPageBreak/>
        <w:t xml:space="preserve"> </w:t>
      </w:r>
      <w:r w:rsidRPr="007F41BD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4155440" cy="2355273"/>
            <wp:effectExtent l="19050" t="0" r="16510" b="692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0429" w:rsidRPr="005E3006" w:rsidRDefault="00A607DE" w:rsidP="00A60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57F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. Распределение осыпей по бассейнам рек в пределах и ниже</w:t>
      </w:r>
      <w:r w:rsidR="006557F7">
        <w:rPr>
          <w:rFonts w:ascii="Times New Roman" w:hAnsi="Times New Roman" w:cs="Times New Roman"/>
          <w:sz w:val="24"/>
          <w:szCs w:val="24"/>
          <w:lang w:val="ru-RU"/>
        </w:rPr>
        <w:t xml:space="preserve"> высот морен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МЛП с учетом площади районов</w:t>
      </w:r>
      <w:r w:rsidR="004D6F22">
        <w:rPr>
          <w:rFonts w:ascii="Times New Roman" w:hAnsi="Times New Roman" w:cs="Times New Roman"/>
          <w:sz w:val="24"/>
          <w:szCs w:val="24"/>
          <w:lang w:val="ru-RU"/>
        </w:rPr>
        <w:t>, составлено автором</w:t>
      </w:r>
      <w:r w:rsidR="004D6F22" w:rsidRPr="005E300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D90429" w:rsidRPr="005E300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36099" cy="3581400"/>
            <wp:effectExtent l="19050" t="0" r="2751" b="0"/>
            <wp:docPr id="65" name="Рисунок 40" descr="все_осы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_осыпи.jpg"/>
                    <pic:cNvPicPr/>
                  </pic:nvPicPr>
                  <pic:blipFill>
                    <a:blip r:embed="rId8" cstate="print"/>
                    <a:srcRect l="4378" t="14037" r="1335" b="13367"/>
                    <a:stretch>
                      <a:fillRect/>
                    </a:stretch>
                  </pic:blipFill>
                  <pic:spPr>
                    <a:xfrm>
                      <a:off x="0" y="0"/>
                      <a:ext cx="6036099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1 – осыпи на морене МЛП, 2 – осыпи, лежащие на тех же высотах, что и осыпи на морене МЛП, 3 – все нижележащие осыпи.</w:t>
      </w:r>
    </w:p>
    <w:p w:rsidR="00D90429" w:rsidRPr="005E3006" w:rsidRDefault="00A607DE" w:rsidP="00A607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C5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. Карта распространения осыпей на Северо-Чуйском хребте</w:t>
      </w:r>
      <w:r w:rsidR="004D6F22">
        <w:rPr>
          <w:rFonts w:ascii="Times New Roman" w:hAnsi="Times New Roman" w:cs="Times New Roman"/>
          <w:sz w:val="24"/>
          <w:szCs w:val="24"/>
          <w:lang w:val="ru-RU"/>
        </w:rPr>
        <w:t>, составлено автором</w:t>
      </w:r>
    </w:p>
    <w:p w:rsidR="00D90429" w:rsidRPr="005E3006" w:rsidRDefault="00D90429" w:rsidP="005E30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Можно выделить 4 стадии </w:t>
      </w:r>
      <w:proofErr w:type="spellStart"/>
      <w:r w:rsidRPr="005E3006">
        <w:rPr>
          <w:rFonts w:ascii="Times New Roman" w:hAnsi="Times New Roman" w:cs="Times New Roman"/>
          <w:sz w:val="24"/>
          <w:szCs w:val="24"/>
          <w:lang w:val="ru-RU"/>
        </w:rPr>
        <w:t>посткриогенной</w:t>
      </w:r>
      <w:proofErr w:type="spellEnd"/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трансформации, иллюстрируемых современными процессами на разных высотных поясах:</w:t>
      </w:r>
      <w:proofErr w:type="gramEnd"/>
    </w:p>
    <w:p w:rsidR="00D90429" w:rsidRDefault="00D90429" w:rsidP="00A607D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Ледниковый этап. Большая роль в переносе материала лавинами и ледниками (выше 3000 м).</w:t>
      </w:r>
    </w:p>
    <w:p w:rsidR="00A607DE" w:rsidRPr="005E3006" w:rsidRDefault="00A607DE" w:rsidP="00A607D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429" w:rsidRPr="005E3006" w:rsidRDefault="00D90429" w:rsidP="00A607DE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Первый </w:t>
      </w:r>
      <w:proofErr w:type="spellStart"/>
      <w:r w:rsidRPr="005E3006">
        <w:rPr>
          <w:rFonts w:ascii="Times New Roman" w:hAnsi="Times New Roman" w:cs="Times New Roman"/>
          <w:sz w:val="24"/>
          <w:szCs w:val="24"/>
          <w:lang w:val="ru-RU"/>
        </w:rPr>
        <w:t>постгляциальный</w:t>
      </w:r>
      <w:proofErr w:type="spellEnd"/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этап наибольшей экзогенной активности: осыпей, морен, </w:t>
      </w:r>
      <w:proofErr w:type="spellStart"/>
      <w:r w:rsidRPr="005E3006">
        <w:rPr>
          <w:rFonts w:ascii="Times New Roman" w:hAnsi="Times New Roman" w:cs="Times New Roman"/>
          <w:sz w:val="24"/>
          <w:szCs w:val="24"/>
          <w:lang w:val="ru-RU"/>
        </w:rPr>
        <w:t>прорывоопасных</w:t>
      </w:r>
      <w:proofErr w:type="spellEnd"/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озер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 xml:space="preserve"> (рисунок</w:t>
      </w:r>
      <w:r w:rsidR="00567C53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). При регрессии ледников активизируются склоновые процессы. Большую роль в переносе материала также играют талые водотоки (2400-3000 м).</w:t>
      </w:r>
    </w:p>
    <w:p w:rsidR="009B0CDD" w:rsidRDefault="00D90429" w:rsidP="00A60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23532" cy="2784044"/>
            <wp:effectExtent l="19050" t="0" r="768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278" cy="278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29" w:rsidRPr="005E3006" w:rsidRDefault="00A607DE" w:rsidP="00A607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="00567C53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. Схема </w:t>
      </w:r>
      <w:proofErr w:type="spellStart"/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прорывоопасно</w:t>
      </w:r>
      <w:r w:rsidR="004D6F22">
        <w:rPr>
          <w:rFonts w:ascii="Times New Roman" w:hAnsi="Times New Roman" w:cs="Times New Roman"/>
          <w:sz w:val="24"/>
          <w:szCs w:val="24"/>
          <w:lang w:val="ru-RU"/>
        </w:rPr>
        <w:t>сти</w:t>
      </w:r>
      <w:proofErr w:type="spellEnd"/>
      <w:r w:rsidR="004D6F22">
        <w:rPr>
          <w:rFonts w:ascii="Times New Roman" w:hAnsi="Times New Roman" w:cs="Times New Roman"/>
          <w:sz w:val="24"/>
          <w:szCs w:val="24"/>
          <w:lang w:val="ru-RU"/>
        </w:rPr>
        <w:t xml:space="preserve"> озёр Северо-Чуйского хребта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2A8D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E2A8D" w:rsidRPr="004D6F2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D90429" w:rsidRPr="005E3006" w:rsidRDefault="00D90429" w:rsidP="005E30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Ледники отступили далеко. Осыпи трансформируются в каменные глетчеры, последние медленно движутся. Преобладают мерзлотные процессы</w:t>
      </w:r>
      <w:r w:rsidRPr="005E3006">
        <w:rPr>
          <w:rFonts w:ascii="Times New Roman" w:hAnsi="Times New Roman" w:cs="Times New Roman"/>
          <w:sz w:val="24"/>
          <w:szCs w:val="24"/>
        </w:rPr>
        <w:t xml:space="preserve"> (2000-2400 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м). </w:t>
      </w:r>
    </w:p>
    <w:p w:rsidR="00D90429" w:rsidRPr="005E3006" w:rsidRDefault="00D90429" w:rsidP="005E3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Ниже представлен пример преобразования осыпи в каменный глетчер: видны трещины из-за образования ледяного ядра внутри осыпи</w:t>
      </w:r>
      <w:r w:rsidR="00567C53">
        <w:rPr>
          <w:rFonts w:ascii="Times New Roman" w:hAnsi="Times New Roman" w:cs="Times New Roman"/>
          <w:sz w:val="24"/>
          <w:szCs w:val="24"/>
          <w:lang w:val="ru-RU"/>
        </w:rPr>
        <w:t xml:space="preserve"> (рис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567C53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90429" w:rsidRPr="005E3006" w:rsidRDefault="00D90429" w:rsidP="00A607D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73630" cy="1979340"/>
            <wp:effectExtent l="19050" t="0" r="7620" b="0"/>
            <wp:docPr id="70" name="Рисунок 69" descr="осыпь в глет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ыпь в глетчер.jpg"/>
                    <pic:cNvPicPr/>
                  </pic:nvPicPr>
                  <pic:blipFill>
                    <a:blip r:embed="rId10">
                      <a:lum contrast="20000"/>
                    </a:blip>
                    <a:srcRect l="742" r="41591" b="3772"/>
                    <a:stretch>
                      <a:fillRect/>
                    </a:stretch>
                  </pic:blipFill>
                  <pic:spPr>
                    <a:xfrm>
                      <a:off x="0" y="0"/>
                      <a:ext cx="2381963" cy="19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29" w:rsidRDefault="00A607DE" w:rsidP="00A607DE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="005E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C5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. Трансформация осыпей №819 и 822 (бассейн р. </w:t>
      </w:r>
      <w:proofErr w:type="spellStart"/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Маашей</w:t>
      </w:r>
      <w:proofErr w:type="spellEnd"/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) в каменные глетчеры</w:t>
      </w:r>
      <w:r w:rsidR="004D6F22">
        <w:rPr>
          <w:rFonts w:ascii="Times New Roman" w:hAnsi="Times New Roman" w:cs="Times New Roman"/>
          <w:sz w:val="24"/>
          <w:szCs w:val="24"/>
          <w:lang w:val="ru-RU"/>
        </w:rPr>
        <w:t>, составлено автором</w:t>
      </w:r>
    </w:p>
    <w:p w:rsidR="00A607DE" w:rsidRDefault="00A607DE" w:rsidP="00A607DE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90429" w:rsidRPr="005E3006" w:rsidRDefault="00D90429" w:rsidP="00A607DE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Энергия склоновых процессов минимальна. Стабилизация осыпей древесной растительностью (ниже 2000 м)</w:t>
      </w:r>
      <w:r w:rsidR="00A607DE">
        <w:rPr>
          <w:rFonts w:ascii="Times New Roman" w:hAnsi="Times New Roman" w:cs="Times New Roman"/>
          <w:sz w:val="24"/>
          <w:szCs w:val="24"/>
          <w:lang w:val="ru-RU"/>
        </w:rPr>
        <w:t xml:space="preserve"> (рисунок</w:t>
      </w:r>
      <w:r w:rsidR="00567C53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Pr="005E300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90429" w:rsidRPr="00567C53" w:rsidRDefault="00D90429" w:rsidP="00A607D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350770" cy="1495944"/>
            <wp:effectExtent l="19050" t="0" r="0" b="0"/>
            <wp:docPr id="6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05" cy="149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29" w:rsidRPr="005E3006" w:rsidRDefault="00A607DE" w:rsidP="00A607D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="005E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C5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. Пример зарастания осыпей №1004 и 1005 (бассейн р. </w:t>
      </w:r>
      <w:proofErr w:type="spellStart"/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Маашей</w:t>
      </w:r>
      <w:proofErr w:type="spellEnd"/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) древесной растительностью</w:t>
      </w:r>
      <w:r w:rsidR="004D6F22">
        <w:rPr>
          <w:rFonts w:ascii="Times New Roman" w:hAnsi="Times New Roman" w:cs="Times New Roman"/>
          <w:sz w:val="24"/>
          <w:szCs w:val="24"/>
          <w:lang w:val="ru-RU"/>
        </w:rPr>
        <w:t>, составлено автором</w:t>
      </w:r>
    </w:p>
    <w:p w:rsidR="00D90429" w:rsidRPr="005E3006" w:rsidRDefault="00D90429" w:rsidP="005E30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0429" w:rsidRPr="005E3006" w:rsidRDefault="000069EC" w:rsidP="005E3006">
      <w:pPr>
        <w:spacing w:line="240" w:lineRule="auto"/>
        <w:ind w:firstLine="6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Таким образом</w:t>
      </w:r>
      <w:r w:rsidR="005E3006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определены 4 стадии </w:t>
      </w:r>
      <w:proofErr w:type="spellStart"/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>посткриогенной</w:t>
      </w:r>
      <w:proofErr w:type="spellEnd"/>
      <w:r w:rsidR="00D90429"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трансформации Северо-Чуйского хребта:</w:t>
      </w:r>
    </w:p>
    <w:p w:rsidR="00D90429" w:rsidRPr="005E3006" w:rsidRDefault="00D90429" w:rsidP="005E300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Ледниковая стадия. </w:t>
      </w:r>
    </w:p>
    <w:p w:rsidR="00D90429" w:rsidRPr="005E3006" w:rsidRDefault="00D90429" w:rsidP="005E300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Первая </w:t>
      </w:r>
      <w:proofErr w:type="spellStart"/>
      <w:r w:rsidRPr="005E3006">
        <w:rPr>
          <w:rFonts w:ascii="Times New Roman" w:hAnsi="Times New Roman" w:cs="Times New Roman"/>
          <w:sz w:val="24"/>
          <w:szCs w:val="24"/>
          <w:lang w:val="ru-RU"/>
        </w:rPr>
        <w:t>постгляциальная</w:t>
      </w:r>
      <w:proofErr w:type="spellEnd"/>
      <w:r w:rsidRPr="005E3006">
        <w:rPr>
          <w:rFonts w:ascii="Times New Roman" w:hAnsi="Times New Roman" w:cs="Times New Roman"/>
          <w:sz w:val="24"/>
          <w:szCs w:val="24"/>
          <w:lang w:val="ru-RU"/>
        </w:rPr>
        <w:t xml:space="preserve"> стадия наибольшей экзогенной активности.</w:t>
      </w:r>
    </w:p>
    <w:p w:rsidR="00D90429" w:rsidRPr="005E3006" w:rsidRDefault="00D90429" w:rsidP="005E300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Стадия преобладания мерзлотных процессов.</w:t>
      </w:r>
    </w:p>
    <w:p w:rsidR="005E3006" w:rsidRDefault="00D90429" w:rsidP="00CA2E0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006">
        <w:rPr>
          <w:rFonts w:ascii="Times New Roman" w:hAnsi="Times New Roman" w:cs="Times New Roman"/>
          <w:sz w:val="24"/>
          <w:szCs w:val="24"/>
          <w:lang w:val="ru-RU"/>
        </w:rPr>
        <w:t>Стадия минимизации и стабилизации энергии склоновых процессов.</w:t>
      </w:r>
    </w:p>
    <w:p w:rsidR="00CA2E03" w:rsidRDefault="00CA2E03" w:rsidP="00CA2E03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E03" w:rsidRPr="00CA2E03" w:rsidRDefault="00CA2E03" w:rsidP="00CA2E03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03">
        <w:rPr>
          <w:rFonts w:ascii="Times New Roman" w:hAnsi="Times New Roman" w:cs="Times New Roman"/>
          <w:sz w:val="24"/>
          <w:szCs w:val="24"/>
          <w:lang w:val="ru-RU"/>
        </w:rPr>
        <w:t xml:space="preserve">Работа производилась при поддержке РНФ и в рамках реализации проекта № 22-67- 00020 «Изменения климата, ледников и ландшафтов Алтая в прошлом, настоящем и будущем как основа модели адаптации населения </w:t>
      </w:r>
      <w:proofErr w:type="spellStart"/>
      <w:r w:rsidRPr="00CA2E03">
        <w:rPr>
          <w:rFonts w:ascii="Times New Roman" w:hAnsi="Times New Roman" w:cs="Times New Roman"/>
          <w:sz w:val="24"/>
          <w:szCs w:val="24"/>
          <w:lang w:val="ru-RU"/>
        </w:rPr>
        <w:t>внутриконтинетальных</w:t>
      </w:r>
      <w:proofErr w:type="spellEnd"/>
      <w:r w:rsidRPr="00CA2E03">
        <w:rPr>
          <w:rFonts w:ascii="Times New Roman" w:hAnsi="Times New Roman" w:cs="Times New Roman"/>
          <w:sz w:val="24"/>
          <w:szCs w:val="24"/>
          <w:lang w:val="ru-RU"/>
        </w:rPr>
        <w:t xml:space="preserve"> горных районов Евразии к </w:t>
      </w:r>
      <w:proofErr w:type="spellStart"/>
      <w:r w:rsidRPr="00CA2E03">
        <w:rPr>
          <w:rFonts w:ascii="Times New Roman" w:hAnsi="Times New Roman" w:cs="Times New Roman"/>
          <w:sz w:val="24"/>
          <w:szCs w:val="24"/>
          <w:lang w:val="ru-RU"/>
        </w:rPr>
        <w:t>климатообусловленным</w:t>
      </w:r>
      <w:proofErr w:type="spellEnd"/>
      <w:r w:rsidRPr="00CA2E03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изменениям среды</w:t>
      </w:r>
      <w:proofErr w:type="gramStart"/>
      <w:r w:rsidRPr="00CA2E03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CA2E03">
        <w:rPr>
          <w:rFonts w:ascii="Times New Roman" w:hAnsi="Times New Roman" w:cs="Times New Roman"/>
          <w:sz w:val="24"/>
          <w:szCs w:val="24"/>
          <w:lang w:val="ru-RU"/>
        </w:rPr>
        <w:t>2023 г. этап 2»</w:t>
      </w:r>
    </w:p>
    <w:p w:rsidR="004D6F22" w:rsidRDefault="004D6F22" w:rsidP="005E300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0429" w:rsidRPr="00B72F77" w:rsidRDefault="00D90429" w:rsidP="00B72F7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F77">
        <w:rPr>
          <w:rFonts w:ascii="Times New Roman" w:hAnsi="Times New Roman" w:cs="Times New Roman"/>
          <w:b/>
          <w:sz w:val="24"/>
          <w:szCs w:val="24"/>
          <w:lang w:val="ru-RU"/>
        </w:rPr>
        <w:t>Список литературы</w:t>
      </w:r>
    </w:p>
    <w:p w:rsidR="00D90429" w:rsidRPr="00B72F77" w:rsidRDefault="00D90429" w:rsidP="00B72F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F77">
        <w:rPr>
          <w:rFonts w:ascii="Times New Roman" w:hAnsi="Times New Roman" w:cs="Times New Roman"/>
          <w:sz w:val="24"/>
          <w:szCs w:val="24"/>
          <w:lang w:val="ru-RU"/>
        </w:rPr>
        <w:t xml:space="preserve">Отчёт о научно-исследовательской работе по теме проекта РНФ № 22-67- 00020 «Изменения климата, ледников и ландшафтов Алтая в прошлом, настоящем и будущем как основа </w:t>
      </w:r>
      <w:proofErr w:type="gramStart"/>
      <w:r w:rsidRPr="00B72F77">
        <w:rPr>
          <w:rFonts w:ascii="Times New Roman" w:hAnsi="Times New Roman" w:cs="Times New Roman"/>
          <w:sz w:val="24"/>
          <w:szCs w:val="24"/>
          <w:lang w:val="ru-RU"/>
        </w:rPr>
        <w:t>модели адаптации населения внутриконтинентальных горных районов Евразии</w:t>
      </w:r>
      <w:proofErr w:type="gramEnd"/>
      <w:r w:rsidRPr="00B72F77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B72F77">
        <w:rPr>
          <w:rFonts w:ascii="Times New Roman" w:hAnsi="Times New Roman" w:cs="Times New Roman"/>
          <w:sz w:val="24"/>
          <w:szCs w:val="24"/>
          <w:lang w:val="ru-RU"/>
        </w:rPr>
        <w:t>климатообусловленным</w:t>
      </w:r>
      <w:proofErr w:type="spellEnd"/>
      <w:r w:rsidRPr="00B72F77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изменениям среды», 2022, руководитель проекта Ганюшкин Д.А.</w:t>
      </w:r>
    </w:p>
    <w:p w:rsidR="00D90429" w:rsidRPr="00B72F77" w:rsidRDefault="00D90429" w:rsidP="00B72F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F77">
        <w:rPr>
          <w:rFonts w:ascii="Times New Roman" w:hAnsi="Times New Roman" w:cs="Times New Roman"/>
          <w:sz w:val="24"/>
          <w:szCs w:val="24"/>
        </w:rPr>
        <w:t>USGS</w:t>
      </w:r>
      <w:r w:rsidRPr="00B72F77">
        <w:rPr>
          <w:rFonts w:ascii="Times New Roman" w:hAnsi="Times New Roman" w:cs="Times New Roman"/>
          <w:sz w:val="24"/>
          <w:szCs w:val="24"/>
          <w:lang w:val="ru-RU"/>
        </w:rPr>
        <w:t xml:space="preserve"> [Электронный ресурс]. </w:t>
      </w:r>
      <w:r w:rsidRPr="00B72F77">
        <w:rPr>
          <w:rFonts w:ascii="Times New Roman" w:hAnsi="Times New Roman" w:cs="Times New Roman"/>
          <w:sz w:val="24"/>
          <w:szCs w:val="24"/>
        </w:rPr>
        <w:t>URL</w:t>
      </w:r>
      <w:r w:rsidRPr="00B72F7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2" w:history="1">
        <w:r w:rsidRPr="00B72F77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B72F7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B72F77">
          <w:rPr>
            <w:rStyle w:val="a4"/>
            <w:rFonts w:ascii="Times New Roman" w:hAnsi="Times New Roman" w:cs="Times New Roman"/>
            <w:sz w:val="24"/>
            <w:szCs w:val="24"/>
          </w:rPr>
          <w:t>earthexplorer</w:t>
        </w:r>
        <w:proofErr w:type="spellEnd"/>
        <w:r w:rsidRPr="00B72F7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72F77">
          <w:rPr>
            <w:rStyle w:val="a4"/>
            <w:rFonts w:ascii="Times New Roman" w:hAnsi="Times New Roman" w:cs="Times New Roman"/>
            <w:sz w:val="24"/>
            <w:szCs w:val="24"/>
          </w:rPr>
          <w:t>usgs</w:t>
        </w:r>
        <w:proofErr w:type="spellEnd"/>
        <w:r w:rsidRPr="00B72F7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72F77">
          <w:rPr>
            <w:rStyle w:val="a4"/>
            <w:rFonts w:ascii="Times New Roman" w:hAnsi="Times New Roman" w:cs="Times New Roman"/>
            <w:sz w:val="24"/>
            <w:szCs w:val="24"/>
          </w:rPr>
          <w:t>gov</w:t>
        </w:r>
        <w:proofErr w:type="spellEnd"/>
      </w:hyperlink>
      <w:r w:rsidR="004D6F22" w:rsidRPr="00B72F77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 01.11.2021)</w:t>
      </w:r>
    </w:p>
    <w:p w:rsidR="008363AA" w:rsidRPr="00B72F77" w:rsidRDefault="008363AA" w:rsidP="00B7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363AA" w:rsidRPr="00B72F77" w:rsidSect="001047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536"/>
    <w:multiLevelType w:val="hybridMultilevel"/>
    <w:tmpl w:val="53B6F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B3A7A"/>
    <w:multiLevelType w:val="hybridMultilevel"/>
    <w:tmpl w:val="7B02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244AE"/>
    <w:multiLevelType w:val="hybridMultilevel"/>
    <w:tmpl w:val="BBF89E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8CB5F2D"/>
    <w:multiLevelType w:val="hybridMultilevel"/>
    <w:tmpl w:val="EC424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0429"/>
    <w:rsid w:val="000069EC"/>
    <w:rsid w:val="0000710B"/>
    <w:rsid w:val="000C2192"/>
    <w:rsid w:val="00104729"/>
    <w:rsid w:val="00147817"/>
    <w:rsid w:val="001C1BEF"/>
    <w:rsid w:val="00291EC3"/>
    <w:rsid w:val="0031387B"/>
    <w:rsid w:val="004D6F22"/>
    <w:rsid w:val="0053145C"/>
    <w:rsid w:val="00567C53"/>
    <w:rsid w:val="005E3006"/>
    <w:rsid w:val="005E531A"/>
    <w:rsid w:val="006557F7"/>
    <w:rsid w:val="007F41BD"/>
    <w:rsid w:val="008363AA"/>
    <w:rsid w:val="009B0CDD"/>
    <w:rsid w:val="00A24497"/>
    <w:rsid w:val="00A607DE"/>
    <w:rsid w:val="00A82D09"/>
    <w:rsid w:val="00B66815"/>
    <w:rsid w:val="00B72F77"/>
    <w:rsid w:val="00C0096F"/>
    <w:rsid w:val="00CA2E03"/>
    <w:rsid w:val="00D177F3"/>
    <w:rsid w:val="00D90429"/>
    <w:rsid w:val="00DE30C5"/>
    <w:rsid w:val="00EE2A8D"/>
    <w:rsid w:val="00F1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429"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unhideWhenUsed/>
    <w:rsid w:val="00D904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90429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9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42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https://earthexplorer.usg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jpeg"/><Relationship Id="rId5" Type="http://schemas.openxmlformats.org/officeDocument/2006/relationships/hyperlink" Target="mailto:jugorbunovalia@gmai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&#1070;&#1083;&#1103;\5%20&#1089;&#1077;&#1084;&#1077;&#1089;&#1090;&#1088;\&#1088;&#1072;&#1073;&#1086;&#1090;&#1072;\&#1086;&#1089;&#1099;&#1087;&#1080;\&#1054;&#1089;&#1099;&#1087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&#1070;&#1083;&#1103;\5%20&#1089;&#1077;&#1084;&#1077;&#1089;&#1090;&#1088;\&#1088;&#1072;&#1073;&#1086;&#1090;&#1072;\&#1086;&#1089;&#1099;&#1087;&#1080;\&#1054;&#1089;&#1099;&#1087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Лист1!$B$11</c:f>
              <c:strCache>
                <c:ptCount val="1"/>
                <c:pt idx="0">
                  <c:v>Абсолютная площадь осыпей, лежащих на морене</c:v>
                </c:pt>
              </c:strCache>
            </c:strRef>
          </c:tx>
          <c:cat>
            <c:strRef>
              <c:f>Лист1!$A$12:$A$18</c:f>
              <c:strCache>
                <c:ptCount val="7"/>
                <c:pt idx="0">
                  <c:v>Юнгур</c:v>
                </c:pt>
                <c:pt idx="1">
                  <c:v>Шавлы</c:v>
                </c:pt>
                <c:pt idx="2">
                  <c:v>Маашей</c:v>
                </c:pt>
                <c:pt idx="3">
                  <c:v>Актру</c:v>
                </c:pt>
                <c:pt idx="4">
                  <c:v>Тетё</c:v>
                </c:pt>
                <c:pt idx="5">
                  <c:v>Джело</c:v>
                </c:pt>
                <c:pt idx="6">
                  <c:v>Карагем</c:v>
                </c:pt>
              </c:strCache>
            </c:strRef>
          </c:cat>
          <c:val>
            <c:numRef>
              <c:f>Лист1!$B$12:$B$18</c:f>
              <c:numCache>
                <c:formatCode>0.0%</c:formatCode>
                <c:ptCount val="7"/>
                <c:pt idx="0">
                  <c:v>0.12448876350860152</c:v>
                </c:pt>
                <c:pt idx="1">
                  <c:v>7.6872247362847673E-2</c:v>
                </c:pt>
                <c:pt idx="2">
                  <c:v>0.16895001286893754</c:v>
                </c:pt>
                <c:pt idx="3">
                  <c:v>0.30115961612266307</c:v>
                </c:pt>
                <c:pt idx="4">
                  <c:v>0.10246474080300415</c:v>
                </c:pt>
                <c:pt idx="5">
                  <c:v>0.14549011674828349</c:v>
                </c:pt>
                <c:pt idx="6">
                  <c:v>0.19618487322495737</c:v>
                </c:pt>
              </c:numCache>
            </c:numRef>
          </c:val>
        </c:ser>
        <c:axId val="95713536"/>
        <c:axId val="96313344"/>
      </c:barChart>
      <c:catAx>
        <c:axId val="95713536"/>
        <c:scaling>
          <c:orientation val="minMax"/>
        </c:scaling>
        <c:axPos val="b"/>
        <c:tickLblPos val="nextTo"/>
        <c:crossAx val="96313344"/>
        <c:crosses val="autoZero"/>
        <c:auto val="1"/>
        <c:lblAlgn val="ctr"/>
        <c:lblOffset val="100"/>
      </c:catAx>
      <c:valAx>
        <c:axId val="96313344"/>
        <c:scaling>
          <c:orientation val="minMax"/>
        </c:scaling>
        <c:axPos val="l"/>
        <c:majorGridlines/>
        <c:numFmt formatCode="0%" sourceLinked="0"/>
        <c:tickLblPos val="nextTo"/>
        <c:crossAx val="957135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Лист1!$B$29</c:f>
              <c:strCache>
                <c:ptCount val="1"/>
                <c:pt idx="0">
                  <c:v>Относительная площадь осыпей ниже МЛП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strRef>
              <c:f>Лист1!$A$30:$A$36</c:f>
              <c:strCache>
                <c:ptCount val="7"/>
                <c:pt idx="0">
                  <c:v>Юнгур</c:v>
                </c:pt>
                <c:pt idx="1">
                  <c:v>Шавлы</c:v>
                </c:pt>
                <c:pt idx="2">
                  <c:v>Маашей</c:v>
                </c:pt>
                <c:pt idx="3">
                  <c:v>Актру</c:v>
                </c:pt>
                <c:pt idx="4">
                  <c:v>Тетё</c:v>
                </c:pt>
                <c:pt idx="5">
                  <c:v>Джело</c:v>
                </c:pt>
                <c:pt idx="6">
                  <c:v>Карагем</c:v>
                </c:pt>
              </c:strCache>
            </c:strRef>
          </c:cat>
          <c:val>
            <c:numRef>
              <c:f>Лист1!$B$30:$B$36</c:f>
              <c:numCache>
                <c:formatCode>0.0%</c:formatCode>
                <c:ptCount val="7"/>
                <c:pt idx="0">
                  <c:v>4.5394063459570123E-2</c:v>
                </c:pt>
                <c:pt idx="1">
                  <c:v>9.9665676077266008E-3</c:v>
                </c:pt>
                <c:pt idx="2">
                  <c:v>1.2661763134568899E-2</c:v>
                </c:pt>
                <c:pt idx="3">
                  <c:v>1.7705631344116009E-3</c:v>
                </c:pt>
                <c:pt idx="4">
                  <c:v>2.1333676737967919E-2</c:v>
                </c:pt>
                <c:pt idx="5">
                  <c:v>1.541459369817579E-2</c:v>
                </c:pt>
                <c:pt idx="6">
                  <c:v>7.5593157731958779E-2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Относительная площадь осыпей в пределах МЛП</c:v>
                </c:pt>
              </c:strCache>
            </c:strRef>
          </c:tx>
          <c:spPr>
            <a:solidFill>
              <a:schemeClr val="accent1"/>
            </a:solidFill>
          </c:spPr>
          <c:cat>
            <c:strRef>
              <c:f>Лист1!$A$30:$A$36</c:f>
              <c:strCache>
                <c:ptCount val="7"/>
                <c:pt idx="0">
                  <c:v>Юнгур</c:v>
                </c:pt>
                <c:pt idx="1">
                  <c:v>Шавлы</c:v>
                </c:pt>
                <c:pt idx="2">
                  <c:v>Маашей</c:v>
                </c:pt>
                <c:pt idx="3">
                  <c:v>Актру</c:v>
                </c:pt>
                <c:pt idx="4">
                  <c:v>Тетё</c:v>
                </c:pt>
                <c:pt idx="5">
                  <c:v>Джело</c:v>
                </c:pt>
                <c:pt idx="6">
                  <c:v>Карагем</c:v>
                </c:pt>
              </c:strCache>
            </c:strRef>
          </c:cat>
          <c:val>
            <c:numRef>
              <c:f>Лист1!$C$30:$C$36</c:f>
              <c:numCache>
                <c:formatCode>0.0%</c:formatCode>
                <c:ptCount val="7"/>
                <c:pt idx="0">
                  <c:v>0.10973641706602791</c:v>
                </c:pt>
                <c:pt idx="1">
                  <c:v>8.3669370419937245E-2</c:v>
                </c:pt>
                <c:pt idx="2">
                  <c:v>7.3807701045016036E-2</c:v>
                </c:pt>
                <c:pt idx="3">
                  <c:v>3.7337290597609554E-2</c:v>
                </c:pt>
                <c:pt idx="4">
                  <c:v>6.864528352692742E-2</c:v>
                </c:pt>
                <c:pt idx="5">
                  <c:v>4.0193428981723296E-2</c:v>
                </c:pt>
                <c:pt idx="6">
                  <c:v>0.11575709970382345</c:v>
                </c:pt>
              </c:numCache>
            </c:numRef>
          </c:val>
        </c:ser>
        <c:axId val="137183232"/>
        <c:axId val="137184768"/>
      </c:barChart>
      <c:catAx>
        <c:axId val="137183232"/>
        <c:scaling>
          <c:orientation val="minMax"/>
        </c:scaling>
        <c:axPos val="b"/>
        <c:tickLblPos val="nextTo"/>
        <c:crossAx val="137184768"/>
        <c:crosses val="autoZero"/>
        <c:auto val="1"/>
        <c:lblAlgn val="ctr"/>
        <c:lblOffset val="100"/>
      </c:catAx>
      <c:valAx>
        <c:axId val="137184768"/>
        <c:scaling>
          <c:orientation val="minMax"/>
          <c:max val="0.12000000000000002"/>
        </c:scaling>
        <c:axPos val="l"/>
        <c:majorGridlines/>
        <c:numFmt formatCode="0%" sourceLinked="0"/>
        <c:tickLblPos val="nextTo"/>
        <c:crossAx val="137183232"/>
        <c:crosses val="autoZero"/>
        <c:crossBetween val="between"/>
        <c:majorUnit val="2.0000000000000011E-2"/>
      </c:valAx>
    </c:plotArea>
    <c:legend>
      <c:legendPos val="b"/>
    </c:legend>
    <c:plotVisOnly val="1"/>
  </c:chart>
  <c:spPr>
    <a:ln>
      <a:solidFill>
        <a:srgbClr val="002060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15</cp:revision>
  <dcterms:created xsi:type="dcterms:W3CDTF">2024-02-19T16:11:00Z</dcterms:created>
  <dcterms:modified xsi:type="dcterms:W3CDTF">2024-02-20T17:11:00Z</dcterms:modified>
</cp:coreProperties>
</file>