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DEBB4" w14:textId="18C042ED" w:rsidR="00D239E2" w:rsidRPr="00A571C5" w:rsidRDefault="00C11AC3" w:rsidP="00D239E2">
      <w:pPr>
        <w:spacing w:after="0" w:line="240" w:lineRule="auto"/>
        <w:jc w:val="center"/>
        <w:rPr>
          <w:rFonts w:ascii="Times New Roman" w:hAnsi="Times New Roman" w:cs="Times New Roman"/>
          <w:b/>
          <w:bCs/>
          <w:sz w:val="24"/>
          <w:szCs w:val="24"/>
          <w:lang w:val="en-US"/>
        </w:rPr>
      </w:pPr>
      <w:bookmarkStart w:id="0" w:name="_Hlk89620823"/>
      <w:bookmarkStart w:id="1" w:name="_Hlk89637102"/>
      <w:r w:rsidRPr="00C11AC3">
        <w:rPr>
          <w:rFonts w:ascii="Times New Roman" w:hAnsi="Times New Roman" w:cs="Times New Roman"/>
          <w:b/>
          <w:bCs/>
          <w:sz w:val="24"/>
          <w:szCs w:val="24"/>
        </w:rPr>
        <w:t>Оценка</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перспектив</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нефтегазоносности</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южной</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части</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российского</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сектора</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шельфа</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балтийского</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моря</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на</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основе</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моделирования</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углеводородных</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rPr>
        <w:t>систем</w:t>
      </w:r>
      <w:r w:rsidRPr="00C11AC3">
        <w:rPr>
          <w:rFonts w:ascii="Times New Roman" w:hAnsi="Times New Roman" w:cs="Times New Roman"/>
          <w:b/>
          <w:bCs/>
          <w:sz w:val="24"/>
          <w:szCs w:val="24"/>
          <w:lang w:val="en-US"/>
        </w:rPr>
        <w:t xml:space="preserve"> </w:t>
      </w:r>
      <w:r w:rsidRPr="00C11AC3">
        <w:rPr>
          <w:rFonts w:ascii="Times New Roman" w:hAnsi="Times New Roman" w:cs="Times New Roman"/>
          <w:b/>
          <w:bCs/>
          <w:sz w:val="24"/>
          <w:szCs w:val="24"/>
          <w:lang w:val="en-US"/>
        </w:rPr>
        <w:br/>
      </w:r>
      <w:r w:rsidR="00D239E2" w:rsidRPr="00A571C5">
        <w:rPr>
          <w:rFonts w:ascii="Times New Roman" w:hAnsi="Times New Roman" w:cs="Times New Roman"/>
          <w:b/>
          <w:bCs/>
          <w:sz w:val="24"/>
          <w:szCs w:val="24"/>
          <w:lang w:val="en-US"/>
        </w:rPr>
        <w:t>(</w:t>
      </w:r>
      <w:r w:rsidRPr="00C11AC3">
        <w:rPr>
          <w:rFonts w:ascii="Times New Roman" w:hAnsi="Times New Roman" w:cs="Times New Roman"/>
          <w:b/>
          <w:bCs/>
          <w:sz w:val="24"/>
          <w:szCs w:val="24"/>
          <w:lang w:val="en-US"/>
        </w:rPr>
        <w:t>The estimation of prospects for oil and gas potential of the southern part of the shelf of the Russian sector of the Baltic Sea based on the modelling of hydrocarbon systems</w:t>
      </w:r>
      <w:r w:rsidR="00D239E2" w:rsidRPr="00A571C5">
        <w:rPr>
          <w:rFonts w:ascii="Times New Roman" w:hAnsi="Times New Roman" w:cs="Times New Roman"/>
          <w:b/>
          <w:bCs/>
          <w:sz w:val="24"/>
          <w:szCs w:val="24"/>
          <w:lang w:val="en-US"/>
        </w:rPr>
        <w:t>)</w:t>
      </w:r>
    </w:p>
    <w:p w14:paraId="1B584E1B" w14:textId="77777777" w:rsidR="00D239E2" w:rsidRPr="00A571C5" w:rsidRDefault="00D239E2" w:rsidP="00D239E2">
      <w:pPr>
        <w:spacing w:after="0" w:line="240" w:lineRule="auto"/>
        <w:jc w:val="center"/>
        <w:rPr>
          <w:rFonts w:ascii="Times New Roman" w:hAnsi="Times New Roman" w:cs="Times New Roman"/>
          <w:b/>
          <w:bCs/>
          <w:sz w:val="24"/>
          <w:szCs w:val="24"/>
          <w:lang w:val="en-US"/>
        </w:rPr>
      </w:pPr>
    </w:p>
    <w:p w14:paraId="25B92313" w14:textId="601BF917" w:rsidR="00D239E2" w:rsidRPr="00F57E9B" w:rsidRDefault="008C3C5B" w:rsidP="00D239E2">
      <w:pPr>
        <w:spacing w:after="0" w:line="240" w:lineRule="auto"/>
        <w:contextualSpacing/>
        <w:jc w:val="center"/>
        <w:rPr>
          <w:rFonts w:ascii="Times New Roman" w:hAnsi="Times New Roman" w:cs="Times New Roman"/>
          <w:b/>
          <w:i/>
          <w:sz w:val="24"/>
          <w:szCs w:val="24"/>
          <w:u w:val="single"/>
        </w:rPr>
      </w:pPr>
      <w:r>
        <w:rPr>
          <w:rFonts w:ascii="Times New Roman" w:hAnsi="Times New Roman" w:cs="Times New Roman"/>
          <w:b/>
          <w:i/>
          <w:sz w:val="24"/>
          <w:szCs w:val="24"/>
          <w:u w:val="single"/>
        </w:rPr>
        <w:t>А.С. Кулиева</w:t>
      </w:r>
      <w:r w:rsidR="00D239E2" w:rsidRPr="00A571C5">
        <w:rPr>
          <w:rFonts w:ascii="Times New Roman" w:hAnsi="Times New Roman" w:cs="Times New Roman"/>
          <w:b/>
          <w:i/>
          <w:sz w:val="24"/>
          <w:szCs w:val="24"/>
          <w:u w:val="single"/>
          <w:vertAlign w:val="superscript"/>
        </w:rPr>
        <w:t>1</w:t>
      </w:r>
      <w:r w:rsidR="00F57E9B" w:rsidRPr="00F57E9B">
        <w:rPr>
          <w:rFonts w:ascii="Times New Roman" w:hAnsi="Times New Roman" w:cs="Times New Roman"/>
          <w:b/>
          <w:i/>
          <w:sz w:val="24"/>
          <w:szCs w:val="24"/>
        </w:rPr>
        <w:t>, С.А. Афонасенко</w:t>
      </w:r>
      <w:r w:rsidR="00F57E9B" w:rsidRPr="00F57E9B">
        <w:rPr>
          <w:rFonts w:ascii="Times New Roman" w:hAnsi="Times New Roman" w:cs="Times New Roman"/>
          <w:b/>
          <w:i/>
          <w:sz w:val="24"/>
          <w:szCs w:val="24"/>
          <w:vertAlign w:val="superscript"/>
        </w:rPr>
        <w:t>2</w:t>
      </w:r>
    </w:p>
    <w:p w14:paraId="41BCAE30" w14:textId="3B70625A" w:rsidR="00F57E9B" w:rsidRDefault="008C3C5B" w:rsidP="00F57E9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F57E9B">
        <w:rPr>
          <w:rFonts w:ascii="Times New Roman" w:hAnsi="Times New Roman" w:cs="Times New Roman"/>
          <w:sz w:val="24"/>
          <w:szCs w:val="24"/>
        </w:rPr>
        <w:t>,2</w:t>
      </w:r>
      <w:r>
        <w:rPr>
          <w:rFonts w:ascii="Times New Roman" w:hAnsi="Times New Roman" w:cs="Times New Roman"/>
          <w:sz w:val="24"/>
          <w:szCs w:val="24"/>
        </w:rPr>
        <w:t>-СПбГУ, Институт Наук о Земле</w:t>
      </w:r>
    </w:p>
    <w:p w14:paraId="423D94C6" w14:textId="1ACE8C4F" w:rsidR="005A1029" w:rsidRPr="005A1029" w:rsidRDefault="005A1029" w:rsidP="005A1029">
      <w:pPr>
        <w:spacing w:after="0" w:line="240" w:lineRule="auto"/>
        <w:contextualSpacing/>
        <w:jc w:val="center"/>
        <w:rPr>
          <w:rFonts w:ascii="Times New Roman" w:hAnsi="Times New Roman" w:cs="Times New Roman"/>
          <w:sz w:val="24"/>
          <w:szCs w:val="24"/>
        </w:rPr>
      </w:pPr>
      <w:r w:rsidRPr="005A1029">
        <w:rPr>
          <w:rFonts w:ascii="Times New Roman" w:hAnsi="Times New Roman" w:cs="Times New Roman"/>
          <w:sz w:val="24"/>
          <w:szCs w:val="24"/>
        </w:rPr>
        <w:t xml:space="preserve">Научный руководитель: </w:t>
      </w:r>
      <w:r w:rsidRPr="005A1029">
        <w:rPr>
          <w:rFonts w:ascii="Times New Roman" w:hAnsi="Times New Roman" w:cs="Times New Roman"/>
          <w:sz w:val="24"/>
          <w:szCs w:val="24"/>
        </w:rPr>
        <w:t>Шиманский Сергей Владимирович</w:t>
      </w:r>
      <w:r>
        <w:rPr>
          <w:rFonts w:ascii="Times New Roman" w:hAnsi="Times New Roman" w:cs="Times New Roman"/>
          <w:sz w:val="24"/>
          <w:szCs w:val="24"/>
        </w:rPr>
        <w:t>, к.г.-м.н.</w:t>
      </w:r>
    </w:p>
    <w:p w14:paraId="6179EE49" w14:textId="4CF7FA57" w:rsidR="005A1029" w:rsidRPr="005A1029" w:rsidRDefault="005A1029" w:rsidP="005A1029">
      <w:pPr>
        <w:spacing w:after="0" w:line="240" w:lineRule="auto"/>
        <w:contextualSpacing/>
        <w:jc w:val="center"/>
        <w:rPr>
          <w:rFonts w:ascii="Times New Roman" w:hAnsi="Times New Roman" w:cs="Times New Roman"/>
          <w:sz w:val="24"/>
          <w:szCs w:val="24"/>
          <w:lang w:val="en-US"/>
        </w:rPr>
      </w:pPr>
      <w:r w:rsidRPr="005A1029">
        <w:rPr>
          <w:rFonts w:ascii="Times New Roman" w:hAnsi="Times New Roman" w:cs="Times New Roman"/>
          <w:sz w:val="24"/>
          <w:szCs w:val="24"/>
          <w:lang w:val="en-US"/>
        </w:rPr>
        <w:t xml:space="preserve">E-mail: </w:t>
      </w:r>
      <w:r w:rsidRPr="005A1029">
        <w:rPr>
          <w:rFonts w:ascii="Times New Roman" w:hAnsi="Times New Roman" w:cs="Times New Roman"/>
          <w:sz w:val="24"/>
          <w:szCs w:val="24"/>
          <w:lang w:val="en-US"/>
        </w:rPr>
        <w:t>s.shimanskii@spbu.ru</w:t>
      </w:r>
    </w:p>
    <w:p w14:paraId="3F745C60" w14:textId="77777777" w:rsidR="00D239E2" w:rsidRPr="005A1029" w:rsidRDefault="00D239E2" w:rsidP="00D239E2">
      <w:pPr>
        <w:spacing w:after="0" w:line="240" w:lineRule="auto"/>
        <w:jc w:val="center"/>
        <w:rPr>
          <w:rFonts w:ascii="Times New Roman" w:hAnsi="Times New Roman" w:cs="Times New Roman"/>
          <w:sz w:val="24"/>
          <w:szCs w:val="24"/>
          <w:lang w:val="en-US"/>
        </w:rPr>
      </w:pPr>
    </w:p>
    <w:p w14:paraId="6E089442" w14:textId="77777777" w:rsidR="00D239E2" w:rsidRPr="008C3C5B" w:rsidRDefault="00D239E2" w:rsidP="00D239E2">
      <w:pPr>
        <w:spacing w:after="0" w:line="240" w:lineRule="auto"/>
        <w:ind w:firstLine="709"/>
        <w:jc w:val="both"/>
        <w:rPr>
          <w:rFonts w:ascii="Times New Roman" w:hAnsi="Times New Roman" w:cs="Times New Roman"/>
          <w:b/>
          <w:sz w:val="24"/>
          <w:szCs w:val="24"/>
        </w:rPr>
      </w:pPr>
      <w:r w:rsidRPr="00A571C5">
        <w:rPr>
          <w:rFonts w:ascii="Times New Roman" w:hAnsi="Times New Roman" w:cs="Times New Roman"/>
          <w:b/>
          <w:sz w:val="24"/>
          <w:szCs w:val="24"/>
        </w:rPr>
        <w:t>Аннотация</w:t>
      </w:r>
    </w:p>
    <w:p w14:paraId="79A2337A" w14:textId="78AC9D43" w:rsidR="00D239E2" w:rsidRPr="00C11AC3" w:rsidRDefault="00C11AC3" w:rsidP="00AB5287">
      <w:pPr>
        <w:spacing w:after="0" w:line="240" w:lineRule="auto"/>
        <w:ind w:firstLine="709"/>
        <w:jc w:val="both"/>
        <w:rPr>
          <w:rFonts w:ascii="Times New Roman" w:hAnsi="Times New Roman" w:cs="Times New Roman"/>
          <w:sz w:val="24"/>
          <w:szCs w:val="24"/>
        </w:rPr>
      </w:pPr>
      <w:r w:rsidRPr="00C11AC3">
        <w:rPr>
          <w:rFonts w:ascii="Times New Roman" w:hAnsi="Times New Roman" w:cs="Times New Roman"/>
          <w:sz w:val="24"/>
          <w:szCs w:val="24"/>
        </w:rPr>
        <w:t>Изучено геологическое строение и нефтегазоносность российского сектора шельфа Балтийского моря. Собран и систематизирован массив геолого-геофизической информации, выполнена структурная интерпретация данных сейсморазведки 2D по 23 профилям, построено 5 структурных карт, по которым была построена модель углеводородных систем и на ее основе выполнена оценка ресурсов углеводородного сырья. Интерпретация и моделирование были выполнены в программном обеспечении Petrel компании Schlumberger. Полученные результаты имеют высокую практическую значимость и могут быть использованы в качестве основы для планирования дальнейшей программы геологоразведочных работ.</w:t>
      </w:r>
    </w:p>
    <w:p w14:paraId="5E9DD7B0" w14:textId="77777777" w:rsidR="00D239E2" w:rsidRPr="00377187" w:rsidRDefault="00D239E2" w:rsidP="00D239E2">
      <w:pPr>
        <w:spacing w:after="0" w:line="240" w:lineRule="auto"/>
        <w:ind w:firstLine="709"/>
        <w:jc w:val="both"/>
        <w:rPr>
          <w:rFonts w:ascii="Times New Roman" w:hAnsi="Times New Roman" w:cs="Times New Roman"/>
          <w:b/>
          <w:sz w:val="24"/>
          <w:szCs w:val="24"/>
          <w:lang w:val="en-US"/>
        </w:rPr>
      </w:pPr>
      <w:r w:rsidRPr="00A571C5">
        <w:rPr>
          <w:rFonts w:ascii="Times New Roman" w:hAnsi="Times New Roman" w:cs="Times New Roman"/>
          <w:b/>
          <w:sz w:val="24"/>
          <w:szCs w:val="24"/>
          <w:lang w:val="en-US"/>
        </w:rPr>
        <w:t>Abstract</w:t>
      </w:r>
    </w:p>
    <w:p w14:paraId="110B61B4" w14:textId="77777777" w:rsidR="00C11AC3" w:rsidRDefault="00C11AC3" w:rsidP="00D239E2">
      <w:pPr>
        <w:spacing w:after="0" w:line="240" w:lineRule="auto"/>
        <w:ind w:firstLine="709"/>
        <w:jc w:val="both"/>
        <w:rPr>
          <w:rFonts w:ascii="Times New Roman" w:hAnsi="Times New Roman" w:cs="Times New Roman"/>
          <w:sz w:val="24"/>
          <w:szCs w:val="24"/>
          <w:lang w:val="en-US"/>
        </w:rPr>
      </w:pPr>
      <w:r w:rsidRPr="00C11AC3">
        <w:rPr>
          <w:rFonts w:ascii="Times New Roman" w:hAnsi="Times New Roman" w:cs="Times New Roman"/>
          <w:sz w:val="24"/>
          <w:szCs w:val="24"/>
          <w:lang w:val="en-US"/>
        </w:rPr>
        <w:t>The geological structure and oil and gas potential of the Russian sector of the Baltic Sea shelf have been studied. An array of geological and geophysical information was collected and systematized, a structural interpretation of 2D seismic data was performed for 23 profiles, 5 structural maps were built, according to which a model of hydrocarbon systems was built and, on its basis, an assessment of hydrocarbon resources was made. Interpretation and modeling were performed using Schlumberger's Petrel software. The results obtained are of high practical importance and can be used as a basis for planning a further exploration program.</w:t>
      </w:r>
    </w:p>
    <w:p w14:paraId="34531F52" w14:textId="32F8E239" w:rsidR="00D239E2" w:rsidRPr="00C11AC3" w:rsidRDefault="00D239E2" w:rsidP="00D239E2">
      <w:pPr>
        <w:spacing w:after="0" w:line="240" w:lineRule="auto"/>
        <w:ind w:firstLine="709"/>
        <w:jc w:val="both"/>
        <w:rPr>
          <w:rFonts w:ascii="Times New Roman" w:hAnsi="Times New Roman" w:cs="Times New Roman"/>
          <w:b/>
          <w:sz w:val="24"/>
          <w:szCs w:val="24"/>
        </w:rPr>
      </w:pPr>
      <w:r w:rsidRPr="00A571C5">
        <w:rPr>
          <w:rFonts w:ascii="Times New Roman" w:hAnsi="Times New Roman" w:cs="Times New Roman"/>
          <w:b/>
          <w:sz w:val="24"/>
          <w:szCs w:val="24"/>
        </w:rPr>
        <w:t>Ключевые</w:t>
      </w:r>
      <w:r w:rsidRPr="00C11AC3">
        <w:rPr>
          <w:rFonts w:ascii="Times New Roman" w:hAnsi="Times New Roman" w:cs="Times New Roman"/>
          <w:b/>
          <w:sz w:val="24"/>
          <w:szCs w:val="24"/>
        </w:rPr>
        <w:t xml:space="preserve"> </w:t>
      </w:r>
      <w:r w:rsidRPr="00A571C5">
        <w:rPr>
          <w:rFonts w:ascii="Times New Roman" w:hAnsi="Times New Roman" w:cs="Times New Roman"/>
          <w:b/>
          <w:sz w:val="24"/>
          <w:szCs w:val="24"/>
        </w:rPr>
        <w:t>слова</w:t>
      </w:r>
    </w:p>
    <w:p w14:paraId="4EA2A5DB" w14:textId="57822FAB" w:rsidR="00C11AC3" w:rsidRDefault="00C11AC3" w:rsidP="00D239E2">
      <w:pPr>
        <w:spacing w:after="0" w:line="240" w:lineRule="auto"/>
        <w:ind w:firstLine="709"/>
        <w:jc w:val="both"/>
        <w:rPr>
          <w:rFonts w:ascii="Times New Roman" w:hAnsi="Times New Roman" w:cs="Times New Roman"/>
          <w:sz w:val="24"/>
          <w:szCs w:val="24"/>
        </w:rPr>
      </w:pPr>
      <w:r w:rsidRPr="00C11AC3">
        <w:rPr>
          <w:rFonts w:ascii="Times New Roman" w:hAnsi="Times New Roman" w:cs="Times New Roman"/>
          <w:sz w:val="24"/>
          <w:szCs w:val="24"/>
        </w:rPr>
        <w:t>моделирование углеводородных систем, Ба</w:t>
      </w:r>
      <w:r>
        <w:rPr>
          <w:rFonts w:ascii="Times New Roman" w:hAnsi="Times New Roman" w:cs="Times New Roman"/>
          <w:sz w:val="24"/>
          <w:szCs w:val="24"/>
        </w:rPr>
        <w:t>лтийская синеклиза, нефтематерин</w:t>
      </w:r>
      <w:r w:rsidRPr="00C11AC3">
        <w:rPr>
          <w:rFonts w:ascii="Times New Roman" w:hAnsi="Times New Roman" w:cs="Times New Roman"/>
          <w:sz w:val="24"/>
          <w:szCs w:val="24"/>
        </w:rPr>
        <w:t>ские породы</w:t>
      </w:r>
      <w:r>
        <w:rPr>
          <w:rFonts w:ascii="Times New Roman" w:hAnsi="Times New Roman" w:cs="Times New Roman"/>
          <w:sz w:val="24"/>
          <w:szCs w:val="24"/>
        </w:rPr>
        <w:t>, перспективы нефтегазоносности</w:t>
      </w:r>
    </w:p>
    <w:p w14:paraId="72C5D359" w14:textId="77777777" w:rsidR="00C11AC3" w:rsidRDefault="00D239E2" w:rsidP="00C11AC3">
      <w:pPr>
        <w:spacing w:after="0" w:line="240" w:lineRule="auto"/>
        <w:ind w:firstLine="709"/>
        <w:jc w:val="both"/>
        <w:rPr>
          <w:rFonts w:ascii="Times New Roman" w:hAnsi="Times New Roman" w:cs="Times New Roman"/>
          <w:b/>
          <w:sz w:val="24"/>
          <w:szCs w:val="24"/>
          <w:lang w:val="en-US"/>
        </w:rPr>
      </w:pPr>
      <w:r w:rsidRPr="00A571C5">
        <w:rPr>
          <w:rFonts w:ascii="Times New Roman" w:hAnsi="Times New Roman" w:cs="Times New Roman"/>
          <w:b/>
          <w:sz w:val="24"/>
          <w:szCs w:val="24"/>
          <w:lang w:val="en-US"/>
        </w:rPr>
        <w:t>Keywords</w:t>
      </w:r>
    </w:p>
    <w:p w14:paraId="7398E233" w14:textId="57D4FFBA" w:rsidR="00C11AC3" w:rsidRPr="00A11BFF" w:rsidRDefault="00C11AC3" w:rsidP="00A11BFF">
      <w:pPr>
        <w:spacing w:after="0" w:line="240" w:lineRule="auto"/>
        <w:ind w:firstLine="709"/>
        <w:jc w:val="both"/>
        <w:rPr>
          <w:rFonts w:ascii="Times New Roman" w:hAnsi="Times New Roman" w:cs="Times New Roman"/>
          <w:sz w:val="24"/>
          <w:szCs w:val="24"/>
          <w:lang w:val="en-US"/>
        </w:rPr>
      </w:pPr>
      <w:r w:rsidRPr="00C11AC3">
        <w:rPr>
          <w:rFonts w:ascii="Times New Roman" w:hAnsi="Times New Roman" w:cs="Times New Roman"/>
          <w:sz w:val="24"/>
          <w:szCs w:val="24"/>
          <w:lang w:val="en-US"/>
        </w:rPr>
        <w:t>modeling of hydrocarbon systems, Baltic syneclise, source rocks, prospects of oil and gas potential</w:t>
      </w:r>
    </w:p>
    <w:p w14:paraId="6DEA7B90" w14:textId="77777777" w:rsidR="00C11AC3" w:rsidRPr="00C11AC3" w:rsidRDefault="00C11AC3" w:rsidP="00C11AC3">
      <w:pPr>
        <w:spacing w:after="0" w:line="240" w:lineRule="auto"/>
        <w:ind w:firstLine="709"/>
        <w:jc w:val="both"/>
        <w:rPr>
          <w:rFonts w:ascii="Times New Roman" w:hAnsi="Times New Roman" w:cs="Times New Roman"/>
          <w:sz w:val="24"/>
          <w:szCs w:val="24"/>
        </w:rPr>
      </w:pPr>
      <w:r w:rsidRPr="00C11AC3">
        <w:rPr>
          <w:rFonts w:ascii="Times New Roman" w:hAnsi="Times New Roman" w:cs="Times New Roman"/>
          <w:sz w:val="24"/>
          <w:szCs w:val="24"/>
        </w:rPr>
        <w:t>Нефти Балтийской самостоятельной нефтегазоносной области (СНГО) лёгкие и имеют высокое качество, поэтому их стоимость выше, чем, например, у Urals (премия к цене составляет порядка 2 долларов на баррель нефти). При этом разработка месторождений является относительно простой из-за физико-химических свойств нефтей и неосложнённого геологического строения месторождений, до сих пор существуют и открываются месторождения с фонтанным способом добычи из скважин, пробуренных в купол структур. Коэффициенты извлечения нефти (КИН) на месторождениях Балтийской СНГО одни из самых высоких в России. Нефти в основном реализуются на 100% экспорт в связи с выгодным географическим расположением региона.</w:t>
      </w:r>
    </w:p>
    <w:p w14:paraId="470AD6B4" w14:textId="1782A12F" w:rsidR="00C11AC3" w:rsidRPr="00C11AC3" w:rsidRDefault="00C11AC3" w:rsidP="005A1029">
      <w:pPr>
        <w:spacing w:after="0" w:line="240" w:lineRule="auto"/>
        <w:ind w:firstLine="709"/>
        <w:jc w:val="both"/>
        <w:rPr>
          <w:rFonts w:ascii="Times New Roman" w:hAnsi="Times New Roman" w:cs="Times New Roman"/>
          <w:sz w:val="24"/>
          <w:szCs w:val="24"/>
        </w:rPr>
      </w:pPr>
      <w:r w:rsidRPr="00C11AC3">
        <w:rPr>
          <w:rFonts w:ascii="Times New Roman" w:hAnsi="Times New Roman" w:cs="Times New Roman"/>
          <w:sz w:val="24"/>
          <w:szCs w:val="24"/>
        </w:rPr>
        <w:t>Область богата ресурсами УВ, но разбуренность недостаточно высокая, а значит, есть перспективы. В связи с новыми открытиями на шельфе Балтийского моря назрела необходимость в переоценке ресурсного потенциала Балтики. Очевидно, что для выявления новых залежей нефти и газа, необходим анализ крупных территорий, охватывающих несколько нефтегазоносных зон.</w:t>
      </w:r>
    </w:p>
    <w:p w14:paraId="1993C6F4" w14:textId="1CFFBF8D" w:rsidR="00C11AC3" w:rsidRDefault="00A037B8" w:rsidP="00A037B8">
      <w:pPr>
        <w:spacing w:after="0" w:line="240" w:lineRule="auto"/>
        <w:ind w:firstLine="709"/>
        <w:jc w:val="both"/>
        <w:rPr>
          <w:rFonts w:ascii="Times New Roman" w:hAnsi="Times New Roman" w:cs="Times New Roman"/>
          <w:sz w:val="24"/>
          <w:szCs w:val="24"/>
        </w:rPr>
      </w:pPr>
      <w:bookmarkStart w:id="2" w:name="_GoBack"/>
      <w:bookmarkEnd w:id="2"/>
      <w:r>
        <w:rPr>
          <w:rFonts w:ascii="Times New Roman" w:hAnsi="Times New Roman" w:cs="Times New Roman"/>
          <w:sz w:val="24"/>
          <w:szCs w:val="24"/>
        </w:rPr>
        <w:t>Исследуемая УВС представлена следующими элементами: терригенный коллектор (</w:t>
      </w:r>
      <w:r w:rsidRPr="00A037B8">
        <w:rPr>
          <w:rFonts w:ascii="Times New Roman" w:hAnsi="Times New Roman" w:cs="Times New Roman"/>
          <w:sz w:val="24"/>
          <w:szCs w:val="24"/>
        </w:rPr>
        <w:t>кварцевые мелкозернистые песчаники дейменского горизонта среднего кембрия</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ордовикский глинисто-карбонатный региональный флюидоупор и нижнекембрийские </w:t>
      </w:r>
      <w:bookmarkStart w:id="3" w:name="_Toc135244830"/>
      <w:r>
        <w:rPr>
          <w:rFonts w:ascii="Times New Roman" w:hAnsi="Times New Roman" w:cs="Times New Roman"/>
          <w:sz w:val="24"/>
          <w:szCs w:val="24"/>
        </w:rPr>
        <w:t>н</w:t>
      </w:r>
      <w:r w:rsidRPr="00A037B8">
        <w:rPr>
          <w:rFonts w:ascii="Times New Roman" w:hAnsi="Times New Roman" w:cs="Times New Roman"/>
          <w:sz w:val="24"/>
          <w:szCs w:val="24"/>
        </w:rPr>
        <w:t>ефтематеринские породы (НМП)</w:t>
      </w:r>
      <w:bookmarkEnd w:id="3"/>
      <w:r w:rsidR="00D41933">
        <w:rPr>
          <w:rFonts w:ascii="Times New Roman" w:hAnsi="Times New Roman" w:cs="Times New Roman"/>
          <w:sz w:val="24"/>
          <w:szCs w:val="24"/>
        </w:rPr>
        <w:t>, являющиеся главной неопределённостью в работе</w:t>
      </w:r>
      <w:r>
        <w:rPr>
          <w:rFonts w:ascii="Times New Roman" w:hAnsi="Times New Roman" w:cs="Times New Roman"/>
          <w:sz w:val="24"/>
          <w:szCs w:val="24"/>
        </w:rPr>
        <w:t>.</w:t>
      </w:r>
    </w:p>
    <w:p w14:paraId="370C5A80" w14:textId="704F93C1" w:rsidR="00C11AC3" w:rsidRDefault="00A037B8" w:rsidP="00C11A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интерпретации ГИС и имеющихся литолого-стратиграфических колонок в</w:t>
      </w:r>
      <w:r w:rsidR="00C11AC3" w:rsidRPr="00C11AC3">
        <w:rPr>
          <w:rFonts w:ascii="Times New Roman" w:hAnsi="Times New Roman" w:cs="Times New Roman"/>
          <w:sz w:val="24"/>
          <w:szCs w:val="24"/>
        </w:rPr>
        <w:t xml:space="preserve"> разрезе осадочного чехла для интерпретации по разрезам было выбрано и прокоррелировано 5 отражающих горизонтов</w:t>
      </w:r>
      <w:r>
        <w:rPr>
          <w:rFonts w:ascii="Times New Roman" w:hAnsi="Times New Roman" w:cs="Times New Roman"/>
          <w:sz w:val="24"/>
          <w:szCs w:val="24"/>
        </w:rPr>
        <w:t xml:space="preserve"> (от поверхности фундамента до кровли пермских отложений). По ним было построены 5 карт (рисунок</w:t>
      </w:r>
      <w:r w:rsidRPr="00CD3FC0">
        <w:rPr>
          <w:rFonts w:ascii="Times New Roman" w:hAnsi="Times New Roman" w:cs="Times New Roman"/>
          <w:sz w:val="24"/>
          <w:szCs w:val="24"/>
        </w:rPr>
        <w:t xml:space="preserve"> 1)</w:t>
      </w:r>
      <w:r>
        <w:rPr>
          <w:rFonts w:ascii="Times New Roman" w:hAnsi="Times New Roman" w:cs="Times New Roman"/>
          <w:sz w:val="24"/>
          <w:szCs w:val="24"/>
        </w:rPr>
        <w:t>:</w:t>
      </w:r>
    </w:p>
    <w:p w14:paraId="1F3CF832" w14:textId="26FB4204" w:rsidR="00A037B8" w:rsidRPr="00A037B8" w:rsidRDefault="00A037B8" w:rsidP="00A037B8">
      <w:pPr>
        <w:pStyle w:val="a3"/>
        <w:numPr>
          <w:ilvl w:val="0"/>
          <w:numId w:val="11"/>
        </w:numPr>
        <w:spacing w:after="0" w:line="240" w:lineRule="auto"/>
        <w:jc w:val="both"/>
        <w:rPr>
          <w:rFonts w:ascii="Times New Roman" w:hAnsi="Times New Roman" w:cs="Times New Roman"/>
          <w:sz w:val="24"/>
          <w:szCs w:val="24"/>
        </w:rPr>
      </w:pPr>
      <w:r w:rsidRPr="00A037B8">
        <w:rPr>
          <w:rFonts w:ascii="Times New Roman" w:hAnsi="Times New Roman" w:cs="Times New Roman"/>
          <w:sz w:val="24"/>
          <w:szCs w:val="24"/>
        </w:rPr>
        <w:t>Карта кровли флюидоупора, построенная по ОГ BlS 3;</w:t>
      </w:r>
    </w:p>
    <w:p w14:paraId="010A61D9" w14:textId="42B5DFD7" w:rsidR="00A037B8" w:rsidRPr="00A037B8" w:rsidRDefault="00A037B8" w:rsidP="00A037B8">
      <w:pPr>
        <w:pStyle w:val="a3"/>
        <w:numPr>
          <w:ilvl w:val="0"/>
          <w:numId w:val="11"/>
        </w:numPr>
        <w:spacing w:after="0" w:line="240" w:lineRule="auto"/>
        <w:jc w:val="both"/>
        <w:rPr>
          <w:rFonts w:ascii="Times New Roman" w:hAnsi="Times New Roman" w:cs="Times New Roman"/>
          <w:sz w:val="24"/>
          <w:szCs w:val="24"/>
        </w:rPr>
      </w:pPr>
      <w:r w:rsidRPr="00A037B8">
        <w:rPr>
          <w:rFonts w:ascii="Times New Roman" w:hAnsi="Times New Roman" w:cs="Times New Roman"/>
          <w:sz w:val="24"/>
          <w:szCs w:val="24"/>
        </w:rPr>
        <w:t>Карта кровли коллектора, одновременно являющаяся картой подошвы флюидоупора, построенная по ОГ BlS 2;</w:t>
      </w:r>
    </w:p>
    <w:p w14:paraId="0658607B" w14:textId="10074038" w:rsidR="00A037B8" w:rsidRPr="00A037B8" w:rsidRDefault="00A037B8" w:rsidP="00A037B8">
      <w:pPr>
        <w:pStyle w:val="a3"/>
        <w:numPr>
          <w:ilvl w:val="0"/>
          <w:numId w:val="11"/>
        </w:numPr>
        <w:spacing w:after="0" w:line="240" w:lineRule="auto"/>
        <w:jc w:val="both"/>
        <w:rPr>
          <w:rFonts w:ascii="Times New Roman" w:hAnsi="Times New Roman" w:cs="Times New Roman"/>
          <w:sz w:val="24"/>
          <w:szCs w:val="24"/>
        </w:rPr>
      </w:pPr>
      <w:r w:rsidRPr="00A037B8">
        <w:rPr>
          <w:rFonts w:ascii="Times New Roman" w:hAnsi="Times New Roman" w:cs="Times New Roman"/>
          <w:sz w:val="24"/>
          <w:szCs w:val="24"/>
        </w:rPr>
        <w:t>Карта подошвы коллектора, построенная по скважинным отбивкам на основе карты кровли коллектора;</w:t>
      </w:r>
    </w:p>
    <w:p w14:paraId="077A0D54" w14:textId="33D4BA70" w:rsidR="00A037B8" w:rsidRPr="00A037B8" w:rsidRDefault="00A037B8" w:rsidP="00A037B8">
      <w:pPr>
        <w:pStyle w:val="a3"/>
        <w:numPr>
          <w:ilvl w:val="0"/>
          <w:numId w:val="11"/>
        </w:numPr>
        <w:spacing w:after="0" w:line="240" w:lineRule="auto"/>
        <w:jc w:val="both"/>
        <w:rPr>
          <w:rFonts w:ascii="Times New Roman" w:hAnsi="Times New Roman" w:cs="Times New Roman"/>
          <w:sz w:val="24"/>
          <w:szCs w:val="24"/>
        </w:rPr>
      </w:pPr>
      <w:r w:rsidRPr="00A037B8">
        <w:rPr>
          <w:rFonts w:ascii="Times New Roman" w:hAnsi="Times New Roman" w:cs="Times New Roman"/>
          <w:sz w:val="24"/>
          <w:szCs w:val="24"/>
        </w:rPr>
        <w:t>Карта кровли НМП, построенная по скважинным отбивкам на основе карты подошвы НМП;</w:t>
      </w:r>
    </w:p>
    <w:p w14:paraId="036FD4F5" w14:textId="1F69427F" w:rsidR="00A037B8" w:rsidRDefault="00A037B8" w:rsidP="00A037B8">
      <w:pPr>
        <w:pStyle w:val="a3"/>
        <w:numPr>
          <w:ilvl w:val="0"/>
          <w:numId w:val="11"/>
        </w:numPr>
        <w:spacing w:after="0" w:line="240" w:lineRule="auto"/>
        <w:jc w:val="both"/>
        <w:rPr>
          <w:rFonts w:ascii="Times New Roman" w:hAnsi="Times New Roman" w:cs="Times New Roman"/>
          <w:sz w:val="24"/>
          <w:szCs w:val="24"/>
        </w:rPr>
      </w:pPr>
      <w:r w:rsidRPr="00A037B8">
        <w:rPr>
          <w:rFonts w:ascii="Times New Roman" w:hAnsi="Times New Roman" w:cs="Times New Roman"/>
          <w:sz w:val="24"/>
          <w:szCs w:val="24"/>
        </w:rPr>
        <w:t>Карта подошвы НМП, построенная по ОГ BlS 1.</w:t>
      </w:r>
    </w:p>
    <w:p w14:paraId="2428CF51" w14:textId="22061369" w:rsidR="00A037B8" w:rsidRPr="00A037B8" w:rsidRDefault="00A037B8" w:rsidP="00A037B8">
      <w:pPr>
        <w:spacing w:after="0" w:line="240" w:lineRule="auto"/>
        <w:jc w:val="center"/>
        <w:rPr>
          <w:rFonts w:ascii="Times New Roman" w:hAnsi="Times New Roman" w:cs="Times New Roman"/>
          <w:sz w:val="24"/>
          <w:szCs w:val="24"/>
        </w:rPr>
      </w:pPr>
      <w:r>
        <w:rPr>
          <w:noProof/>
          <w:lang w:eastAsia="ru-RU"/>
        </w:rPr>
        <w:drawing>
          <wp:inline distT="0" distB="0" distL="0" distR="0" wp14:anchorId="26BAC98F" wp14:editId="299BF050">
            <wp:extent cx="4040224" cy="2137334"/>
            <wp:effectExtent l="0" t="0" r="0" b="0"/>
            <wp:docPr id="1" name="Рисунок 1" descr="разрез по 5 кар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рез по 5 картам"/>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91" t="8216" r="2843"/>
                    <a:stretch/>
                  </pic:blipFill>
                  <pic:spPr bwMode="auto">
                    <a:xfrm>
                      <a:off x="0" y="0"/>
                      <a:ext cx="4056098" cy="2145732"/>
                    </a:xfrm>
                    <a:prstGeom prst="rect">
                      <a:avLst/>
                    </a:prstGeom>
                    <a:noFill/>
                    <a:ln>
                      <a:noFill/>
                    </a:ln>
                    <a:extLst>
                      <a:ext uri="{53640926-AAD7-44D8-BBD7-CCE9431645EC}">
                        <a14:shadowObscured xmlns:a14="http://schemas.microsoft.com/office/drawing/2010/main"/>
                      </a:ext>
                    </a:extLst>
                  </pic:spPr>
                </pic:pic>
              </a:graphicData>
            </a:graphic>
          </wp:inline>
        </w:drawing>
      </w:r>
    </w:p>
    <w:p w14:paraId="551C2741" w14:textId="0431D8C2" w:rsidR="001D76E0" w:rsidRDefault="004A21CD" w:rsidP="003B5B28">
      <w:pPr>
        <w:spacing w:after="0" w:line="240" w:lineRule="auto"/>
        <w:jc w:val="center"/>
        <w:rPr>
          <w:rFonts w:ascii="Times New Roman" w:hAnsi="Times New Roman" w:cs="Times New Roman"/>
          <w:sz w:val="24"/>
          <w:szCs w:val="24"/>
        </w:rPr>
      </w:pPr>
      <w:r w:rsidRPr="00A571C5">
        <w:rPr>
          <w:rFonts w:ascii="Times New Roman" w:hAnsi="Times New Roman" w:cs="Times New Roman"/>
          <w:sz w:val="24"/>
          <w:szCs w:val="24"/>
        </w:rPr>
        <w:t xml:space="preserve">Рисунок 1 – </w:t>
      </w:r>
      <w:r w:rsidR="00A037B8" w:rsidRPr="00A037B8">
        <w:rPr>
          <w:rFonts w:ascii="Times New Roman" w:hAnsi="Times New Roman" w:cs="Times New Roman"/>
          <w:sz w:val="24"/>
          <w:szCs w:val="24"/>
        </w:rPr>
        <w:t>Разрез, построенный по получившимся пяти картам.</w:t>
      </w:r>
    </w:p>
    <w:p w14:paraId="5EB7D8B7" w14:textId="436035D7" w:rsidR="00A11BFF" w:rsidRDefault="00A11BFF" w:rsidP="00A11B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были заданы граничные условия и характеристики НМП (таблица 1), построены модели генерации, миграции и аккумуляции УВ. </w:t>
      </w:r>
    </w:p>
    <w:p w14:paraId="12E26BF6" w14:textId="6F4C5723" w:rsidR="004A21CD" w:rsidRPr="00A571C5" w:rsidRDefault="004A21CD" w:rsidP="004A21CD">
      <w:pPr>
        <w:spacing w:after="0" w:line="240" w:lineRule="auto"/>
        <w:ind w:firstLine="709"/>
        <w:rPr>
          <w:rFonts w:ascii="Times New Roman" w:hAnsi="Times New Roman" w:cs="Times New Roman"/>
          <w:sz w:val="24"/>
          <w:szCs w:val="24"/>
        </w:rPr>
      </w:pPr>
      <w:r w:rsidRPr="00A571C5">
        <w:rPr>
          <w:rFonts w:ascii="Times New Roman" w:hAnsi="Times New Roman" w:cs="Times New Roman"/>
          <w:sz w:val="24"/>
          <w:szCs w:val="24"/>
        </w:rPr>
        <w:t xml:space="preserve">Таблица 1 – </w:t>
      </w:r>
      <w:r w:rsidR="00A11BFF">
        <w:rPr>
          <w:rFonts w:ascii="Times New Roman" w:hAnsi="Times New Roman" w:cs="Times New Roman"/>
          <w:sz w:val="24"/>
          <w:szCs w:val="24"/>
        </w:rPr>
        <w:t>Граничные условия и характеристики НМП</w:t>
      </w:r>
    </w:p>
    <w:tbl>
      <w:tblPr>
        <w:tblStyle w:val="a9"/>
        <w:tblW w:w="0" w:type="auto"/>
        <w:tblLook w:val="04A0" w:firstRow="1" w:lastRow="0" w:firstColumn="1" w:lastColumn="0" w:noHBand="0" w:noVBand="1"/>
      </w:tblPr>
      <w:tblGrid>
        <w:gridCol w:w="4531"/>
        <w:gridCol w:w="4529"/>
      </w:tblGrid>
      <w:tr w:rsidR="004A21CD" w:rsidRPr="00A571C5" w14:paraId="2915F912" w14:textId="77777777" w:rsidTr="001D76E0">
        <w:tc>
          <w:tcPr>
            <w:tcW w:w="4531" w:type="dxa"/>
            <w:vAlign w:val="center"/>
          </w:tcPr>
          <w:p w14:paraId="4DE8E404" w14:textId="77777777" w:rsidR="004A21CD" w:rsidRPr="00A571C5" w:rsidRDefault="004A21CD" w:rsidP="001D76E0">
            <w:pPr>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4529" w:type="dxa"/>
            <w:vAlign w:val="center"/>
          </w:tcPr>
          <w:p w14:paraId="7A805A52" w14:textId="77777777" w:rsidR="004A21CD" w:rsidRPr="00A571C5" w:rsidRDefault="004A21CD" w:rsidP="001D76E0">
            <w:pPr>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4A21CD" w:rsidRPr="00A571C5" w14:paraId="48D775AC" w14:textId="77777777" w:rsidTr="001D76E0">
        <w:tc>
          <w:tcPr>
            <w:tcW w:w="4531" w:type="dxa"/>
            <w:vAlign w:val="center"/>
          </w:tcPr>
          <w:p w14:paraId="4B00F5FD" w14:textId="2CE9FFB9" w:rsidR="004A21CD" w:rsidRPr="00A571C5" w:rsidRDefault="00D41933" w:rsidP="001D76E0">
            <w:pPr>
              <w:jc w:val="center"/>
              <w:rPr>
                <w:rFonts w:ascii="Times New Roman" w:hAnsi="Times New Roman" w:cs="Times New Roman"/>
                <w:sz w:val="24"/>
                <w:szCs w:val="24"/>
              </w:rPr>
            </w:pPr>
            <w:r>
              <w:rPr>
                <w:rFonts w:ascii="Times New Roman" w:hAnsi="Times New Roman" w:cs="Times New Roman"/>
                <w:sz w:val="24"/>
                <w:szCs w:val="24"/>
              </w:rPr>
              <w:t>С</w:t>
            </w:r>
            <w:r w:rsidRPr="00D41933">
              <w:rPr>
                <w:rFonts w:ascii="Times New Roman" w:hAnsi="Times New Roman" w:cs="Times New Roman"/>
                <w:sz w:val="24"/>
                <w:szCs w:val="24"/>
              </w:rPr>
              <w:t>одер</w:t>
            </w:r>
            <w:r>
              <w:rPr>
                <w:rFonts w:ascii="Times New Roman" w:hAnsi="Times New Roman" w:cs="Times New Roman"/>
                <w:sz w:val="24"/>
                <w:szCs w:val="24"/>
              </w:rPr>
              <w:t>жание органического углерода Сорг</w:t>
            </w:r>
          </w:p>
        </w:tc>
        <w:tc>
          <w:tcPr>
            <w:tcW w:w="4529" w:type="dxa"/>
            <w:vAlign w:val="center"/>
          </w:tcPr>
          <w:p w14:paraId="4FE96BC0" w14:textId="25EEE556" w:rsidR="004A21CD" w:rsidRPr="00A571C5" w:rsidRDefault="00D41933" w:rsidP="001D76E0">
            <w:pPr>
              <w:jc w:val="center"/>
              <w:rPr>
                <w:rFonts w:ascii="Times New Roman" w:hAnsi="Times New Roman" w:cs="Times New Roman"/>
                <w:sz w:val="24"/>
                <w:szCs w:val="24"/>
              </w:rPr>
            </w:pPr>
            <w:r w:rsidRPr="00D41933">
              <w:rPr>
                <w:rFonts w:ascii="Times New Roman" w:hAnsi="Times New Roman" w:cs="Times New Roman"/>
                <w:sz w:val="24"/>
                <w:szCs w:val="24"/>
              </w:rPr>
              <w:t>0,28%</w:t>
            </w:r>
            <w:r>
              <w:rPr>
                <w:rFonts w:ascii="Times New Roman" w:hAnsi="Times New Roman" w:cs="Times New Roman"/>
                <w:sz w:val="24"/>
                <w:szCs w:val="24"/>
              </w:rPr>
              <w:t xml:space="preserve"> </w:t>
            </w:r>
            <w:r>
              <w:rPr>
                <w:rFonts w:ascii="Times New Roman" w:hAnsi="Times New Roman" w:cs="Times New Roman"/>
                <w:sz w:val="24"/>
                <w:szCs w:val="24"/>
              </w:rPr>
              <w:br/>
              <w:t>*средневзвешенный по интервалу НМП</w:t>
            </w:r>
          </w:p>
        </w:tc>
      </w:tr>
      <w:tr w:rsidR="004A21CD" w:rsidRPr="00A571C5" w14:paraId="7F44646B" w14:textId="77777777" w:rsidTr="001D76E0">
        <w:tc>
          <w:tcPr>
            <w:tcW w:w="4531" w:type="dxa"/>
            <w:vAlign w:val="center"/>
          </w:tcPr>
          <w:p w14:paraId="0CCA27EC" w14:textId="00755099" w:rsidR="004A21CD" w:rsidRPr="004A21CD" w:rsidRDefault="00D41933" w:rsidP="001D76E0">
            <w:pPr>
              <w:jc w:val="center"/>
              <w:rPr>
                <w:rFonts w:ascii="Times New Roman" w:hAnsi="Times New Roman" w:cs="Times New Roman"/>
                <w:sz w:val="24"/>
                <w:szCs w:val="24"/>
              </w:rPr>
            </w:pPr>
            <w:r>
              <w:rPr>
                <w:rFonts w:ascii="Times New Roman" w:hAnsi="Times New Roman" w:cs="Times New Roman"/>
                <w:sz w:val="24"/>
                <w:szCs w:val="24"/>
              </w:rPr>
              <w:t>В</w:t>
            </w:r>
            <w:r w:rsidRPr="00D41933">
              <w:rPr>
                <w:rFonts w:ascii="Times New Roman" w:hAnsi="Times New Roman" w:cs="Times New Roman"/>
                <w:sz w:val="24"/>
                <w:szCs w:val="24"/>
              </w:rPr>
              <w:t>одородный индекс</w:t>
            </w:r>
            <w:r>
              <w:rPr>
                <w:rFonts w:ascii="Times New Roman" w:hAnsi="Times New Roman" w:cs="Times New Roman"/>
                <w:sz w:val="24"/>
                <w:szCs w:val="24"/>
              </w:rPr>
              <w:t xml:space="preserve"> HI</w:t>
            </w:r>
          </w:p>
        </w:tc>
        <w:tc>
          <w:tcPr>
            <w:tcW w:w="4529" w:type="dxa"/>
            <w:vAlign w:val="center"/>
          </w:tcPr>
          <w:p w14:paraId="426A3372" w14:textId="024732D2" w:rsidR="004A21CD" w:rsidRPr="00A571C5" w:rsidRDefault="00D41933" w:rsidP="001D76E0">
            <w:pPr>
              <w:tabs>
                <w:tab w:val="left" w:pos="1423"/>
              </w:tabs>
              <w:jc w:val="center"/>
              <w:rPr>
                <w:rFonts w:ascii="Times New Roman" w:hAnsi="Times New Roman" w:cs="Times New Roman"/>
                <w:sz w:val="24"/>
                <w:szCs w:val="24"/>
              </w:rPr>
            </w:pPr>
            <w:r w:rsidRPr="00D41933">
              <w:rPr>
                <w:rFonts w:ascii="Times New Roman" w:hAnsi="Times New Roman" w:cs="Times New Roman"/>
                <w:sz w:val="24"/>
                <w:szCs w:val="24"/>
              </w:rPr>
              <w:t>350 мг УВ / г Сорг</w:t>
            </w:r>
          </w:p>
        </w:tc>
      </w:tr>
      <w:tr w:rsidR="004A21CD" w:rsidRPr="00A571C5" w14:paraId="4186C2B0" w14:textId="77777777" w:rsidTr="001D76E0">
        <w:tc>
          <w:tcPr>
            <w:tcW w:w="4531" w:type="dxa"/>
            <w:vAlign w:val="center"/>
          </w:tcPr>
          <w:p w14:paraId="7DCD4C10" w14:textId="4FA22AF9" w:rsidR="004A21CD" w:rsidRPr="004A21CD" w:rsidRDefault="00807C2F" w:rsidP="001D76E0">
            <w:pPr>
              <w:jc w:val="center"/>
              <w:rPr>
                <w:rFonts w:ascii="Times New Roman" w:hAnsi="Times New Roman" w:cs="Times New Roman"/>
                <w:sz w:val="24"/>
                <w:szCs w:val="24"/>
              </w:rPr>
            </w:pPr>
            <w:r>
              <w:rPr>
                <w:rFonts w:ascii="Times New Roman" w:hAnsi="Times New Roman" w:cs="Times New Roman"/>
                <w:sz w:val="24"/>
                <w:szCs w:val="24"/>
              </w:rPr>
              <w:t>О</w:t>
            </w:r>
            <w:r w:rsidRPr="00807C2F">
              <w:rPr>
                <w:rFonts w:ascii="Times New Roman" w:hAnsi="Times New Roman" w:cs="Times New Roman"/>
                <w:sz w:val="24"/>
                <w:szCs w:val="24"/>
              </w:rPr>
              <w:t>ставшийся генерационный потенциал породы, определя</w:t>
            </w:r>
            <w:r>
              <w:rPr>
                <w:rFonts w:ascii="Times New Roman" w:hAnsi="Times New Roman" w:cs="Times New Roman"/>
                <w:sz w:val="24"/>
                <w:szCs w:val="24"/>
              </w:rPr>
              <w:t xml:space="preserve">емый на пиролизаторе Rock-Eval </w:t>
            </w:r>
            <w:r w:rsidRPr="00807C2F">
              <w:rPr>
                <w:rFonts w:ascii="Times New Roman" w:hAnsi="Times New Roman" w:cs="Times New Roman"/>
                <w:sz w:val="24"/>
                <w:szCs w:val="24"/>
              </w:rPr>
              <w:t>S</w:t>
            </w:r>
            <w:r w:rsidRPr="00807C2F">
              <w:rPr>
                <w:rFonts w:ascii="Times New Roman" w:hAnsi="Times New Roman" w:cs="Times New Roman"/>
                <w:sz w:val="24"/>
                <w:szCs w:val="24"/>
                <w:vertAlign w:val="subscript"/>
              </w:rPr>
              <w:t>2</w:t>
            </w:r>
          </w:p>
        </w:tc>
        <w:tc>
          <w:tcPr>
            <w:tcW w:w="4529" w:type="dxa"/>
            <w:vAlign w:val="center"/>
          </w:tcPr>
          <w:p w14:paraId="47EBF0EE" w14:textId="39E77BD1" w:rsidR="004A21CD" w:rsidRPr="00A571C5" w:rsidRDefault="00A11BFF" w:rsidP="001D76E0">
            <w:pPr>
              <w:jc w:val="center"/>
              <w:rPr>
                <w:rFonts w:ascii="Times New Roman" w:hAnsi="Times New Roman" w:cs="Times New Roman"/>
                <w:sz w:val="24"/>
                <w:szCs w:val="24"/>
              </w:rPr>
            </w:pPr>
            <w:r>
              <w:rPr>
                <w:rFonts w:ascii="Times New Roman" w:hAnsi="Times New Roman" w:cs="Times New Roman"/>
                <w:sz w:val="24"/>
                <w:szCs w:val="24"/>
              </w:rPr>
              <w:t>0,98</w:t>
            </w:r>
            <w:r w:rsidR="00807C2F">
              <w:rPr>
                <w:rFonts w:ascii="Times New Roman" w:hAnsi="Times New Roman" w:cs="Times New Roman"/>
                <w:sz w:val="24"/>
                <w:szCs w:val="24"/>
              </w:rPr>
              <w:t xml:space="preserve"> </w:t>
            </w:r>
            <w:r w:rsidR="00807C2F" w:rsidRPr="00807C2F">
              <w:rPr>
                <w:rFonts w:ascii="Times New Roman" w:hAnsi="Times New Roman" w:cs="Times New Roman"/>
                <w:sz w:val="24"/>
                <w:szCs w:val="24"/>
              </w:rPr>
              <w:t>мг УВ / г породы</w:t>
            </w:r>
          </w:p>
        </w:tc>
      </w:tr>
      <w:tr w:rsidR="004A21CD" w:rsidRPr="00A571C5" w14:paraId="0B5E100A" w14:textId="77777777" w:rsidTr="001D76E0">
        <w:tc>
          <w:tcPr>
            <w:tcW w:w="4531" w:type="dxa"/>
            <w:vAlign w:val="center"/>
          </w:tcPr>
          <w:p w14:paraId="69E7A6D0" w14:textId="71A2D022" w:rsidR="004A21CD" w:rsidRPr="004A21CD" w:rsidRDefault="00D41933" w:rsidP="001D76E0">
            <w:pPr>
              <w:jc w:val="center"/>
              <w:rPr>
                <w:rFonts w:ascii="Times New Roman" w:hAnsi="Times New Roman" w:cs="Times New Roman"/>
                <w:sz w:val="24"/>
                <w:szCs w:val="24"/>
              </w:rPr>
            </w:pPr>
            <w:r>
              <w:rPr>
                <w:rFonts w:ascii="Times New Roman" w:hAnsi="Times New Roman" w:cs="Times New Roman"/>
                <w:sz w:val="24"/>
                <w:szCs w:val="24"/>
              </w:rPr>
              <w:t>Т</w:t>
            </w:r>
            <w:r w:rsidRPr="00D41933">
              <w:rPr>
                <w:rFonts w:ascii="Times New Roman" w:hAnsi="Times New Roman" w:cs="Times New Roman"/>
                <w:sz w:val="24"/>
                <w:szCs w:val="24"/>
              </w:rPr>
              <w:t>епловой поток HF</w:t>
            </w:r>
          </w:p>
        </w:tc>
        <w:tc>
          <w:tcPr>
            <w:tcW w:w="4529" w:type="dxa"/>
            <w:vAlign w:val="center"/>
          </w:tcPr>
          <w:p w14:paraId="76F76156" w14:textId="1A12ED0C" w:rsidR="004A21CD" w:rsidRPr="00D41933" w:rsidRDefault="00A11BFF" w:rsidP="001D76E0">
            <w:pPr>
              <w:jc w:val="center"/>
              <w:rPr>
                <w:rFonts w:ascii="Times New Roman" w:hAnsi="Times New Roman" w:cs="Times New Roman"/>
                <w:sz w:val="24"/>
                <w:szCs w:val="24"/>
              </w:rPr>
            </w:pPr>
            <w:r>
              <w:rPr>
                <w:rFonts w:ascii="Times New Roman" w:hAnsi="Times New Roman" w:cs="Times New Roman"/>
                <w:sz w:val="24"/>
                <w:lang w:eastAsia="ru-RU"/>
              </w:rPr>
              <w:t>4</w:t>
            </w:r>
            <w:r w:rsidR="00D41933" w:rsidRPr="00D41933">
              <w:rPr>
                <w:rFonts w:ascii="Times New Roman" w:hAnsi="Times New Roman" w:cs="Times New Roman"/>
                <w:sz w:val="24"/>
                <w:lang w:eastAsia="ru-RU"/>
              </w:rPr>
              <w:t>5 мВт*м</w:t>
            </w:r>
            <w:r w:rsidR="00D41933" w:rsidRPr="00D41933">
              <w:rPr>
                <w:rFonts w:ascii="Times New Roman" w:hAnsi="Times New Roman" w:cs="Times New Roman"/>
                <w:sz w:val="24"/>
                <w:vertAlign w:val="superscript"/>
                <w:lang w:eastAsia="ru-RU"/>
              </w:rPr>
              <w:t>-2</w:t>
            </w:r>
          </w:p>
        </w:tc>
      </w:tr>
    </w:tbl>
    <w:p w14:paraId="78713709" w14:textId="66A54201" w:rsidR="003B5B28" w:rsidRDefault="003B5B28" w:rsidP="003B5B28">
      <w:pPr>
        <w:spacing w:after="0" w:line="240" w:lineRule="auto"/>
        <w:ind w:firstLine="709"/>
        <w:jc w:val="both"/>
        <w:rPr>
          <w:rFonts w:ascii="Times New Roman" w:hAnsi="Times New Roman" w:cs="Times New Roman"/>
          <w:sz w:val="24"/>
          <w:szCs w:val="24"/>
        </w:rPr>
      </w:pPr>
      <w:r w:rsidRPr="003B5B28">
        <w:rPr>
          <w:rFonts w:ascii="Times New Roman" w:hAnsi="Times New Roman" w:cs="Times New Roman"/>
          <w:sz w:val="24"/>
          <w:szCs w:val="24"/>
        </w:rPr>
        <w:t>Основные результаты моделирования УВС – модельные зоны аккумуляции углеводородов изображены на ри</w:t>
      </w:r>
      <w:r>
        <w:rPr>
          <w:rFonts w:ascii="Times New Roman" w:hAnsi="Times New Roman" w:cs="Times New Roman"/>
          <w:sz w:val="24"/>
          <w:szCs w:val="24"/>
        </w:rPr>
        <w:t xml:space="preserve">сунке 2. </w:t>
      </w:r>
      <w:r w:rsidRPr="003B5B28">
        <w:rPr>
          <w:rFonts w:ascii="Times New Roman" w:hAnsi="Times New Roman" w:cs="Times New Roman"/>
          <w:sz w:val="24"/>
          <w:szCs w:val="24"/>
        </w:rPr>
        <w:t>На основе моделирования УВС с использованием доступных литературных данных получено 6 модельных зон аккумуляции УВ. Результаты, полученные мной, достаточно реалистичны и имеют сходство с результатами работ других</w:t>
      </w:r>
      <w:r w:rsidR="009D1CC2">
        <w:rPr>
          <w:rFonts w:ascii="Times New Roman" w:hAnsi="Times New Roman" w:cs="Times New Roman"/>
          <w:sz w:val="24"/>
          <w:szCs w:val="24"/>
        </w:rPr>
        <w:t xml:space="preserve"> авторов [2</w:t>
      </w:r>
      <w:r w:rsidRPr="003B5B28">
        <w:rPr>
          <w:rFonts w:ascii="Times New Roman" w:hAnsi="Times New Roman" w:cs="Times New Roman"/>
          <w:sz w:val="24"/>
          <w:szCs w:val="24"/>
        </w:rPr>
        <w:t>]. Район работ является перспективным на нефть и рекомендован к дальнейшим поисково-оценочным работам.</w:t>
      </w:r>
      <w:r>
        <w:rPr>
          <w:rFonts w:ascii="Times New Roman" w:hAnsi="Times New Roman" w:cs="Times New Roman"/>
          <w:sz w:val="24"/>
          <w:szCs w:val="24"/>
        </w:rPr>
        <w:t xml:space="preserve"> С</w:t>
      </w:r>
      <w:r w:rsidRPr="003B5B28">
        <w:rPr>
          <w:rFonts w:ascii="Times New Roman" w:hAnsi="Times New Roman" w:cs="Times New Roman"/>
          <w:sz w:val="24"/>
          <w:szCs w:val="24"/>
        </w:rPr>
        <w:t>труктура С32 в первую очередь рекомендуется к поисковому бурению</w:t>
      </w:r>
    </w:p>
    <w:p w14:paraId="1FEC9552" w14:textId="5D9C4194" w:rsidR="003B5B28" w:rsidRPr="003B5B28" w:rsidRDefault="003B5B28" w:rsidP="003B5B28">
      <w:pPr>
        <w:spacing w:after="0" w:line="240" w:lineRule="auto"/>
        <w:ind w:firstLine="709"/>
        <w:jc w:val="both"/>
        <w:rPr>
          <w:rFonts w:ascii="Times New Roman" w:hAnsi="Times New Roman" w:cs="Times New Roman"/>
          <w:sz w:val="24"/>
          <w:szCs w:val="24"/>
        </w:rPr>
      </w:pPr>
      <w:r w:rsidRPr="003B5B28">
        <w:rPr>
          <w:rFonts w:ascii="Times New Roman" w:hAnsi="Times New Roman" w:cs="Times New Roman"/>
          <w:sz w:val="24"/>
          <w:szCs w:val="24"/>
        </w:rPr>
        <w:t>По результатам количественной оценки по состоянию на 01.01.2021 г. (по данным ФГБУ «ВНИГНИ»)</w:t>
      </w:r>
      <w:r>
        <w:rPr>
          <w:rFonts w:ascii="Times New Roman" w:hAnsi="Times New Roman" w:cs="Times New Roman"/>
          <w:sz w:val="24"/>
          <w:szCs w:val="24"/>
        </w:rPr>
        <w:t xml:space="preserve"> </w:t>
      </w:r>
      <w:r w:rsidRPr="003B5B28">
        <w:rPr>
          <w:rFonts w:ascii="Times New Roman" w:hAnsi="Times New Roman" w:cs="Times New Roman"/>
          <w:sz w:val="24"/>
          <w:szCs w:val="24"/>
        </w:rPr>
        <w:t>плотность НСР по нефти на шельфе Балтийского моря составила 11,4 тыс.т/км</w:t>
      </w:r>
      <w:r w:rsidRPr="003B5B28">
        <w:rPr>
          <w:rFonts w:ascii="Times New Roman" w:hAnsi="Times New Roman" w:cs="Times New Roman"/>
          <w:sz w:val="24"/>
          <w:szCs w:val="24"/>
          <w:vertAlign w:val="superscript"/>
        </w:rPr>
        <w:t>2</w:t>
      </w:r>
      <w:r w:rsidRPr="003B5B28">
        <w:rPr>
          <w:rFonts w:ascii="Times New Roman" w:hAnsi="Times New Roman" w:cs="Times New Roman"/>
          <w:sz w:val="24"/>
          <w:szCs w:val="24"/>
        </w:rPr>
        <w:t>, по результатам же текущего моделирования она составляет 35,96 тыс.т/км</w:t>
      </w:r>
      <w:r w:rsidRPr="003B5B28">
        <w:rPr>
          <w:rFonts w:ascii="Times New Roman" w:hAnsi="Times New Roman" w:cs="Times New Roman"/>
          <w:sz w:val="24"/>
          <w:szCs w:val="24"/>
          <w:vertAlign w:val="superscript"/>
        </w:rPr>
        <w:t>2</w:t>
      </w:r>
      <w:r w:rsidRPr="003B5B28">
        <w:rPr>
          <w:rFonts w:ascii="Times New Roman" w:hAnsi="Times New Roman" w:cs="Times New Roman"/>
          <w:sz w:val="24"/>
          <w:szCs w:val="24"/>
        </w:rPr>
        <w:t xml:space="preserve"> (при НСР нефти 282,2 млн. т). При подсчётах принимался КИН равный 0,5 д.ед., пересчётный коэффициент – 0,94 д. ед., плотность нефти – 0,8 г/см</w:t>
      </w:r>
      <w:r w:rsidRPr="003B5B28">
        <w:rPr>
          <w:rFonts w:ascii="Times New Roman" w:hAnsi="Times New Roman" w:cs="Times New Roman"/>
          <w:sz w:val="24"/>
          <w:szCs w:val="24"/>
          <w:vertAlign w:val="superscript"/>
        </w:rPr>
        <w:t>3</w:t>
      </w:r>
      <w:r w:rsidRPr="003B5B28">
        <w:rPr>
          <w:rFonts w:ascii="Times New Roman" w:hAnsi="Times New Roman" w:cs="Times New Roman"/>
          <w:sz w:val="24"/>
          <w:szCs w:val="24"/>
        </w:rPr>
        <w:t>.</w:t>
      </w:r>
    </w:p>
    <w:p w14:paraId="4D551B85" w14:textId="48C0A828" w:rsidR="00A57C88" w:rsidRDefault="001D76E0" w:rsidP="001D76E0">
      <w:pPr>
        <w:spacing w:after="0" w:line="240" w:lineRule="auto"/>
        <w:jc w:val="center"/>
        <w:rPr>
          <w:rFonts w:ascii="Times New Roman" w:hAnsi="Times New Roman" w:cs="Times New Roman"/>
          <w:sz w:val="24"/>
          <w:szCs w:val="24"/>
        </w:rPr>
      </w:pPr>
      <w:r>
        <w:rPr>
          <w:noProof/>
          <w:lang w:eastAsia="ru-RU"/>
        </w:rPr>
        <w:lastRenderedPageBreak/>
        <w:drawing>
          <wp:inline distT="0" distB="0" distL="0" distR="0" wp14:anchorId="21FFD6B5" wp14:editId="640EBA05">
            <wp:extent cx="5759450" cy="2790686"/>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790686"/>
                    </a:xfrm>
                    <a:prstGeom prst="rect">
                      <a:avLst/>
                    </a:prstGeom>
                  </pic:spPr>
                </pic:pic>
              </a:graphicData>
            </a:graphic>
          </wp:inline>
        </w:drawing>
      </w:r>
    </w:p>
    <w:p w14:paraId="36855DF6" w14:textId="6F62D6EC" w:rsidR="00377187" w:rsidRDefault="00377187" w:rsidP="0037718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Рисунок 2 - </w:t>
      </w:r>
      <w:r w:rsidR="001D76E0" w:rsidRPr="001D76E0">
        <w:rPr>
          <w:rFonts w:ascii="Times New Roman" w:hAnsi="Times New Roman" w:cs="Times New Roman"/>
          <w:sz w:val="24"/>
          <w:szCs w:val="24"/>
        </w:rPr>
        <w:t>Расположение модельных зон аккумуляции углеводородов в южной части российского сектора шельфа Балтийского моря с нанесёнными береговой линией (жёлтая), политическими границами (голубые), УВ месторождения</w:t>
      </w:r>
      <w:r w:rsidR="005A1029">
        <w:rPr>
          <w:rFonts w:ascii="Times New Roman" w:hAnsi="Times New Roman" w:cs="Times New Roman"/>
          <w:sz w:val="24"/>
          <w:szCs w:val="24"/>
        </w:rPr>
        <w:t>ми региона (коричневые области)</w:t>
      </w:r>
      <w:r w:rsidR="001D76E0" w:rsidRPr="001D76E0">
        <w:rPr>
          <w:rFonts w:ascii="Times New Roman" w:hAnsi="Times New Roman" w:cs="Times New Roman"/>
          <w:sz w:val="24"/>
          <w:szCs w:val="24"/>
        </w:rPr>
        <w:t xml:space="preserve"> и лицензионными участками (голубые и зелёные области).</w:t>
      </w:r>
    </w:p>
    <w:p w14:paraId="649D7FE8" w14:textId="3D8A3DF2" w:rsidR="009D1CC2" w:rsidRPr="009D1CC2" w:rsidRDefault="009D1CC2" w:rsidP="009D1CC2">
      <w:pPr>
        <w:spacing w:after="0" w:line="240" w:lineRule="auto"/>
        <w:ind w:firstLine="709"/>
        <w:jc w:val="both"/>
        <w:rPr>
          <w:rFonts w:ascii="Times New Roman" w:hAnsi="Times New Roman" w:cs="Times New Roman"/>
          <w:sz w:val="24"/>
          <w:szCs w:val="24"/>
        </w:rPr>
      </w:pPr>
      <w:r w:rsidRPr="009D1CC2">
        <w:rPr>
          <w:rFonts w:ascii="Times New Roman" w:hAnsi="Times New Roman" w:cs="Times New Roman"/>
          <w:sz w:val="24"/>
          <w:szCs w:val="24"/>
        </w:rPr>
        <w:t>По результатам моделирования в некоторые исходные данные из литературы</w:t>
      </w:r>
      <w:r w:rsidR="001372D5">
        <w:rPr>
          <w:rFonts w:ascii="Times New Roman" w:hAnsi="Times New Roman" w:cs="Times New Roman"/>
          <w:sz w:val="24"/>
          <w:szCs w:val="24"/>
        </w:rPr>
        <w:t xml:space="preserve"> [1]</w:t>
      </w:r>
      <w:r w:rsidRPr="009D1CC2">
        <w:rPr>
          <w:rFonts w:ascii="Times New Roman" w:hAnsi="Times New Roman" w:cs="Times New Roman"/>
          <w:sz w:val="24"/>
          <w:szCs w:val="24"/>
        </w:rPr>
        <w:t xml:space="preserve"> были внесены корректировки, связанные с граничными условиями (снижение HF до 45 мВт*м</w:t>
      </w:r>
      <w:r w:rsidRPr="009D1CC2">
        <w:rPr>
          <w:rFonts w:ascii="Times New Roman" w:hAnsi="Times New Roman" w:cs="Times New Roman"/>
          <w:sz w:val="24"/>
          <w:szCs w:val="24"/>
          <w:vertAlign w:val="superscript"/>
        </w:rPr>
        <w:t>-2</w:t>
      </w:r>
      <w:r w:rsidRPr="009D1CC2">
        <w:rPr>
          <w:rFonts w:ascii="Times New Roman" w:hAnsi="Times New Roman" w:cs="Times New Roman"/>
          <w:sz w:val="24"/>
          <w:szCs w:val="24"/>
        </w:rPr>
        <w:t>) и характеристиками НМП (снижение Cорг до средневзвешенного значения, равного 0,28%), которые приблизили модель к реальности. Было выполнено 8 итераций для калибровки модели по открытым месторождениям. Подобранные параметры рекомендованы автором для использования в дальнейших работах по бассейновому и геологическому моделированию в данном регионе.</w:t>
      </w:r>
    </w:p>
    <w:p w14:paraId="2647A27D" w14:textId="64130225" w:rsidR="009D1CC2" w:rsidRPr="00A571C5" w:rsidRDefault="009D1CC2" w:rsidP="009D1CC2">
      <w:pPr>
        <w:spacing w:after="0" w:line="240" w:lineRule="auto"/>
        <w:ind w:firstLine="709"/>
        <w:jc w:val="both"/>
        <w:rPr>
          <w:rFonts w:ascii="Times New Roman" w:hAnsi="Times New Roman" w:cs="Times New Roman"/>
          <w:sz w:val="24"/>
          <w:szCs w:val="24"/>
        </w:rPr>
      </w:pPr>
      <w:r w:rsidRPr="009D1CC2">
        <w:rPr>
          <w:rFonts w:ascii="Times New Roman" w:hAnsi="Times New Roman" w:cs="Times New Roman"/>
          <w:sz w:val="24"/>
          <w:szCs w:val="24"/>
        </w:rPr>
        <w:t xml:space="preserve">Основным фактором неопределённости при моделировании УВС, в особенности для Балтийской синеклизы, является анализ НМП. Для дальнейших работ рекомендуется уточнить распространение </w:t>
      </w:r>
      <w:r w:rsidR="005A1029">
        <w:rPr>
          <w:rFonts w:ascii="Times New Roman" w:hAnsi="Times New Roman" w:cs="Times New Roman"/>
          <w:sz w:val="24"/>
          <w:szCs w:val="24"/>
        </w:rPr>
        <w:t>НМП</w:t>
      </w:r>
      <w:r w:rsidRPr="009D1CC2">
        <w:rPr>
          <w:rFonts w:ascii="Times New Roman" w:hAnsi="Times New Roman" w:cs="Times New Roman"/>
          <w:sz w:val="24"/>
          <w:szCs w:val="24"/>
        </w:rPr>
        <w:t xml:space="preserve"> в разрезе и их геохимические характеристики. Необходим отбор и исследование образцов из нижнекембрийских отложений данного района.</w:t>
      </w:r>
    </w:p>
    <w:p w14:paraId="6A1808FE" w14:textId="77777777" w:rsidR="003E5912" w:rsidRPr="00A571C5" w:rsidRDefault="00D239E2" w:rsidP="00E87D6E">
      <w:pPr>
        <w:spacing w:before="240" w:line="240" w:lineRule="auto"/>
        <w:ind w:firstLine="709"/>
        <w:rPr>
          <w:rFonts w:ascii="Times New Roman" w:hAnsi="Times New Roman" w:cs="Times New Roman"/>
          <w:b/>
          <w:sz w:val="24"/>
          <w:szCs w:val="24"/>
        </w:rPr>
      </w:pPr>
      <w:r w:rsidRPr="00A571C5">
        <w:rPr>
          <w:rFonts w:ascii="Times New Roman" w:hAnsi="Times New Roman" w:cs="Times New Roman"/>
          <w:b/>
          <w:sz w:val="24"/>
          <w:szCs w:val="24"/>
        </w:rPr>
        <w:t>Список литературы</w:t>
      </w:r>
    </w:p>
    <w:p w14:paraId="63951749" w14:textId="77777777" w:rsidR="009D1CC2" w:rsidRDefault="00830029" w:rsidP="009D1CC2">
      <w:pPr>
        <w:pStyle w:val="a3"/>
        <w:numPr>
          <w:ilvl w:val="0"/>
          <w:numId w:val="7"/>
        </w:numPr>
        <w:tabs>
          <w:tab w:val="left" w:pos="993"/>
        </w:tabs>
        <w:spacing w:after="0" w:line="240" w:lineRule="auto"/>
        <w:ind w:left="0" w:firstLine="703"/>
        <w:jc w:val="both"/>
        <w:rPr>
          <w:rFonts w:ascii="Times New Roman" w:hAnsi="Times New Roman" w:cs="Times New Roman"/>
          <w:i/>
          <w:sz w:val="24"/>
          <w:szCs w:val="24"/>
          <w:lang w:val="en-US"/>
        </w:rPr>
      </w:pPr>
      <w:bookmarkStart w:id="4" w:name="_Hlk89558213"/>
      <w:r w:rsidRPr="00933CAD">
        <w:rPr>
          <w:rFonts w:ascii="Times New Roman" w:hAnsi="Times New Roman" w:cs="Times New Roman"/>
          <w:i/>
          <w:sz w:val="24"/>
          <w:szCs w:val="24"/>
          <w:lang w:val="en-US"/>
        </w:rPr>
        <w:t>Kanev</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S</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Margulis</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L</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Bojesen</w:t>
      </w:r>
      <w:r w:rsidRPr="0050523E">
        <w:rPr>
          <w:rFonts w:ascii="Times New Roman" w:hAnsi="Times New Roman" w:cs="Times New Roman"/>
          <w:i/>
          <w:sz w:val="24"/>
          <w:szCs w:val="24"/>
          <w:lang w:val="en-US"/>
        </w:rPr>
        <w:t>-</w:t>
      </w:r>
      <w:r w:rsidRPr="00933CAD">
        <w:rPr>
          <w:rFonts w:ascii="Times New Roman" w:hAnsi="Times New Roman" w:cs="Times New Roman"/>
          <w:i/>
          <w:sz w:val="24"/>
          <w:szCs w:val="24"/>
          <w:lang w:val="en-US"/>
        </w:rPr>
        <w:t>Koefoed</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J</w:t>
      </w:r>
      <w:r w:rsidRPr="0050523E">
        <w:rPr>
          <w:rFonts w:ascii="Times New Roman" w:hAnsi="Times New Roman" w:cs="Times New Roman"/>
          <w:i/>
          <w:sz w:val="24"/>
          <w:szCs w:val="24"/>
          <w:lang w:val="en-US"/>
        </w:rPr>
        <w:t>.</w:t>
      </w:r>
      <w:r w:rsidRPr="00933CAD">
        <w:rPr>
          <w:rFonts w:ascii="Times New Roman" w:hAnsi="Times New Roman" w:cs="Times New Roman"/>
          <w:i/>
          <w:sz w:val="24"/>
          <w:szCs w:val="24"/>
          <w:lang w:val="en-US"/>
        </w:rPr>
        <w:t>A</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Weil</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W</w:t>
      </w:r>
      <w:r w:rsidRPr="0050523E">
        <w:rPr>
          <w:rFonts w:ascii="Times New Roman" w:hAnsi="Times New Roman" w:cs="Times New Roman"/>
          <w:i/>
          <w:sz w:val="24"/>
          <w:szCs w:val="24"/>
          <w:lang w:val="en-US"/>
        </w:rPr>
        <w:t>.</w:t>
      </w:r>
      <w:r w:rsidRPr="00933CAD">
        <w:rPr>
          <w:rFonts w:ascii="Times New Roman" w:hAnsi="Times New Roman" w:cs="Times New Roman"/>
          <w:i/>
          <w:sz w:val="24"/>
          <w:szCs w:val="24"/>
          <w:lang w:val="en-US"/>
        </w:rPr>
        <w:t>A</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Merta</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H</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Zdanaviciute</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O</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Oils</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and</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hydrocarbon</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source</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rocks</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of the Baltic sineclise // Oil &amp; Gas Journal. – 1994 - Juli. – pp. 69-73</w:t>
      </w:r>
    </w:p>
    <w:p w14:paraId="7042457D" w14:textId="2E57D9AA" w:rsidR="009D1CC2" w:rsidRPr="001372D5" w:rsidRDefault="009D1CC2" w:rsidP="001372D5">
      <w:pPr>
        <w:pStyle w:val="a3"/>
        <w:numPr>
          <w:ilvl w:val="0"/>
          <w:numId w:val="7"/>
        </w:numPr>
        <w:tabs>
          <w:tab w:val="left" w:pos="993"/>
        </w:tabs>
        <w:spacing w:after="0" w:line="240" w:lineRule="auto"/>
        <w:ind w:left="0" w:firstLine="703"/>
        <w:jc w:val="both"/>
        <w:rPr>
          <w:rFonts w:ascii="Times New Roman" w:hAnsi="Times New Roman" w:cs="Times New Roman"/>
          <w:i/>
          <w:sz w:val="24"/>
          <w:szCs w:val="24"/>
          <w:lang w:val="en-US"/>
        </w:rPr>
      </w:pPr>
      <w:r w:rsidRPr="009D1CC2">
        <w:rPr>
          <w:rFonts w:ascii="Times New Roman" w:hAnsi="Times New Roman" w:cs="Times New Roman"/>
          <w:i/>
          <w:sz w:val="24"/>
          <w:szCs w:val="24"/>
        </w:rPr>
        <w:t>Актуализация банка эталонных участков и создание информационной базы для реализации прогноза нефтегазоносности шельфа Балтийского, Японского, Охотского морей и шельфа Тихого океана – окончательный геологический отчёт. Ответственный исполнитель - Жарков А.М., АО «ВНИГРИ», 2018 г.</w:t>
      </w:r>
    </w:p>
    <w:p w14:paraId="0566DDA5" w14:textId="77777777" w:rsidR="003E5912" w:rsidRPr="0050523E" w:rsidRDefault="00D239E2" w:rsidP="00E87D6E">
      <w:pPr>
        <w:spacing w:before="240" w:line="240" w:lineRule="auto"/>
        <w:ind w:firstLine="709"/>
        <w:rPr>
          <w:rFonts w:ascii="Times New Roman" w:hAnsi="Times New Roman" w:cs="Times New Roman"/>
          <w:b/>
          <w:sz w:val="24"/>
          <w:szCs w:val="24"/>
        </w:rPr>
      </w:pPr>
      <w:r w:rsidRPr="0050523E">
        <w:rPr>
          <w:rFonts w:ascii="Times New Roman" w:hAnsi="Times New Roman" w:cs="Times New Roman"/>
          <w:b/>
          <w:sz w:val="24"/>
          <w:szCs w:val="24"/>
          <w:lang w:val="en-US"/>
        </w:rPr>
        <w:t>References</w:t>
      </w:r>
    </w:p>
    <w:bookmarkEnd w:id="4"/>
    <w:p w14:paraId="52FC4216" w14:textId="77777777" w:rsidR="001372D5" w:rsidRDefault="00933CAD" w:rsidP="001372D5">
      <w:pPr>
        <w:pStyle w:val="a3"/>
        <w:numPr>
          <w:ilvl w:val="0"/>
          <w:numId w:val="12"/>
        </w:numPr>
        <w:tabs>
          <w:tab w:val="left" w:pos="993"/>
        </w:tabs>
        <w:spacing w:after="0" w:line="240" w:lineRule="auto"/>
        <w:ind w:left="0" w:firstLine="703"/>
        <w:jc w:val="both"/>
        <w:rPr>
          <w:rFonts w:ascii="Times New Roman" w:hAnsi="Times New Roman" w:cs="Times New Roman"/>
          <w:i/>
          <w:sz w:val="24"/>
          <w:szCs w:val="24"/>
          <w:lang w:val="en-US"/>
        </w:rPr>
      </w:pPr>
      <w:r w:rsidRPr="00933CAD">
        <w:rPr>
          <w:rFonts w:ascii="Times New Roman" w:hAnsi="Times New Roman" w:cs="Times New Roman"/>
          <w:i/>
          <w:sz w:val="24"/>
          <w:szCs w:val="24"/>
          <w:lang w:val="en-US"/>
        </w:rPr>
        <w:t>Kanev</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S</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Margulis</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L</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Bojesen</w:t>
      </w:r>
      <w:r w:rsidRPr="0050523E">
        <w:rPr>
          <w:rFonts w:ascii="Times New Roman" w:hAnsi="Times New Roman" w:cs="Times New Roman"/>
          <w:i/>
          <w:sz w:val="24"/>
          <w:szCs w:val="24"/>
          <w:lang w:val="en-US"/>
        </w:rPr>
        <w:t>-</w:t>
      </w:r>
      <w:r w:rsidRPr="00933CAD">
        <w:rPr>
          <w:rFonts w:ascii="Times New Roman" w:hAnsi="Times New Roman" w:cs="Times New Roman"/>
          <w:i/>
          <w:sz w:val="24"/>
          <w:szCs w:val="24"/>
          <w:lang w:val="en-US"/>
        </w:rPr>
        <w:t>Koefoed</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J</w:t>
      </w:r>
      <w:r w:rsidRPr="0050523E">
        <w:rPr>
          <w:rFonts w:ascii="Times New Roman" w:hAnsi="Times New Roman" w:cs="Times New Roman"/>
          <w:i/>
          <w:sz w:val="24"/>
          <w:szCs w:val="24"/>
          <w:lang w:val="en-US"/>
        </w:rPr>
        <w:t>.</w:t>
      </w:r>
      <w:r w:rsidRPr="00933CAD">
        <w:rPr>
          <w:rFonts w:ascii="Times New Roman" w:hAnsi="Times New Roman" w:cs="Times New Roman"/>
          <w:i/>
          <w:sz w:val="24"/>
          <w:szCs w:val="24"/>
          <w:lang w:val="en-US"/>
        </w:rPr>
        <w:t>A</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Weil</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W</w:t>
      </w:r>
      <w:r w:rsidRPr="0050523E">
        <w:rPr>
          <w:rFonts w:ascii="Times New Roman" w:hAnsi="Times New Roman" w:cs="Times New Roman"/>
          <w:i/>
          <w:sz w:val="24"/>
          <w:szCs w:val="24"/>
          <w:lang w:val="en-US"/>
        </w:rPr>
        <w:t>.</w:t>
      </w:r>
      <w:r w:rsidRPr="00933CAD">
        <w:rPr>
          <w:rFonts w:ascii="Times New Roman" w:hAnsi="Times New Roman" w:cs="Times New Roman"/>
          <w:i/>
          <w:sz w:val="24"/>
          <w:szCs w:val="24"/>
          <w:lang w:val="en-US"/>
        </w:rPr>
        <w:t>A</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Merta</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H</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Zdanaviciute</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O</w:t>
      </w:r>
      <w:r w:rsidR="0050523E"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Oils</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and</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hydrocarbon</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source</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rocks</w:t>
      </w:r>
      <w:r w:rsidRPr="0050523E">
        <w:rPr>
          <w:rFonts w:ascii="Times New Roman" w:hAnsi="Times New Roman" w:cs="Times New Roman"/>
          <w:i/>
          <w:sz w:val="24"/>
          <w:szCs w:val="24"/>
          <w:lang w:val="en-US"/>
        </w:rPr>
        <w:t xml:space="preserve"> </w:t>
      </w:r>
      <w:r w:rsidRPr="00933CAD">
        <w:rPr>
          <w:rFonts w:ascii="Times New Roman" w:hAnsi="Times New Roman" w:cs="Times New Roman"/>
          <w:i/>
          <w:sz w:val="24"/>
          <w:szCs w:val="24"/>
          <w:lang w:val="en-US"/>
        </w:rPr>
        <w:t>of the Baltic sineclise // Oil &amp; Gas Journal. – 1994 - Juli. – pp. 69-73</w:t>
      </w:r>
      <w:bookmarkEnd w:id="0"/>
      <w:bookmarkEnd w:id="1"/>
    </w:p>
    <w:p w14:paraId="72D8C415" w14:textId="4E0C8FFA" w:rsidR="001372D5" w:rsidRPr="001372D5" w:rsidRDefault="001372D5" w:rsidP="001372D5">
      <w:pPr>
        <w:pStyle w:val="a3"/>
        <w:numPr>
          <w:ilvl w:val="0"/>
          <w:numId w:val="12"/>
        </w:numPr>
        <w:tabs>
          <w:tab w:val="left" w:pos="993"/>
        </w:tabs>
        <w:spacing w:after="0" w:line="240" w:lineRule="auto"/>
        <w:ind w:left="0" w:firstLine="703"/>
        <w:jc w:val="both"/>
        <w:rPr>
          <w:rFonts w:ascii="Times New Roman" w:hAnsi="Times New Roman" w:cs="Times New Roman"/>
          <w:i/>
          <w:sz w:val="24"/>
          <w:szCs w:val="24"/>
          <w:lang w:val="en-US"/>
        </w:rPr>
      </w:pPr>
      <w:r w:rsidRPr="001372D5">
        <w:rPr>
          <w:rFonts w:ascii="Times New Roman" w:hAnsi="Times New Roman" w:cs="Times New Roman"/>
          <w:i/>
          <w:sz w:val="24"/>
          <w:szCs w:val="24"/>
          <w:lang w:val="en-US"/>
        </w:rPr>
        <w:t>Updating the bank of reference areas and creating an information base for the implementation of the forecast of oil and gas content of the Baltic, Japanese, Okhotsk seas and the Pacific shelf - final geological report. Responsible executive - Zharkov A.M., JSC "VNIGRI", 2018</w:t>
      </w:r>
    </w:p>
    <w:sectPr w:rsidR="001372D5" w:rsidRPr="001372D5" w:rsidSect="001B42B9">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7262D" w14:textId="77777777" w:rsidR="00435CF7" w:rsidRDefault="00435CF7" w:rsidP="006C3C33">
      <w:pPr>
        <w:spacing w:after="0" w:line="240" w:lineRule="auto"/>
      </w:pPr>
      <w:r>
        <w:separator/>
      </w:r>
    </w:p>
  </w:endnote>
  <w:endnote w:type="continuationSeparator" w:id="0">
    <w:p w14:paraId="27CB40B4" w14:textId="77777777" w:rsidR="00435CF7" w:rsidRDefault="00435CF7" w:rsidP="006C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9B5F" w14:textId="77777777" w:rsidR="00435CF7" w:rsidRDefault="00435CF7" w:rsidP="006C3C33">
      <w:pPr>
        <w:spacing w:after="0" w:line="240" w:lineRule="auto"/>
      </w:pPr>
      <w:r>
        <w:separator/>
      </w:r>
    </w:p>
  </w:footnote>
  <w:footnote w:type="continuationSeparator" w:id="0">
    <w:p w14:paraId="0CBABE05" w14:textId="77777777" w:rsidR="00435CF7" w:rsidRDefault="00435CF7" w:rsidP="006C3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7335"/>
    <w:multiLevelType w:val="hybridMultilevel"/>
    <w:tmpl w:val="88A81D0E"/>
    <w:lvl w:ilvl="0" w:tplc="DB8629B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 w15:restartNumberingAfterBreak="0">
    <w:nsid w:val="2D460C50"/>
    <w:multiLevelType w:val="hybridMultilevel"/>
    <w:tmpl w:val="4342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7B1F84"/>
    <w:multiLevelType w:val="hybridMultilevel"/>
    <w:tmpl w:val="5F501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E433E2"/>
    <w:multiLevelType w:val="hybridMultilevel"/>
    <w:tmpl w:val="4342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C335EF"/>
    <w:multiLevelType w:val="hybridMultilevel"/>
    <w:tmpl w:val="6968342C"/>
    <w:lvl w:ilvl="0" w:tplc="A3DA7A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2013648"/>
    <w:multiLevelType w:val="hybridMultilevel"/>
    <w:tmpl w:val="DF4AC6A8"/>
    <w:lvl w:ilvl="0" w:tplc="D5FCD7B8">
      <w:start w:val="1"/>
      <w:numFmt w:val="decimal"/>
      <w:lvlText w:val="%1."/>
      <w:lvlJc w:val="left"/>
      <w:pPr>
        <w:ind w:left="1140" w:hanging="360"/>
      </w:pPr>
      <w:rPr>
        <w:lang w:val="ru-RU"/>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5AF775C9"/>
    <w:multiLevelType w:val="hybridMultilevel"/>
    <w:tmpl w:val="F81A9A02"/>
    <w:lvl w:ilvl="0" w:tplc="2DDCC7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28304C9"/>
    <w:multiLevelType w:val="hybridMultilevel"/>
    <w:tmpl w:val="70004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4F3076C"/>
    <w:multiLevelType w:val="hybridMultilevel"/>
    <w:tmpl w:val="4342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B0A77"/>
    <w:multiLevelType w:val="hybridMultilevel"/>
    <w:tmpl w:val="608E9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2715C0"/>
    <w:multiLevelType w:val="hybridMultilevel"/>
    <w:tmpl w:val="0F78BE8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795B5BAB"/>
    <w:multiLevelType w:val="hybridMultilevel"/>
    <w:tmpl w:val="012C5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3"/>
  </w:num>
  <w:num w:numId="5">
    <w:abstractNumId w:val="8"/>
  </w:num>
  <w:num w:numId="6">
    <w:abstractNumId w:val="1"/>
  </w:num>
  <w:num w:numId="7">
    <w:abstractNumId w:val="5"/>
  </w:num>
  <w:num w:numId="8">
    <w:abstractNumId w:val="2"/>
  </w:num>
  <w:num w:numId="9">
    <w:abstractNumId w:val="10"/>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BC"/>
    <w:rsid w:val="00007971"/>
    <w:rsid w:val="00023E3F"/>
    <w:rsid w:val="00041663"/>
    <w:rsid w:val="0004645B"/>
    <w:rsid w:val="0007124B"/>
    <w:rsid w:val="00082FBE"/>
    <w:rsid w:val="000A3CA9"/>
    <w:rsid w:val="000B5CE2"/>
    <w:rsid w:val="000E1068"/>
    <w:rsid w:val="000E52BB"/>
    <w:rsid w:val="000E5F8F"/>
    <w:rsid w:val="00104F19"/>
    <w:rsid w:val="00105EA0"/>
    <w:rsid w:val="0010787F"/>
    <w:rsid w:val="001220C9"/>
    <w:rsid w:val="001222C0"/>
    <w:rsid w:val="00130584"/>
    <w:rsid w:val="001365D0"/>
    <w:rsid w:val="001372D5"/>
    <w:rsid w:val="00145C9D"/>
    <w:rsid w:val="001474BB"/>
    <w:rsid w:val="00185333"/>
    <w:rsid w:val="001B42B9"/>
    <w:rsid w:val="001B6029"/>
    <w:rsid w:val="001D1072"/>
    <w:rsid w:val="001D76E0"/>
    <w:rsid w:val="001F1897"/>
    <w:rsid w:val="001F4728"/>
    <w:rsid w:val="0020644E"/>
    <w:rsid w:val="00211118"/>
    <w:rsid w:val="002257D1"/>
    <w:rsid w:val="00281889"/>
    <w:rsid w:val="00290156"/>
    <w:rsid w:val="00296D95"/>
    <w:rsid w:val="002A7E2D"/>
    <w:rsid w:val="002D2CF9"/>
    <w:rsid w:val="002D2D0B"/>
    <w:rsid w:val="002E049F"/>
    <w:rsid w:val="002F1552"/>
    <w:rsid w:val="00306B53"/>
    <w:rsid w:val="0034679E"/>
    <w:rsid w:val="00356548"/>
    <w:rsid w:val="00367229"/>
    <w:rsid w:val="00377187"/>
    <w:rsid w:val="003814DD"/>
    <w:rsid w:val="00384A77"/>
    <w:rsid w:val="003A119B"/>
    <w:rsid w:val="003B5B28"/>
    <w:rsid w:val="003B7D4B"/>
    <w:rsid w:val="003C1C0B"/>
    <w:rsid w:val="003C1F20"/>
    <w:rsid w:val="003E5912"/>
    <w:rsid w:val="00435CF7"/>
    <w:rsid w:val="004426E9"/>
    <w:rsid w:val="00445184"/>
    <w:rsid w:val="00453003"/>
    <w:rsid w:val="00455CAD"/>
    <w:rsid w:val="00491C30"/>
    <w:rsid w:val="004A21CD"/>
    <w:rsid w:val="004C4C04"/>
    <w:rsid w:val="004C6DBC"/>
    <w:rsid w:val="004E7429"/>
    <w:rsid w:val="004F66A2"/>
    <w:rsid w:val="0050506B"/>
    <w:rsid w:val="0050523E"/>
    <w:rsid w:val="005350EC"/>
    <w:rsid w:val="00536C77"/>
    <w:rsid w:val="00542CC5"/>
    <w:rsid w:val="005742AB"/>
    <w:rsid w:val="005956FF"/>
    <w:rsid w:val="005A1029"/>
    <w:rsid w:val="005A686D"/>
    <w:rsid w:val="005D2CAA"/>
    <w:rsid w:val="005E4DEE"/>
    <w:rsid w:val="005F21F3"/>
    <w:rsid w:val="0060712B"/>
    <w:rsid w:val="00614F2E"/>
    <w:rsid w:val="006260F4"/>
    <w:rsid w:val="00643B03"/>
    <w:rsid w:val="00643E0C"/>
    <w:rsid w:val="00644A26"/>
    <w:rsid w:val="00646F70"/>
    <w:rsid w:val="006665D2"/>
    <w:rsid w:val="00675B4D"/>
    <w:rsid w:val="006B7531"/>
    <w:rsid w:val="006C3C33"/>
    <w:rsid w:val="006D5947"/>
    <w:rsid w:val="006E5E2D"/>
    <w:rsid w:val="006F1186"/>
    <w:rsid w:val="00703AA8"/>
    <w:rsid w:val="0073720F"/>
    <w:rsid w:val="007653A1"/>
    <w:rsid w:val="00776704"/>
    <w:rsid w:val="0078719C"/>
    <w:rsid w:val="007A6995"/>
    <w:rsid w:val="007C1B43"/>
    <w:rsid w:val="007D1DF5"/>
    <w:rsid w:val="007F277E"/>
    <w:rsid w:val="007F5762"/>
    <w:rsid w:val="00807C2F"/>
    <w:rsid w:val="008130BC"/>
    <w:rsid w:val="00813F2D"/>
    <w:rsid w:val="00824BC5"/>
    <w:rsid w:val="00830029"/>
    <w:rsid w:val="00835FFF"/>
    <w:rsid w:val="00850DA8"/>
    <w:rsid w:val="00853203"/>
    <w:rsid w:val="00867017"/>
    <w:rsid w:val="00871BD6"/>
    <w:rsid w:val="00897908"/>
    <w:rsid w:val="008C3C5B"/>
    <w:rsid w:val="008D36F0"/>
    <w:rsid w:val="008D57B9"/>
    <w:rsid w:val="008D6D30"/>
    <w:rsid w:val="008E3F1C"/>
    <w:rsid w:val="00915AAF"/>
    <w:rsid w:val="00921993"/>
    <w:rsid w:val="009326EE"/>
    <w:rsid w:val="00933089"/>
    <w:rsid w:val="00933CAD"/>
    <w:rsid w:val="00953480"/>
    <w:rsid w:val="0096695F"/>
    <w:rsid w:val="0098374C"/>
    <w:rsid w:val="00985139"/>
    <w:rsid w:val="0098673A"/>
    <w:rsid w:val="009B0A33"/>
    <w:rsid w:val="009C273F"/>
    <w:rsid w:val="009C7937"/>
    <w:rsid w:val="009D1CC2"/>
    <w:rsid w:val="009F12D4"/>
    <w:rsid w:val="009F3976"/>
    <w:rsid w:val="00A037B8"/>
    <w:rsid w:val="00A047EC"/>
    <w:rsid w:val="00A11BFF"/>
    <w:rsid w:val="00A42BBE"/>
    <w:rsid w:val="00A571C5"/>
    <w:rsid w:val="00A57C88"/>
    <w:rsid w:val="00A62FF4"/>
    <w:rsid w:val="00A67AD0"/>
    <w:rsid w:val="00A917E0"/>
    <w:rsid w:val="00A97452"/>
    <w:rsid w:val="00AB5287"/>
    <w:rsid w:val="00AB61E4"/>
    <w:rsid w:val="00AC60F2"/>
    <w:rsid w:val="00AD6823"/>
    <w:rsid w:val="00AF05DF"/>
    <w:rsid w:val="00B05B76"/>
    <w:rsid w:val="00B13BDB"/>
    <w:rsid w:val="00B21CA6"/>
    <w:rsid w:val="00B341A6"/>
    <w:rsid w:val="00B41584"/>
    <w:rsid w:val="00B420F3"/>
    <w:rsid w:val="00B4787B"/>
    <w:rsid w:val="00B50963"/>
    <w:rsid w:val="00B57C7C"/>
    <w:rsid w:val="00B65A58"/>
    <w:rsid w:val="00B675E7"/>
    <w:rsid w:val="00B67A72"/>
    <w:rsid w:val="00B71821"/>
    <w:rsid w:val="00B72D9D"/>
    <w:rsid w:val="00B933C6"/>
    <w:rsid w:val="00BA1563"/>
    <w:rsid w:val="00BA5B44"/>
    <w:rsid w:val="00BB4CB5"/>
    <w:rsid w:val="00BC5CE1"/>
    <w:rsid w:val="00BD1E84"/>
    <w:rsid w:val="00BF00B7"/>
    <w:rsid w:val="00C00088"/>
    <w:rsid w:val="00C11AC3"/>
    <w:rsid w:val="00C300B9"/>
    <w:rsid w:val="00C57831"/>
    <w:rsid w:val="00C70643"/>
    <w:rsid w:val="00C852D9"/>
    <w:rsid w:val="00C93F63"/>
    <w:rsid w:val="00C94E5E"/>
    <w:rsid w:val="00CB589E"/>
    <w:rsid w:val="00CC4A80"/>
    <w:rsid w:val="00CC7099"/>
    <w:rsid w:val="00CC74B6"/>
    <w:rsid w:val="00CC7DC0"/>
    <w:rsid w:val="00CD02F1"/>
    <w:rsid w:val="00CD3FC0"/>
    <w:rsid w:val="00CD7A36"/>
    <w:rsid w:val="00CF00AB"/>
    <w:rsid w:val="00CF5483"/>
    <w:rsid w:val="00D037B4"/>
    <w:rsid w:val="00D10E5B"/>
    <w:rsid w:val="00D12F3E"/>
    <w:rsid w:val="00D17A29"/>
    <w:rsid w:val="00D239E2"/>
    <w:rsid w:val="00D33F88"/>
    <w:rsid w:val="00D348CD"/>
    <w:rsid w:val="00D37229"/>
    <w:rsid w:val="00D41933"/>
    <w:rsid w:val="00D5408E"/>
    <w:rsid w:val="00D74E50"/>
    <w:rsid w:val="00D919FA"/>
    <w:rsid w:val="00D92676"/>
    <w:rsid w:val="00DA4E93"/>
    <w:rsid w:val="00DB0711"/>
    <w:rsid w:val="00DE4B73"/>
    <w:rsid w:val="00E01D09"/>
    <w:rsid w:val="00E167B9"/>
    <w:rsid w:val="00E30C68"/>
    <w:rsid w:val="00E42533"/>
    <w:rsid w:val="00E42B66"/>
    <w:rsid w:val="00E83BAF"/>
    <w:rsid w:val="00E87688"/>
    <w:rsid w:val="00E87D6E"/>
    <w:rsid w:val="00E93F7E"/>
    <w:rsid w:val="00EA0E4A"/>
    <w:rsid w:val="00EA1461"/>
    <w:rsid w:val="00EB0C8A"/>
    <w:rsid w:val="00EB6C9B"/>
    <w:rsid w:val="00EC683C"/>
    <w:rsid w:val="00EE258F"/>
    <w:rsid w:val="00EE7061"/>
    <w:rsid w:val="00F1038D"/>
    <w:rsid w:val="00F25E2F"/>
    <w:rsid w:val="00F32D29"/>
    <w:rsid w:val="00F57E9B"/>
    <w:rsid w:val="00F93FAD"/>
    <w:rsid w:val="00F95CFC"/>
    <w:rsid w:val="00FA34AB"/>
    <w:rsid w:val="00FA7048"/>
    <w:rsid w:val="00FA7908"/>
    <w:rsid w:val="00FE0191"/>
    <w:rsid w:val="00FF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46B5"/>
  <w15:docId w15:val="{D49A2990-CF74-4879-AB32-AF40F01A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CA9"/>
    <w:pPr>
      <w:spacing w:after="160" w:line="259" w:lineRule="auto"/>
      <w:ind w:left="720"/>
      <w:contextualSpacing/>
    </w:pPr>
  </w:style>
  <w:style w:type="character" w:styleId="a4">
    <w:name w:val="Hyperlink"/>
    <w:basedOn w:val="a0"/>
    <w:uiPriority w:val="99"/>
    <w:unhideWhenUsed/>
    <w:rsid w:val="00145C9D"/>
    <w:rPr>
      <w:color w:val="0000FF" w:themeColor="hyperlink"/>
      <w:u w:val="single"/>
    </w:rPr>
  </w:style>
  <w:style w:type="paragraph" w:styleId="a5">
    <w:name w:val="header"/>
    <w:basedOn w:val="a"/>
    <w:link w:val="a6"/>
    <w:uiPriority w:val="99"/>
    <w:unhideWhenUsed/>
    <w:rsid w:val="006C3C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3C33"/>
  </w:style>
  <w:style w:type="paragraph" w:styleId="a7">
    <w:name w:val="footer"/>
    <w:basedOn w:val="a"/>
    <w:link w:val="a8"/>
    <w:uiPriority w:val="99"/>
    <w:unhideWhenUsed/>
    <w:rsid w:val="006C3C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3C33"/>
  </w:style>
  <w:style w:type="table" w:styleId="a9">
    <w:name w:val="Table Grid"/>
    <w:basedOn w:val="a1"/>
    <w:uiPriority w:val="59"/>
    <w:rsid w:val="0012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B21CA6"/>
    <w:rPr>
      <w:color w:val="605E5C"/>
      <w:shd w:val="clear" w:color="auto" w:fill="E1DFDD"/>
    </w:rPr>
  </w:style>
  <w:style w:type="character" w:styleId="aa">
    <w:name w:val="FollowedHyperlink"/>
    <w:basedOn w:val="a0"/>
    <w:uiPriority w:val="99"/>
    <w:semiHidden/>
    <w:unhideWhenUsed/>
    <w:rsid w:val="00B21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4324">
      <w:bodyDiv w:val="1"/>
      <w:marLeft w:val="0"/>
      <w:marRight w:val="0"/>
      <w:marTop w:val="0"/>
      <w:marBottom w:val="0"/>
      <w:divBdr>
        <w:top w:val="none" w:sz="0" w:space="0" w:color="auto"/>
        <w:left w:val="none" w:sz="0" w:space="0" w:color="auto"/>
        <w:bottom w:val="none" w:sz="0" w:space="0" w:color="auto"/>
        <w:right w:val="none" w:sz="0" w:space="0" w:color="auto"/>
      </w:divBdr>
    </w:div>
    <w:div w:id="1047220494">
      <w:bodyDiv w:val="1"/>
      <w:marLeft w:val="0"/>
      <w:marRight w:val="0"/>
      <w:marTop w:val="0"/>
      <w:marBottom w:val="0"/>
      <w:divBdr>
        <w:top w:val="none" w:sz="0" w:space="0" w:color="auto"/>
        <w:left w:val="none" w:sz="0" w:space="0" w:color="auto"/>
        <w:bottom w:val="none" w:sz="0" w:space="0" w:color="auto"/>
        <w:right w:val="none" w:sz="0" w:space="0" w:color="auto"/>
      </w:divBdr>
    </w:div>
    <w:div w:id="1152140664">
      <w:bodyDiv w:val="1"/>
      <w:marLeft w:val="0"/>
      <w:marRight w:val="0"/>
      <w:marTop w:val="0"/>
      <w:marBottom w:val="0"/>
      <w:divBdr>
        <w:top w:val="none" w:sz="0" w:space="0" w:color="auto"/>
        <w:left w:val="none" w:sz="0" w:space="0" w:color="auto"/>
        <w:bottom w:val="none" w:sz="0" w:space="0" w:color="auto"/>
        <w:right w:val="none" w:sz="0" w:space="0" w:color="auto"/>
      </w:divBdr>
    </w:div>
    <w:div w:id="11714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7BE6-10AC-4AE0-A1D5-50B126C5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Антон Игоревич</dc:creator>
  <cp:keywords/>
  <dc:description/>
  <cp:lastModifiedBy>Кулиева Александра Сергеевна</cp:lastModifiedBy>
  <cp:revision>12</cp:revision>
  <dcterms:created xsi:type="dcterms:W3CDTF">2023-02-18T21:06:00Z</dcterms:created>
  <dcterms:modified xsi:type="dcterms:W3CDTF">2024-02-18T19:01:00Z</dcterms:modified>
</cp:coreProperties>
</file>