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95" w:rsidRDefault="008C1D95">
      <w:pPr>
        <w:pStyle w:val="BodyText"/>
        <w:spacing w:before="67" w:line="322" w:lineRule="exact"/>
        <w:ind w:left="720" w:right="713"/>
        <w:jc w:val="center"/>
      </w:pPr>
      <w:r>
        <w:t>РЕЦЕНЗИЯ</w:t>
      </w:r>
    </w:p>
    <w:p w:rsidR="008C1D95" w:rsidRDefault="008C1D95">
      <w:pPr>
        <w:pStyle w:val="BodyText"/>
        <w:spacing w:line="322" w:lineRule="exact"/>
        <w:ind w:left="724" w:right="713"/>
        <w:jc w:val="center"/>
        <w:rPr>
          <w:spacing w:val="-3"/>
        </w:rPr>
      </w:pPr>
      <w:r>
        <w:t>на</w:t>
      </w:r>
      <w:r>
        <w:rPr>
          <w:spacing w:val="-7"/>
        </w:rPr>
        <w:t xml:space="preserve"> </w:t>
      </w:r>
      <w:r>
        <w:t>научно-квалификационную</w:t>
      </w:r>
      <w:r>
        <w:rPr>
          <w:spacing w:val="-8"/>
        </w:rPr>
        <w:t xml:space="preserve"> </w:t>
      </w:r>
      <w:r>
        <w:t>работу</w:t>
      </w:r>
      <w:r>
        <w:rPr>
          <w:spacing w:val="-3"/>
        </w:rPr>
        <w:t xml:space="preserve"> </w:t>
      </w:r>
    </w:p>
    <w:p w:rsidR="008C1D95" w:rsidRDefault="008C1D95" w:rsidP="00607D26">
      <w:pPr>
        <w:pStyle w:val="BodyText"/>
        <w:spacing w:line="322" w:lineRule="exact"/>
        <w:ind w:left="724" w:right="713"/>
        <w:jc w:val="center"/>
        <w:rPr>
          <w:spacing w:val="-1"/>
        </w:rPr>
      </w:pPr>
      <w:r>
        <w:t>«</w:t>
      </w:r>
      <w:r w:rsidRPr="00607D26">
        <w:rPr>
          <w:b/>
        </w:rPr>
        <w:t>Фонестемные</w:t>
      </w:r>
      <w:r w:rsidRPr="00607D26">
        <w:rPr>
          <w:b/>
          <w:spacing w:val="-6"/>
        </w:rPr>
        <w:t xml:space="preserve"> </w:t>
      </w:r>
      <w:r w:rsidRPr="00607D26">
        <w:rPr>
          <w:b/>
        </w:rPr>
        <w:t>группы в</w:t>
      </w:r>
      <w:r w:rsidRPr="00607D26">
        <w:rPr>
          <w:b/>
          <w:spacing w:val="-6"/>
        </w:rPr>
        <w:t xml:space="preserve"> </w:t>
      </w:r>
      <w:r w:rsidRPr="00607D26">
        <w:rPr>
          <w:b/>
        </w:rPr>
        <w:t>германских</w:t>
      </w:r>
      <w:r w:rsidRPr="00607D26">
        <w:rPr>
          <w:b/>
          <w:spacing w:val="-8"/>
        </w:rPr>
        <w:t xml:space="preserve"> </w:t>
      </w:r>
      <w:r w:rsidRPr="00607D26">
        <w:rPr>
          <w:b/>
        </w:rPr>
        <w:t>языках</w:t>
      </w:r>
      <w:r>
        <w:t>»,</w:t>
      </w:r>
      <w:r>
        <w:rPr>
          <w:spacing w:val="-1"/>
        </w:rPr>
        <w:t xml:space="preserve"> </w:t>
      </w:r>
    </w:p>
    <w:p w:rsidR="008C1D95" w:rsidRDefault="008C1D95" w:rsidP="00607D26">
      <w:pPr>
        <w:pStyle w:val="BodyText"/>
        <w:spacing w:line="322" w:lineRule="exact"/>
        <w:ind w:left="724" w:right="713"/>
        <w:jc w:val="center"/>
      </w:pPr>
      <w:r>
        <w:t>выполненную</w:t>
      </w:r>
      <w:r>
        <w:rPr>
          <w:spacing w:val="-6"/>
        </w:rPr>
        <w:t xml:space="preserve"> </w:t>
      </w:r>
      <w:r>
        <w:t>аспиранткой</w:t>
      </w:r>
      <w:r>
        <w:rPr>
          <w:spacing w:val="-3"/>
        </w:rPr>
        <w:t xml:space="preserve"> </w:t>
      </w:r>
      <w:r>
        <w:t>Малышевой</w:t>
      </w:r>
      <w:r>
        <w:rPr>
          <w:spacing w:val="-5"/>
        </w:rPr>
        <w:t xml:space="preserve"> </w:t>
      </w:r>
      <w:r>
        <w:t>В.Н.</w:t>
      </w:r>
    </w:p>
    <w:p w:rsidR="008C1D95" w:rsidRDefault="008C1D95" w:rsidP="00607D26">
      <w:pPr>
        <w:pStyle w:val="BodyText"/>
        <w:spacing w:line="322" w:lineRule="exact"/>
        <w:ind w:left="724" w:right="713"/>
        <w:jc w:val="center"/>
      </w:pP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</w:t>
      </w:r>
      <w:r>
        <w:rPr>
          <w:spacing w:val="1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СПбГЭТУ</w:t>
      </w:r>
      <w:r>
        <w:rPr>
          <w:spacing w:val="5"/>
        </w:rPr>
        <w:t xml:space="preserve"> </w:t>
      </w:r>
      <w:r>
        <w:t>«ЛЭТИ»</w:t>
      </w:r>
    </w:p>
    <w:p w:rsidR="008C1D95" w:rsidRDefault="008C1D95">
      <w:pPr>
        <w:pStyle w:val="BodyText"/>
        <w:ind w:left="0"/>
      </w:pPr>
    </w:p>
    <w:p w:rsidR="008C1D95" w:rsidRDefault="008C1D95">
      <w:pPr>
        <w:pStyle w:val="BodyText"/>
        <w:ind w:right="109" w:firstLine="706"/>
        <w:jc w:val="both"/>
      </w:pPr>
      <w:r>
        <w:t>Рецензируемая</w:t>
      </w:r>
      <w:r>
        <w:rPr>
          <w:spacing w:val="1"/>
        </w:rPr>
        <w:t xml:space="preserve"> </w:t>
      </w:r>
      <w:r>
        <w:t>научно-квалификационная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Валерии Николаевны </w:t>
      </w:r>
      <w:r>
        <w:t>Малышевой посвящена</w:t>
      </w:r>
      <w:r>
        <w:rPr>
          <w:spacing w:val="1"/>
        </w:rPr>
        <w:t xml:space="preserve"> </w:t>
      </w:r>
      <w:r>
        <w:t>фонестемным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языках.</w:t>
      </w:r>
      <w:r>
        <w:rPr>
          <w:spacing w:val="1"/>
        </w:rPr>
        <w:t xml:space="preserve"> </w:t>
      </w:r>
      <w:r>
        <w:t>В исследовании</w:t>
      </w:r>
      <w:r>
        <w:rPr>
          <w:spacing w:val="-67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сопоставимым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исландского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67"/>
        </w:rPr>
        <w:t xml:space="preserve"> </w:t>
      </w:r>
      <w:r>
        <w:t xml:space="preserve">актуальной в свете поворота современной лингвистической мысли к изучению языкового иконизма. Не подлежит сомнению и </w:t>
      </w:r>
      <w:r>
        <w:rPr>
          <w:spacing w:val="2"/>
        </w:rPr>
        <w:t xml:space="preserve"> </w:t>
      </w:r>
      <w:r>
        <w:t xml:space="preserve">новизна исследования, вводящего в научный обиход сравнительное рассмотрение английского языка со значительно более редко исследуемыми в рамках фоносемантической проблематики языками (латинским, немецким и исландским). </w:t>
      </w:r>
    </w:p>
    <w:p w:rsidR="008C1D95" w:rsidRDefault="008C1D95">
      <w:pPr>
        <w:pStyle w:val="BodyText"/>
        <w:spacing w:line="242" w:lineRule="auto"/>
        <w:ind w:right="108" w:firstLine="706"/>
        <w:jc w:val="both"/>
      </w:pPr>
      <w:r>
        <w:t>Структура   научно-квалификационной   работы   определяется   целью</w:t>
      </w:r>
      <w:r>
        <w:rPr>
          <w:spacing w:val="1"/>
        </w:rPr>
        <w:t xml:space="preserve"> </w:t>
      </w:r>
      <w:r>
        <w:t>и задачами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rPr>
          <w:spacing w:val="-1"/>
        </w:rPr>
        <w:t>положений</w:t>
      </w:r>
      <w:r>
        <w:rPr>
          <w:spacing w:val="-10"/>
        </w:rPr>
        <w:t xml:space="preserve"> </w:t>
      </w:r>
      <w:r>
        <w:rPr>
          <w:spacing w:val="-1"/>
        </w:rPr>
        <w:t>учения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звукоизобразительности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языке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частном</w:t>
      </w:r>
      <w:r>
        <w:rPr>
          <w:spacing w:val="-13"/>
        </w:rPr>
        <w:t xml:space="preserve"> </w:t>
      </w:r>
      <w:r>
        <w:t>проявлении</w:t>
      </w:r>
    </w:p>
    <w:p w:rsidR="008C1D95" w:rsidRDefault="008C1D95">
      <w:pPr>
        <w:pStyle w:val="BodyText"/>
        <w:ind w:right="108"/>
        <w:jc w:val="both"/>
      </w:pPr>
      <w:r>
        <w:t>– фонестемном звуковом символизме. Затрагиваются вопросы определения</w:t>
      </w:r>
      <w:r>
        <w:rPr>
          <w:spacing w:val="1"/>
        </w:rPr>
        <w:t xml:space="preserve"> </w:t>
      </w:r>
      <w:r>
        <w:t>термина «фонестема», ее места в системе языка, связи и общих черт с иными</w:t>
      </w:r>
      <w:r>
        <w:rPr>
          <w:spacing w:val="1"/>
        </w:rPr>
        <w:t xml:space="preserve"> </w:t>
      </w:r>
      <w:r>
        <w:t>сочетаниями, которые так же, как и фонестема, демонстрируют связь 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</w:p>
    <w:p w:rsidR="008C1D95" w:rsidRDefault="008C1D95">
      <w:pPr>
        <w:pStyle w:val="BodyText"/>
        <w:ind w:right="106" w:firstLine="706"/>
        <w:jc w:val="both"/>
      </w:pPr>
      <w:r>
        <w:t>Во</w:t>
      </w:r>
      <w:r>
        <w:rPr>
          <w:spacing w:val="59"/>
        </w:rPr>
        <w:t xml:space="preserve"> </w:t>
      </w:r>
      <w:r>
        <w:t>второй</w:t>
      </w:r>
      <w:r>
        <w:rPr>
          <w:spacing w:val="58"/>
        </w:rPr>
        <w:t xml:space="preserve"> </w:t>
      </w:r>
      <w:r>
        <w:t>главе</w:t>
      </w:r>
      <w:r>
        <w:rPr>
          <w:spacing w:val="128"/>
        </w:rPr>
        <w:t xml:space="preserve"> </w:t>
      </w:r>
      <w:r>
        <w:t>рассматриваются</w:t>
      </w:r>
      <w:r>
        <w:rPr>
          <w:spacing w:val="132"/>
        </w:rPr>
        <w:t xml:space="preserve"> </w:t>
      </w:r>
      <w:r>
        <w:t>фонестемы</w:t>
      </w:r>
      <w:r>
        <w:rPr>
          <w:spacing w:val="128"/>
        </w:rPr>
        <w:t xml:space="preserve"> </w:t>
      </w:r>
      <w:r>
        <w:t>английского</w:t>
      </w:r>
      <w:r>
        <w:rPr>
          <w:spacing w:val="127"/>
        </w:rPr>
        <w:t xml:space="preserve"> </w:t>
      </w:r>
      <w:r>
        <w:t>языка.</w:t>
      </w:r>
      <w:r>
        <w:rPr>
          <w:spacing w:val="-68"/>
        </w:rPr>
        <w:t xml:space="preserve"> </w:t>
      </w:r>
      <w:r>
        <w:t>В частности, на материале</w:t>
      </w:r>
      <w:r>
        <w:rPr>
          <w:spacing w:val="1"/>
        </w:rPr>
        <w:t xml:space="preserve"> </w:t>
      </w:r>
      <w:r>
        <w:t>слов четырех фонестемных групп</w:t>
      </w:r>
      <w:r>
        <w:rPr>
          <w:spacing w:val="70"/>
        </w:rPr>
        <w:t xml:space="preserve"> </w:t>
      </w:r>
      <w:r>
        <w:t>(BR-, CR-,</w:t>
      </w:r>
      <w:r>
        <w:rPr>
          <w:spacing w:val="70"/>
        </w:rPr>
        <w:t xml:space="preserve"> </w:t>
      </w:r>
      <w:r>
        <w:t>FL-</w:t>
      </w:r>
      <w:r>
        <w:rPr>
          <w:spacing w:val="1"/>
        </w:rPr>
        <w:t xml:space="preserve"> </w:t>
      </w:r>
      <w:r>
        <w:t>и TW-), отобранных из Большого Оксфордского словаря, проводится анализ</w:t>
      </w:r>
      <w:r>
        <w:rPr>
          <w:spacing w:val="1"/>
        </w:rPr>
        <w:t xml:space="preserve"> </w:t>
      </w:r>
      <w:r>
        <w:t xml:space="preserve">семантической   структуры,  </w:t>
      </w:r>
      <w:r>
        <w:rPr>
          <w:spacing w:val="1"/>
        </w:rPr>
        <w:t xml:space="preserve"> </w:t>
      </w:r>
      <w:r>
        <w:t>этимологии,    фонемного   состава    фонестем.</w:t>
      </w:r>
      <w:r>
        <w:rPr>
          <w:spacing w:val="1"/>
        </w:rPr>
        <w:t xml:space="preserve"> </w:t>
      </w:r>
      <w:r>
        <w:t>В работе также предлагаются некоторые данные об ограниченном влиянии</w:t>
      </w:r>
      <w:r>
        <w:rPr>
          <w:spacing w:val="1"/>
        </w:rPr>
        <w:t xml:space="preserve"> </w:t>
      </w:r>
      <w:r>
        <w:t>латинских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французских</w:t>
      </w:r>
      <w:r>
        <w:rPr>
          <w:spacing w:val="1"/>
        </w:rPr>
        <w:t xml:space="preserve"> </w:t>
      </w:r>
      <w:r>
        <w:t>фонестем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фонестемных</w:t>
      </w:r>
      <w:r>
        <w:rPr>
          <w:spacing w:val="-4"/>
        </w:rPr>
        <w:t xml:space="preserve"> </w:t>
      </w:r>
      <w:r>
        <w:t>групп.</w:t>
      </w:r>
    </w:p>
    <w:p w:rsidR="008C1D95" w:rsidRDefault="008C1D95">
      <w:pPr>
        <w:pStyle w:val="BodyText"/>
        <w:ind w:right="110" w:firstLine="706"/>
        <w:jc w:val="both"/>
      </w:pPr>
      <w:r>
        <w:t>Третья глава предлагает сопоставительный анализ фонестемных групп</w:t>
      </w:r>
      <w:r>
        <w:rPr>
          <w:spacing w:val="1"/>
        </w:rPr>
        <w:t xml:space="preserve"> </w:t>
      </w:r>
      <w:r>
        <w:t>английского,</w:t>
      </w:r>
      <w:r>
        <w:rPr>
          <w:spacing w:val="1"/>
        </w:rPr>
        <w:t xml:space="preserve"> </w:t>
      </w:r>
      <w:r>
        <w:t>исландского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(FL-,</w:t>
      </w:r>
      <w:r>
        <w:rPr>
          <w:spacing w:val="1"/>
        </w:rPr>
        <w:t xml:space="preserve"> </w:t>
      </w:r>
      <w:r>
        <w:t>TW-/TV-/ZW-).</w:t>
      </w:r>
      <w:r>
        <w:rPr>
          <w:spacing w:val="1"/>
        </w:rPr>
        <w:t xml:space="preserve"> </w:t>
      </w:r>
      <w:r>
        <w:t>Исследование выделяет общие для трех языков черты, а также указывает на</w:t>
      </w:r>
      <w:r>
        <w:rPr>
          <w:spacing w:val="1"/>
        </w:rPr>
        <w:t xml:space="preserve"> </w:t>
      </w:r>
      <w:r>
        <w:t>различие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семантическом</w:t>
      </w:r>
      <w:r>
        <w:rPr>
          <w:spacing w:val="39"/>
        </w:rPr>
        <w:t xml:space="preserve"> </w:t>
      </w:r>
      <w:r>
        <w:t>развитии фонестемных</w:t>
      </w:r>
      <w:r>
        <w:rPr>
          <w:spacing w:val="43"/>
        </w:rPr>
        <w:t xml:space="preserve"> </w:t>
      </w:r>
      <w:r>
        <w:t>групп в этих языках,</w:t>
      </w:r>
      <w:r>
        <w:rPr>
          <w:spacing w:val="39"/>
        </w:rPr>
        <w:t xml:space="preserve"> </w:t>
      </w:r>
      <w:r>
        <w:t>несмотря</w:t>
      </w:r>
      <w:r>
        <w:rPr>
          <w:spacing w:val="40"/>
        </w:rPr>
        <w:t xml:space="preserve"> </w:t>
      </w:r>
      <w:r>
        <w:t>на то, что все три рассматриваемых языка являются германскими.</w:t>
      </w:r>
    </w:p>
    <w:p w:rsidR="008C1D95" w:rsidRDefault="008C1D95">
      <w:pPr>
        <w:pStyle w:val="BodyText"/>
        <w:ind w:right="108" w:firstLine="706"/>
        <w:jc w:val="both"/>
      </w:pPr>
      <w:r>
        <w:t xml:space="preserve">Научно-квалификационная работа Малышевой, в которой под оригинальным углом зрения рассматривается функционирование ряда материально сходных фонестем латинского языка в системе английского языка, а также предлагается убедительный сравнительный анализ функционирования  фонестемных групп в английском и родственных немецком и исландском языках, безусловно вносит важный вклад в осмысление проблемы фонестем в теоретическом плане. Здесь стоит особо подчеркнуть на редкость логичную и убедительную, а также основанную на вдумчивом осмыслении трудов целого ряда исследователей трактовку понятия фонестемы в первой главе исследования. </w:t>
      </w:r>
    </w:p>
    <w:p w:rsidR="008C1D95" w:rsidRDefault="008C1D95">
      <w:pPr>
        <w:pStyle w:val="BodyText"/>
        <w:ind w:right="108" w:firstLine="706"/>
        <w:jc w:val="both"/>
      </w:pPr>
      <w:r>
        <w:t xml:space="preserve">При мультиязыковом охвате материала требовалось особенно тщательно структурировать работу, с чем автор исследования блестяще справилась. Рецензент давно не читал столь композиционно выверенных научно-квалификационных работ. </w:t>
      </w:r>
    </w:p>
    <w:p w:rsidR="008C1D95" w:rsidRDefault="008C1D95" w:rsidP="00607D26">
      <w:pPr>
        <w:pStyle w:val="BodyText"/>
        <w:ind w:left="110" w:right="120" w:firstLine="770"/>
        <w:rPr>
          <w:spacing w:val="-7"/>
        </w:rPr>
      </w:pPr>
      <w:r>
        <w:t>Несомненным достоинством</w:t>
      </w:r>
      <w:r>
        <w:rPr>
          <w:spacing w:val="-6"/>
        </w:rPr>
        <w:t xml:space="preserve"> </w:t>
      </w:r>
      <w:r>
        <w:t xml:space="preserve">НКР является также четкая формулировка цели и задач исследования, </w:t>
      </w:r>
      <w:r>
        <w:rPr>
          <w:spacing w:val="-7"/>
        </w:rPr>
        <w:t>ясный стиль изложения.</w:t>
      </w:r>
    </w:p>
    <w:p w:rsidR="008C1D95" w:rsidRDefault="008C1D95" w:rsidP="005C4C40">
      <w:pPr>
        <w:pStyle w:val="BodyText"/>
        <w:tabs>
          <w:tab w:val="left" w:pos="2033"/>
          <w:tab w:val="left" w:pos="2513"/>
          <w:tab w:val="left" w:pos="3293"/>
          <w:tab w:val="left" w:pos="5030"/>
          <w:tab w:val="left" w:pos="7236"/>
          <w:tab w:val="left" w:pos="8003"/>
        </w:tabs>
        <w:ind w:left="0" w:right="114" w:firstLine="880"/>
      </w:pPr>
      <w:r>
        <w:t>В</w:t>
      </w:r>
      <w:r>
        <w:rPr>
          <w:spacing w:val="-1"/>
        </w:rPr>
        <w:t xml:space="preserve"> </w:t>
      </w:r>
      <w:r>
        <w:rPr>
          <w:spacing w:val="-67"/>
        </w:rPr>
        <w:t xml:space="preserve">  </w:t>
      </w:r>
      <w:r>
        <w:t>представленной к</w:t>
      </w:r>
      <w:r>
        <w:rPr>
          <w:spacing w:val="1"/>
        </w:rPr>
        <w:t xml:space="preserve"> </w:t>
      </w:r>
      <w:r>
        <w:t>рецензированию</w:t>
      </w:r>
      <w:r>
        <w:rPr>
          <w:spacing w:val="-2"/>
        </w:rPr>
        <w:t xml:space="preserve"> </w:t>
      </w:r>
      <w:r>
        <w:t>работы имеются и недостатки. Это, во-первых, мелкие небрежности в оформлении, неизбежно проявляющиеся в любой работе даже после внимательного ее вычитывания (скажем, стоило бы на стр. 8 работы дать,</w:t>
      </w:r>
      <w:r w:rsidRPr="00EF4E69">
        <w:t xml:space="preserve"> </w:t>
      </w:r>
      <w:r>
        <w:t xml:space="preserve">хотя бы в сноске, для специалистов в других областях языкознания расшифровку </w:t>
      </w:r>
      <w:r w:rsidRPr="00A521BC">
        <w:rPr>
          <w:spacing w:val="-2"/>
          <w:lang w:eastAsia="he-IL" w:bidi="he-IL"/>
        </w:rPr>
        <w:t>ИКС и ЭКС</w:t>
      </w:r>
      <w:r>
        <w:rPr>
          <w:spacing w:val="-2"/>
          <w:lang w:eastAsia="he-IL" w:bidi="he-IL"/>
        </w:rPr>
        <w:t xml:space="preserve"> как интра- и экстракинесизмов</w:t>
      </w:r>
      <w:r>
        <w:t xml:space="preserve">). </w:t>
      </w:r>
    </w:p>
    <w:p w:rsidR="008C1D95" w:rsidRDefault="008C1D95" w:rsidP="00607D26">
      <w:pPr>
        <w:pStyle w:val="BodyText"/>
        <w:tabs>
          <w:tab w:val="left" w:pos="2033"/>
          <w:tab w:val="left" w:pos="2513"/>
          <w:tab w:val="left" w:pos="3293"/>
          <w:tab w:val="left" w:pos="5030"/>
          <w:tab w:val="left" w:pos="7236"/>
          <w:tab w:val="left" w:pos="8003"/>
        </w:tabs>
        <w:ind w:left="110" w:right="114" w:firstLine="770"/>
      </w:pPr>
      <w:r>
        <w:t>Во-вторых, трактовка исландских фонестем представляется несколько менее глубокой, чем фонестем других языков, материал которых анализировался в исследовании. Очевидно, однако, что начатое Малышевой исследование исландского языка в фоносемантическом аспекте открывает многообещающие научные перспективы.</w:t>
      </w:r>
    </w:p>
    <w:p w:rsidR="008C1D95" w:rsidRDefault="008C1D95" w:rsidP="00607D26">
      <w:pPr>
        <w:pStyle w:val="BodyText"/>
        <w:tabs>
          <w:tab w:val="left" w:pos="2033"/>
          <w:tab w:val="left" w:pos="2513"/>
          <w:tab w:val="left" w:pos="3293"/>
          <w:tab w:val="left" w:pos="5030"/>
          <w:tab w:val="left" w:pos="7236"/>
          <w:tab w:val="left" w:pos="8003"/>
        </w:tabs>
        <w:ind w:left="110" w:right="114" w:firstLine="770"/>
      </w:pPr>
      <w:r>
        <w:t xml:space="preserve">Дальнейших теоретических обоснований ждет также рассмотрение соотношения между тем, что в работе обозначается термином «слова фонестемных групп», и термином «идеофоны», которым далеко не все исследователи называют лишь единицы, выявляемые в не-индоевропейских языках. </w:t>
      </w:r>
    </w:p>
    <w:p w:rsidR="008C1D95" w:rsidRDefault="008C1D95" w:rsidP="00607D26">
      <w:pPr>
        <w:pStyle w:val="BodyText"/>
        <w:tabs>
          <w:tab w:val="left" w:pos="2033"/>
          <w:tab w:val="left" w:pos="2513"/>
          <w:tab w:val="left" w:pos="3293"/>
          <w:tab w:val="left" w:pos="5030"/>
          <w:tab w:val="left" w:pos="7236"/>
          <w:tab w:val="left" w:pos="8003"/>
        </w:tabs>
        <w:ind w:left="110" w:right="114" w:firstLine="770"/>
      </w:pPr>
      <w:r>
        <w:t>Указанные мелкие недочеты и спорные частности не затрагивают существа работы, выполненной на высоком научном уровне.</w:t>
      </w:r>
    </w:p>
    <w:p w:rsidR="008C1D95" w:rsidRDefault="008C1D95">
      <w:pPr>
        <w:pStyle w:val="BodyText"/>
        <w:tabs>
          <w:tab w:val="left" w:pos="8427"/>
        </w:tabs>
        <w:spacing w:before="1"/>
        <w:ind w:right="103" w:firstLine="710"/>
        <w:jc w:val="both"/>
        <w:rPr>
          <w:spacing w:val="-5"/>
        </w:rPr>
      </w:pPr>
      <w:r>
        <w:t>Научно-квалификационная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r>
        <w:t>Малышевой</w:t>
      </w:r>
      <w:r>
        <w:rPr>
          <w:spacing w:val="1"/>
        </w:rPr>
        <w:t xml:space="preserve"> </w:t>
      </w:r>
      <w:r>
        <w:t>В.Н.,</w:t>
      </w:r>
      <w:r>
        <w:rPr>
          <w:spacing w:val="-67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завершенное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несомненно </w:t>
      </w:r>
      <w:r>
        <w:t>обладающее</w:t>
      </w:r>
      <w:r>
        <w:rPr>
          <w:spacing w:val="1"/>
        </w:rPr>
        <w:t xml:space="preserve"> </w:t>
      </w:r>
      <w:r>
        <w:t>научной новизной, теоретической значимостью и практической ценностью.</w:t>
      </w:r>
      <w:r>
        <w:rPr>
          <w:spacing w:val="1"/>
        </w:rPr>
        <w:t xml:space="preserve"> </w:t>
      </w:r>
      <w:r>
        <w:t>Научно-квалификационную</w:t>
      </w:r>
      <w:r>
        <w:rPr>
          <w:spacing w:val="-5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оценить</w:t>
      </w:r>
      <w:r>
        <w:rPr>
          <w:spacing w:val="-5"/>
        </w:rPr>
        <w:t xml:space="preserve"> </w:t>
      </w:r>
    </w:p>
    <w:p w:rsidR="008C1D95" w:rsidRDefault="008C1D95" w:rsidP="00607D26">
      <w:pPr>
        <w:pStyle w:val="BodyText"/>
        <w:tabs>
          <w:tab w:val="left" w:pos="8427"/>
        </w:tabs>
        <w:spacing w:before="1"/>
        <w:ind w:right="103" w:hanging="9"/>
        <w:jc w:val="both"/>
      </w:pPr>
      <w:r w:rsidRPr="0058600D">
        <w:t>на</w:t>
      </w:r>
      <w:r w:rsidRPr="0058600D">
        <w:rPr>
          <w:spacing w:val="-2"/>
        </w:rPr>
        <w:t xml:space="preserve">  </w:t>
      </w:r>
      <w:r w:rsidRPr="0058600D">
        <w:t>«отлично».</w:t>
      </w:r>
    </w:p>
    <w:p w:rsidR="008C1D95" w:rsidRDefault="008C1D95" w:rsidP="00607D26">
      <w:pPr>
        <w:ind w:hanging="9"/>
        <w:jc w:val="both"/>
      </w:pPr>
    </w:p>
    <w:p w:rsidR="008C1D95" w:rsidRDefault="008C1D95" w:rsidP="00607D26">
      <w:pPr>
        <w:ind w:hanging="9"/>
        <w:jc w:val="both"/>
      </w:pPr>
    </w:p>
    <w:p w:rsidR="008C1D95" w:rsidRDefault="008C1D95" w:rsidP="00607D26">
      <w:pPr>
        <w:ind w:hanging="9"/>
        <w:jc w:val="both"/>
      </w:pPr>
    </w:p>
    <w:p w:rsidR="008C1D95" w:rsidRDefault="008C1D95" w:rsidP="00607D26">
      <w:pPr>
        <w:pStyle w:val="BodyText"/>
        <w:spacing w:before="67" w:line="322" w:lineRule="exact"/>
      </w:pPr>
      <w:r>
        <w:t>К.филол.н.,</w:t>
      </w:r>
      <w:r>
        <w:rPr>
          <w:spacing w:val="-4"/>
        </w:rPr>
        <w:t xml:space="preserve"> </w:t>
      </w:r>
      <w:r>
        <w:t>доцент</w:t>
      </w:r>
    </w:p>
    <w:p w:rsidR="008C1D95" w:rsidRDefault="008C1D95" w:rsidP="00607D26">
      <w:pPr>
        <w:pStyle w:val="BodyText"/>
        <w:ind w:right="3983"/>
      </w:pPr>
      <w:r>
        <w:t>кафедры</w:t>
      </w:r>
      <w:r>
        <w:rPr>
          <w:spacing w:val="-7"/>
        </w:rPr>
        <w:t xml:space="preserve"> </w:t>
      </w:r>
      <w:r>
        <w:t>скандинавской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нидерландской</w:t>
      </w:r>
      <w:r>
        <w:rPr>
          <w:spacing w:val="-67"/>
        </w:rPr>
        <w:t xml:space="preserve"> </w:t>
      </w:r>
      <w:r>
        <w:t>филологии</w:t>
      </w:r>
      <w:r>
        <w:rPr>
          <w:spacing w:val="-6"/>
        </w:rPr>
        <w:t xml:space="preserve"> </w:t>
      </w:r>
      <w:r>
        <w:t>филологического</w:t>
      </w:r>
      <w:r>
        <w:rPr>
          <w:spacing w:val="-7"/>
        </w:rPr>
        <w:t xml:space="preserve"> </w:t>
      </w:r>
      <w:r>
        <w:t>факультета</w:t>
      </w:r>
    </w:p>
    <w:p w:rsidR="008C1D95" w:rsidRDefault="008C1D95" w:rsidP="00EF4E69">
      <w:pPr>
        <w:pStyle w:val="BodyText"/>
        <w:tabs>
          <w:tab w:val="left" w:pos="7716"/>
        </w:tabs>
        <w:spacing w:line="321" w:lineRule="exact"/>
        <w:sectPr w:rsidR="008C1D95">
          <w:type w:val="continuous"/>
          <w:pgSz w:w="11900" w:h="16840"/>
          <w:pgMar w:top="1040" w:right="740" w:bottom="280" w:left="1580" w:header="720" w:footer="720" w:gutter="0"/>
          <w:cols w:space="720"/>
        </w:sectPr>
      </w:pPr>
      <w:r>
        <w:t>СПбГУ</w:t>
      </w:r>
      <w:r>
        <w:tab/>
        <w:t>Ливанова</w:t>
      </w:r>
      <w:r>
        <w:rPr>
          <w:spacing w:val="-3"/>
        </w:rPr>
        <w:t xml:space="preserve"> </w:t>
      </w:r>
      <w:r>
        <w:t>А.Н</w:t>
      </w:r>
    </w:p>
    <w:p w:rsidR="008C1D95" w:rsidRDefault="008C1D95" w:rsidP="001960A9">
      <w:pPr>
        <w:pStyle w:val="BodyText"/>
        <w:tabs>
          <w:tab w:val="left" w:pos="7716"/>
        </w:tabs>
        <w:spacing w:line="321" w:lineRule="exact"/>
        <w:ind w:left="0"/>
      </w:pPr>
    </w:p>
    <w:sectPr w:rsidR="008C1D95" w:rsidSect="00C95019">
      <w:pgSz w:w="1190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019"/>
    <w:rsid w:val="00174506"/>
    <w:rsid w:val="001960A9"/>
    <w:rsid w:val="002610F9"/>
    <w:rsid w:val="004958E3"/>
    <w:rsid w:val="004B0A8C"/>
    <w:rsid w:val="004D7975"/>
    <w:rsid w:val="0058600D"/>
    <w:rsid w:val="005C4C40"/>
    <w:rsid w:val="00607D26"/>
    <w:rsid w:val="007045AC"/>
    <w:rsid w:val="00802870"/>
    <w:rsid w:val="00860029"/>
    <w:rsid w:val="008C1D95"/>
    <w:rsid w:val="00A521BC"/>
    <w:rsid w:val="00A81DF9"/>
    <w:rsid w:val="00AA205A"/>
    <w:rsid w:val="00AA50CB"/>
    <w:rsid w:val="00C0149D"/>
    <w:rsid w:val="00C95019"/>
    <w:rsid w:val="00CC0976"/>
    <w:rsid w:val="00E53885"/>
    <w:rsid w:val="00ED56BA"/>
    <w:rsid w:val="00EF4E69"/>
    <w:rsid w:val="00F2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1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95019"/>
    <w:pPr>
      <w:ind w:left="1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7975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C95019"/>
  </w:style>
  <w:style w:type="paragraph" w:customStyle="1" w:styleId="TableParagraph">
    <w:name w:val="Table Paragraph"/>
    <w:basedOn w:val="Normal"/>
    <w:uiPriority w:val="99"/>
    <w:rsid w:val="00C95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3</Pages>
  <Words>657</Words>
  <Characters>3745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Nataly Stepanova</dc:creator>
  <cp:keywords/>
  <dc:description/>
  <cp:lastModifiedBy>Alexandra</cp:lastModifiedBy>
  <cp:revision>4</cp:revision>
  <dcterms:created xsi:type="dcterms:W3CDTF">2024-05-23T07:17:00Z</dcterms:created>
  <dcterms:modified xsi:type="dcterms:W3CDTF">2024-05-27T19:52:00Z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