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A" w:rsidRDefault="00FA7E56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ГЕОПОЛИТИЧЕСКАЯ РЕГИОНАЛИЗАЦИЯ </w:t>
      </w:r>
      <w:r>
        <w:rPr>
          <w:rFonts w:ascii="Times New Roman" w:hAnsi="Times New Roman" w:cs="Times New Roman"/>
          <w:sz w:val="26"/>
          <w:szCs w:val="26"/>
          <w:highlight w:val="green"/>
          <w:lang w:eastAsia="ru-RU"/>
        </w:rPr>
        <w:t>НА БАЛТИКЕ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red"/>
          <w:lang w:eastAsia="ru-RU"/>
        </w:rPr>
        <w:t>В БАЛТИЙСКОМ РЕГИОНЕ</w:t>
      </w:r>
      <w:r>
        <w:rPr>
          <w:rFonts w:ascii="Times New Roman" w:hAnsi="Times New Roman" w:cs="Times New Roman"/>
          <w:sz w:val="26"/>
          <w:szCs w:val="26"/>
          <w:lang w:eastAsia="ru-RU"/>
        </w:rPr>
        <w:t>: СОДЕРЖАНИЕ И ИСТОРИЧЕСКАЯ ДИНАМИКА</w:t>
      </w:r>
    </w:p>
    <w:p w:rsidR="00714CBA" w:rsidRDefault="00714CBA">
      <w:pPr>
        <w:overflowPunct w:val="0"/>
        <w:spacing w:after="0" w:line="240" w:lineRule="auto"/>
        <w:ind w:firstLine="657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</w:p>
    <w:p w:rsidR="00714CBA" w:rsidRDefault="00FA7E56">
      <w:pPr>
        <w:spacing w:after="160" w:line="259" w:lineRule="auto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Автор</w:t>
      </w:r>
      <w:proofErr w:type="gramStart"/>
      <w:r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¹</w:t>
      </w:r>
    </w:p>
    <w:p w:rsidR="00714CBA" w:rsidRDefault="00FA7E56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Автор</w:t>
      </w:r>
      <w:proofErr w:type="gramStart"/>
      <w:r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²</w:t>
      </w:r>
    </w:p>
    <w:p w:rsidR="00714CBA" w:rsidRDefault="00714CBA">
      <w:pPr>
        <w:spacing w:after="160" w:line="259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4CBA" w:rsidRDefault="00FA7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¹ ***</w:t>
      </w:r>
      <w:bookmarkStart w:id="0" w:name="_GoBack"/>
      <w:bookmarkEnd w:id="0"/>
    </w:p>
    <w:p w:rsidR="00714CBA" w:rsidRDefault="00714CBA">
      <w:pPr>
        <w:rPr>
          <w:rFonts w:ascii="Times New Roman" w:hAnsi="Times New Roman" w:cs="Times New Roman"/>
          <w:sz w:val="26"/>
          <w:szCs w:val="26"/>
        </w:rPr>
      </w:pPr>
    </w:p>
    <w:p w:rsidR="00714CBA" w:rsidRDefault="00FA7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² ***</w:t>
      </w:r>
    </w:p>
    <w:p w:rsidR="00714CBA" w:rsidRDefault="00714CBA">
      <w:pPr>
        <w:rPr>
          <w:rFonts w:ascii="Times New Roman" w:hAnsi="Times New Roman" w:cs="Times New Roman"/>
          <w:sz w:val="26"/>
          <w:szCs w:val="26"/>
        </w:rPr>
      </w:pPr>
    </w:p>
    <w:p w:rsidR="00714CBA" w:rsidRDefault="00FA7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© Авторы, 2023</w:t>
      </w:r>
    </w:p>
    <w:p w:rsidR="00714CBA" w:rsidRDefault="00714CBA">
      <w:pPr>
        <w:pStyle w:val="a7"/>
        <w:shd w:val="clear" w:color="auto" w:fill="FEFEFE"/>
        <w:spacing w:beforeAutospacing="0" w:after="240" w:afterAutospacing="0"/>
        <w:ind w:firstLine="657"/>
        <w:rPr>
          <w:i/>
          <w:iCs/>
          <w:sz w:val="26"/>
          <w:szCs w:val="26"/>
        </w:rPr>
      </w:pPr>
    </w:p>
    <w:p w:rsidR="00714CBA" w:rsidRDefault="00FA7E56">
      <w:pPr>
        <w:pStyle w:val="a7"/>
        <w:keepNext/>
        <w:shd w:val="clear" w:color="auto" w:fill="FEFEFE"/>
        <w:overflowPunct w:val="0"/>
        <w:spacing w:beforeAutospacing="0" w:after="0" w:afterAutospacing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 статье рассматриваются теоретические основы исследования процессов регионализации и геополитической регионализации </w:t>
      </w:r>
      <w:r>
        <w:rPr>
          <w:i/>
          <w:iCs/>
          <w:sz w:val="26"/>
          <w:szCs w:val="26"/>
          <w:highlight w:val="red"/>
        </w:rPr>
        <w:t xml:space="preserve">с позиций </w:t>
      </w:r>
      <w:proofErr w:type="spellStart"/>
      <w:r>
        <w:rPr>
          <w:i/>
          <w:iCs/>
          <w:sz w:val="26"/>
          <w:szCs w:val="26"/>
          <w:highlight w:val="red"/>
        </w:rPr>
        <w:t>деятельностно-геопространственного</w:t>
      </w:r>
      <w:proofErr w:type="spellEnd"/>
      <w:r>
        <w:rPr>
          <w:i/>
          <w:iCs/>
          <w:sz w:val="26"/>
          <w:szCs w:val="26"/>
          <w:highlight w:val="red"/>
        </w:rPr>
        <w:t xml:space="preserve"> подхода</w:t>
      </w:r>
      <w:r>
        <w:rPr>
          <w:i/>
          <w:iCs/>
          <w:sz w:val="26"/>
          <w:szCs w:val="26"/>
        </w:rPr>
        <w:t xml:space="preserve">. Основными теоретическими объектами исследования </w:t>
      </w:r>
      <w:r>
        <w:rPr>
          <w:i/>
          <w:iCs/>
          <w:sz w:val="26"/>
          <w:szCs w:val="26"/>
          <w:highlight w:val="red"/>
        </w:rPr>
        <w:t>в этом случае</w:t>
      </w:r>
      <w:r>
        <w:rPr>
          <w:i/>
          <w:iCs/>
          <w:sz w:val="26"/>
          <w:szCs w:val="26"/>
        </w:rPr>
        <w:t xml:space="preserve"> предстают системообразу</w:t>
      </w:r>
      <w:r>
        <w:rPr>
          <w:i/>
          <w:iCs/>
          <w:sz w:val="26"/>
          <w:szCs w:val="26"/>
        </w:rPr>
        <w:t>ющие (</w:t>
      </w:r>
      <w:proofErr w:type="spellStart"/>
      <w:r>
        <w:rPr>
          <w:i/>
          <w:iCs/>
          <w:sz w:val="26"/>
          <w:szCs w:val="26"/>
        </w:rPr>
        <w:t>регионообразующие</w:t>
      </w:r>
      <w:proofErr w:type="spellEnd"/>
      <w:r>
        <w:rPr>
          <w:i/>
          <w:iCs/>
          <w:sz w:val="26"/>
          <w:szCs w:val="26"/>
        </w:rPr>
        <w:t>) общественно-</w:t>
      </w:r>
      <w:proofErr w:type="spellStart"/>
      <w:r>
        <w:rPr>
          <w:i/>
          <w:iCs/>
          <w:sz w:val="26"/>
          <w:szCs w:val="26"/>
        </w:rPr>
        <w:t>геоадаптационные</w:t>
      </w:r>
      <w:proofErr w:type="spellEnd"/>
      <w:r>
        <w:rPr>
          <w:i/>
          <w:iCs/>
          <w:sz w:val="26"/>
          <w:szCs w:val="26"/>
        </w:rPr>
        <w:t xml:space="preserve"> и геополитические отношения </w:t>
      </w:r>
      <w:r>
        <w:rPr>
          <w:i/>
          <w:iCs/>
          <w:sz w:val="26"/>
          <w:szCs w:val="26"/>
          <w:highlight w:val="red"/>
        </w:rPr>
        <w:t>соответственно</w:t>
      </w:r>
      <w:r>
        <w:rPr>
          <w:i/>
          <w:iCs/>
          <w:sz w:val="26"/>
          <w:szCs w:val="26"/>
        </w:rPr>
        <w:t>. Рассматриваются основные разновидности трансграничной и транснациональной геополитической регионализации как проявления специфических геополитических отношени</w:t>
      </w:r>
      <w:r>
        <w:rPr>
          <w:i/>
          <w:iCs/>
          <w:sz w:val="26"/>
          <w:szCs w:val="26"/>
        </w:rPr>
        <w:t xml:space="preserve">й. Они </w:t>
      </w:r>
      <w:proofErr w:type="spellStart"/>
      <w:r>
        <w:rPr>
          <w:i/>
          <w:iCs/>
          <w:sz w:val="26"/>
          <w:szCs w:val="26"/>
        </w:rPr>
        <w:t>типологизированы</w:t>
      </w:r>
      <w:proofErr w:type="spellEnd"/>
      <w:r>
        <w:rPr>
          <w:i/>
          <w:iCs/>
          <w:sz w:val="26"/>
          <w:szCs w:val="26"/>
        </w:rPr>
        <w:t xml:space="preserve"> по масштабу, функциональной сфере, историко-географическим особенностям, по </w:t>
      </w:r>
      <w:proofErr w:type="spellStart"/>
      <w:r>
        <w:rPr>
          <w:i/>
          <w:iCs/>
          <w:sz w:val="26"/>
          <w:szCs w:val="26"/>
        </w:rPr>
        <w:t>комплиментарности</w:t>
      </w:r>
      <w:proofErr w:type="spellEnd"/>
      <w:r>
        <w:rPr>
          <w:i/>
          <w:iCs/>
          <w:sz w:val="26"/>
          <w:szCs w:val="26"/>
        </w:rPr>
        <w:t xml:space="preserve">, по правовому статусу и по </w:t>
      </w:r>
      <w:proofErr w:type="spellStart"/>
      <w:r>
        <w:rPr>
          <w:i/>
          <w:iCs/>
          <w:sz w:val="26"/>
          <w:szCs w:val="26"/>
        </w:rPr>
        <w:t>геопространственным</w:t>
      </w:r>
      <w:proofErr w:type="spellEnd"/>
      <w:r>
        <w:rPr>
          <w:i/>
          <w:iCs/>
          <w:sz w:val="26"/>
          <w:szCs w:val="26"/>
        </w:rPr>
        <w:t xml:space="preserve"> особенностям, в том числе применительно к Балтийскому региону. Важным вопросом для исследов</w:t>
      </w:r>
      <w:r>
        <w:rPr>
          <w:i/>
          <w:iCs/>
          <w:sz w:val="26"/>
          <w:szCs w:val="26"/>
        </w:rPr>
        <w:t>ания какого-либо региона является его выделение и определение его пространственных пределов. До сих пор нет однозначного ответа на вопрос о границах Балтийского региона. Авторы обсуждают основные имеющиеся подходы к его решению, отмечая их достоинства и не</w:t>
      </w:r>
      <w:r>
        <w:rPr>
          <w:i/>
          <w:iCs/>
          <w:sz w:val="26"/>
          <w:szCs w:val="26"/>
        </w:rPr>
        <w:t>достатки, особенно применительно к геополитическим исследованиям. В заключительной части статьи рассматриваются исторические геополитические эпохи эволюции Балтийского региона, на протяжении нескольких веков кардинально менявшего свое геополитическое содер</w:t>
      </w:r>
      <w:r>
        <w:rPr>
          <w:i/>
          <w:iCs/>
          <w:sz w:val="26"/>
          <w:szCs w:val="26"/>
        </w:rPr>
        <w:t>жание. Особо обращается внимание на современное состояние Балтийской региональной геополитической общности, классифицируемой в качестве одного из конфликтных в Евразийской дуге нестабильности как геополитическом макрорегионе.</w:t>
      </w:r>
    </w:p>
    <w:p w:rsidR="00714CBA" w:rsidRDefault="00714CBA">
      <w:pPr>
        <w:pStyle w:val="a7"/>
        <w:keepNext/>
        <w:shd w:val="clear" w:color="auto" w:fill="FEFEFE"/>
        <w:overflowPunct w:val="0"/>
        <w:spacing w:beforeAutospacing="0" w:after="0" w:afterAutospacing="0"/>
        <w:ind w:firstLine="662"/>
        <w:jc w:val="both"/>
        <w:rPr>
          <w:i/>
          <w:iCs/>
          <w:sz w:val="26"/>
          <w:szCs w:val="26"/>
        </w:rPr>
      </w:pPr>
    </w:p>
    <w:p w:rsidR="00714CBA" w:rsidRDefault="00FA7E5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Ключевые слова:</w:t>
      </w:r>
    </w:p>
    <w:p w:rsidR="00714CBA" w:rsidRDefault="00FA7E5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политическая </w:t>
      </w:r>
      <w:r>
        <w:rPr>
          <w:rFonts w:ascii="Times New Roman" w:hAnsi="Times New Roman" w:cs="Times New Roman"/>
          <w:sz w:val="26"/>
          <w:szCs w:val="26"/>
        </w:rPr>
        <w:t xml:space="preserve">география, геополитика, геополитический регион, геополитические эпохи, </w:t>
      </w:r>
      <w:r>
        <w:rPr>
          <w:rFonts w:ascii="Times New Roman" w:hAnsi="Times New Roman" w:cs="Times New Roman"/>
          <w:sz w:val="26"/>
          <w:szCs w:val="26"/>
          <w:highlight w:val="red"/>
        </w:rPr>
        <w:t>границы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green"/>
        </w:rPr>
        <w:t>Балтийский регион</w:t>
      </w:r>
    </w:p>
    <w:p w:rsidR="00714CBA" w:rsidRDefault="00714CBA">
      <w:pPr>
        <w:overflowPunct w:val="0"/>
        <w:spacing w:after="0" w:line="240" w:lineRule="auto"/>
        <w:ind w:firstLine="65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14CBA" w:rsidRDefault="00FA7E56">
      <w:pPr>
        <w:overflowPunct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Введение</w:t>
      </w:r>
    </w:p>
    <w:p w:rsidR="00714CBA" w:rsidRDefault="00714CBA">
      <w:pPr>
        <w:overflowPunct w:val="0"/>
        <w:spacing w:after="0" w:line="240" w:lineRule="auto"/>
        <w:ind w:firstLine="65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В географических и обществоведческих науках (регионоведении,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регионалистике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, политологии и др.)  понятия «регион» и «регионализация» активно 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применяются, но имеют разнообразную трактовку. Они стали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междисциплинарыми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 понятиями, обозначающими особый тип территориально-общественных процессов и их результатов. 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При этом утвердились собственные определения этих явлений и производная от них терминоло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гия, иногда противоречащая ранее принятой.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Так, в общественной географии одновременно употребляются «регион, региональный» и «район, районный».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Но на наш взгляд, именно методологический и теоретический потенциал общественной географии позволяет обеспечить 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единое теоретическое понимание процесса регионализации общества и его результатов – регионов.</w:t>
      </w: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Значительный исследовательский 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интерес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как в России, так и за рубежом вызывает Балтийский регион (БР), интегрирующий в себе множество функциональных и исторически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х «слоев»: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геоэкологический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этнокультурологический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, социальный,  геоэкономический, геостратегический, геополитический. В различных исследованиях проявился ряд спорных вопросов, в частности принципы выделения БР и определение его пространственных границ. В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данной статье мы отметим основные из них, а также рассмотрим ключевые теоретические аспекты изучения регионализации вообще и геополитической в частности с позиций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деятельностно-геопространственного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подхода. Обсудим остающиеся дискуссионными вопросы содерж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ания и делимитации БР, а также ключевые особенности его исторического геополитического развития и современного состояния.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Предмет настоящего исследования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– геополитическая регионализация в Балтийском регионе, ц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ель исследования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– выявление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геопространственных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 особенности этой регионализации с точки зрения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деятельностно-геопространственного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 подхода. Соответственно, з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адачами исследования являются: интерпретация названного подхода 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для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 применительно 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к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 процессам регионализации,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типологизация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 на э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той основе трансграничных регионов, в том числе применительно к Балтийскому пространству, определение содержания и границ Балтийского региона и историческая периодизация его геополитического развития.</w:t>
      </w: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   </w:t>
      </w:r>
    </w:p>
    <w:p w:rsidR="00714CBA" w:rsidRDefault="00FA7E56">
      <w:pPr>
        <w:overflowPunct w:val="0"/>
        <w:spacing w:after="0" w:line="240" w:lineRule="auto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  <w:t>Геополитическая регионализация общества: теоретиче</w:t>
      </w:r>
      <w:r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  <w:t>ский аспект</w:t>
      </w:r>
    </w:p>
    <w:p w:rsidR="00714CBA" w:rsidRDefault="00714CBA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</w:pP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Политико-географические исследования очень разнообразны как по тематике, так и по методологии. Они отражают сложное, многомерное содержание политико-географического и геополитического пространства. В отечественной политической географии сложил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ись несколько теоретических подходов или концепций, пытающиеся решить задачу теоретического обобщения обширного эмпирического материала. </w:t>
      </w: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Прежде всего, это концепция территориально-политической организации общества (Колосов 1992), которая выросла из конкре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тизации более общей концепции территориальной организации общества вообще. С этой точки зрения, предметом политической географии является процесс территориально-политической организации общества и его результаты – территориально-политические системы, а их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элементарной единицей – «политико-географическое место». Эта концепция наиболее популярна и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операциональна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, поскольку приближает предмет науки к 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наблюдаемому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геопространству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 xml:space="preserve">, которое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lastRenderedPageBreak/>
        <w:t>интерпретируется через мозаику взаимосвязанных политико-географических ме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ст. («Место» можно увидеть, «потрогать», изучить).</w:t>
      </w: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highlight w:val="green"/>
          <w:lang w:eastAsia="ru-RU"/>
        </w:rPr>
        <w:t>Но существуют и альтернативные точки зрения. В частности, авторы в данной работе будут опираться на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концепцию геополитической самоорганизации общества (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Каледин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1996) на основе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деятельностно-геопространстве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нного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подхода. Этот 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подход интегрирует представления об обществе как самоорганизующейся системе и о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геопространстве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(земном пространстве – системе природных, антропогенных и гуманитарных подпространств), между которыми в ходе информационного, энергетическо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го и вещественного взаимодействия устанавливаются отношения взаимной адаптации – </w:t>
      </w:r>
      <w:r>
        <w:rPr>
          <w:rFonts w:ascii="Times New Roman" w:eastAsia="TimesNewRomanPS-ItalicMT" w:hAnsi="Times New Roman" w:cs="Times New Roman"/>
          <w:i/>
          <w:sz w:val="26"/>
          <w:szCs w:val="26"/>
          <w:lang w:eastAsia="ru-RU"/>
        </w:rPr>
        <w:t>общественно-</w:t>
      </w:r>
      <w:proofErr w:type="spellStart"/>
      <w:r>
        <w:rPr>
          <w:rFonts w:ascii="Times New Roman" w:eastAsia="TimesNewRomanPS-ItalicMT" w:hAnsi="Times New Roman" w:cs="Times New Roman"/>
          <w:i/>
          <w:sz w:val="26"/>
          <w:szCs w:val="26"/>
          <w:lang w:eastAsia="ru-RU"/>
        </w:rPr>
        <w:t>геоадаптационые</w:t>
      </w:r>
      <w:proofErr w:type="spellEnd"/>
      <w:r>
        <w:rPr>
          <w:rFonts w:ascii="Times New Roman" w:eastAsia="TimesNewRomanPS-ItalicMT" w:hAnsi="Times New Roman" w:cs="Times New Roman"/>
          <w:i/>
          <w:sz w:val="26"/>
          <w:szCs w:val="26"/>
          <w:lang w:eastAsia="ru-RU"/>
        </w:rPr>
        <w:t xml:space="preserve"> отношения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.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В этом свете общественная география предстаёт как наука о таких отношениях, как раз и составляющих содержание 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геопространственной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 самоо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рганизации общества и конкретных  общественно-географических явлений.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Геопространство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, являясь одним из неотъемлемых «измерений»,  необходимым условием и средой различных видов общественной деятельности, равно как и природных процессов, придает им через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ге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оадаптационные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 отношения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геопространственные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 (географические) формы [Автор 2014; Автор</w:t>
      </w:r>
      <w:proofErr w:type="gram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2</w:t>
      </w:r>
      <w:proofErr w:type="gramEnd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 2017 с. 56-65]. Причем антропогенный фактор постепенно становится детерминирующей силой в эволюции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геопространства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 xml:space="preserve">, насыщая и «уплотняя» его всё новыми материальными и </w:t>
      </w:r>
      <w:r>
        <w:rPr>
          <w:rFonts w:ascii="Times New Roman" w:eastAsia="TimesNewRomanPS-ItalicMT" w:hAnsi="Times New Roman" w:cs="Times New Roman"/>
          <w:iCs/>
          <w:sz w:val="26"/>
          <w:szCs w:val="26"/>
          <w:highlight w:val="red"/>
          <w:lang w:eastAsia="ru-RU"/>
        </w:rPr>
        <w:t>духовными результатами.</w:t>
      </w: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В процессе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геопространственной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самоорганизации общества и под влиянием совокупности локализованных в определенных частях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геопространства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конкретно-исторических условий и факторов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внутристранового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и международного характера,  происходит особый процесс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взаим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оадаптации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общества и 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геопространства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, в результате чего формируются специфические системы общественно-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геоадаптационных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отношений – происходит региональная самоорганизация общества или «регионализация». Её содержание составляют  устойчивые </w:t>
      </w:r>
      <w:proofErr w:type="spellStart"/>
      <w:r>
        <w:rPr>
          <w:rFonts w:ascii="Times New Roman" w:eastAsia="TimesNewRomanPS-ItalicMT" w:hAnsi="Times New Roman" w:cs="Times New Roman"/>
          <w:i/>
          <w:sz w:val="26"/>
          <w:szCs w:val="26"/>
          <w:lang w:eastAsia="ru-RU"/>
        </w:rPr>
        <w:t>регионообразующ</w:t>
      </w:r>
      <w:r>
        <w:rPr>
          <w:rFonts w:ascii="Times New Roman" w:eastAsia="TimesNewRomanPS-ItalicMT" w:hAnsi="Times New Roman" w:cs="Times New Roman"/>
          <w:i/>
          <w:sz w:val="26"/>
          <w:szCs w:val="26"/>
          <w:lang w:eastAsia="ru-RU"/>
        </w:rPr>
        <w:t>ие</w:t>
      </w:r>
      <w:proofErr w:type="spellEnd"/>
      <w:r>
        <w:rPr>
          <w:rFonts w:ascii="Times New Roman" w:eastAsia="TimesNewRomanPS-ItalicMT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геоадаптационные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отношения, складывающиеся между субъектами-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акторами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различных видов деятельности (государствами, административными единицами, международными организациями, корпорациями и др.) и формирующие регионы как общественно-</w:t>
      </w:r>
      <w:proofErr w:type="spellStart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геопространственные</w:t>
      </w:r>
      <w:proofErr w:type="spellEnd"/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 си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стемы.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политической </w:t>
      </w:r>
      <w:r>
        <w:rPr>
          <w:rFonts w:ascii="Times New Roman" w:hAnsi="Times New Roman" w:cs="Times New Roman"/>
          <w:sz w:val="26"/>
          <w:szCs w:val="26"/>
          <w:highlight w:val="red"/>
        </w:rPr>
        <w:t xml:space="preserve">же </w:t>
      </w:r>
      <w:r>
        <w:rPr>
          <w:rFonts w:ascii="Times New Roman" w:hAnsi="Times New Roman" w:cs="Times New Roman"/>
          <w:sz w:val="26"/>
          <w:szCs w:val="26"/>
        </w:rPr>
        <w:t xml:space="preserve">географии исследуется частный случай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геоадаптационных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отношений, а именно – </w:t>
      </w:r>
      <w:r>
        <w:rPr>
          <w:rFonts w:ascii="Times New Roman" w:hAnsi="Times New Roman" w:cs="Times New Roman"/>
          <w:i/>
          <w:iCs/>
          <w:sz w:val="26"/>
          <w:szCs w:val="26"/>
        </w:rPr>
        <w:t>геополитические отношения</w:t>
      </w:r>
      <w:r>
        <w:rPr>
          <w:rFonts w:ascii="Times New Roman" w:hAnsi="Times New Roman" w:cs="Times New Roman"/>
          <w:sz w:val="26"/>
          <w:szCs w:val="26"/>
        </w:rPr>
        <w:t xml:space="preserve">, складывающиеся между условиями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политической деятельностью общества или отдельных политических субъектов. Приче</w:t>
      </w:r>
      <w:r>
        <w:rPr>
          <w:rFonts w:ascii="Times New Roman" w:hAnsi="Times New Roman" w:cs="Times New Roman"/>
          <w:sz w:val="26"/>
          <w:szCs w:val="26"/>
        </w:rPr>
        <w:t>м в качестве основного элементарного объекта своего исследования такие отношения могут рассматриваться как политической географией, так и геополитикой как комплексной междисциплинарной областью знания и управления [Автор 1996; Автор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 с. 47]. </w:t>
      </w:r>
      <w:r>
        <w:rPr>
          <w:rFonts w:ascii="Times New Roman" w:hAnsi="Times New Roman" w:cs="Times New Roman"/>
          <w:sz w:val="26"/>
          <w:szCs w:val="26"/>
          <w:highlight w:val="green"/>
        </w:rPr>
        <w:t>Каждому т</w:t>
      </w:r>
      <w:r>
        <w:rPr>
          <w:rFonts w:ascii="Times New Roman" w:hAnsi="Times New Roman" w:cs="Times New Roman"/>
          <w:sz w:val="26"/>
          <w:szCs w:val="26"/>
          <w:highlight w:val="green"/>
        </w:rPr>
        <w:t xml:space="preserve">акому отношению имманентно </w:t>
      </w:r>
      <w:proofErr w:type="gramStart"/>
      <w:r>
        <w:rPr>
          <w:rFonts w:ascii="Times New Roman" w:hAnsi="Times New Roman" w:cs="Times New Roman"/>
          <w:sz w:val="26"/>
          <w:szCs w:val="26"/>
          <w:highlight w:val="green"/>
        </w:rPr>
        <w:t>присущи</w:t>
      </w:r>
      <w:proofErr w:type="gramEnd"/>
      <w:r>
        <w:rPr>
          <w:rFonts w:ascii="Times New Roman" w:hAnsi="Times New Roman" w:cs="Times New Roman"/>
          <w:sz w:val="26"/>
          <w:szCs w:val="26"/>
          <w:highlight w:val="green"/>
        </w:rPr>
        <w:t xml:space="preserve"> как географическое, так и политическое отношение. Данный подход позволяет выделить наиболее абстрактное теоретическое основание, благодаря чему имеет преимущество с точки зрения обобщения явлений. В частности, понятие пол</w:t>
      </w:r>
      <w:r>
        <w:rPr>
          <w:rFonts w:ascii="Times New Roman" w:hAnsi="Times New Roman" w:cs="Times New Roman"/>
          <w:sz w:val="26"/>
          <w:szCs w:val="26"/>
          <w:highlight w:val="green"/>
        </w:rPr>
        <w:t>итико-географического места может быть представлено через комплекс геополитических отношений, как и географическое место образуется географическими отношениями [Автор</w:t>
      </w:r>
      <w:proofErr w:type="gramStart"/>
      <w:r>
        <w:rPr>
          <w:rFonts w:ascii="Times New Roman" w:hAnsi="Times New Roman" w:cs="Times New Roman"/>
          <w:sz w:val="26"/>
          <w:szCs w:val="26"/>
          <w:highlight w:val="green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highlight w:val="green"/>
        </w:rPr>
        <w:t xml:space="preserve"> 2017]. </w:t>
      </w:r>
      <w:r>
        <w:rPr>
          <w:rFonts w:ascii="Times New Roman" w:hAnsi="Times New Roman" w:cs="Times New Roman"/>
          <w:sz w:val="26"/>
          <w:szCs w:val="26"/>
        </w:rPr>
        <w:t xml:space="preserve">Вся совокупность </w:t>
      </w:r>
      <w:r>
        <w:rPr>
          <w:rFonts w:ascii="Times New Roman" w:hAnsi="Times New Roman" w:cs="Times New Roman"/>
          <w:sz w:val="26"/>
          <w:szCs w:val="26"/>
          <w:highlight w:val="green"/>
        </w:rPr>
        <w:t xml:space="preserve">геополитических </w:t>
      </w:r>
      <w:r>
        <w:rPr>
          <w:rFonts w:ascii="Times New Roman" w:hAnsi="Times New Roman" w:cs="Times New Roman"/>
          <w:sz w:val="26"/>
          <w:szCs w:val="26"/>
        </w:rPr>
        <w:t>отношений представляет собой геополитическое про</w:t>
      </w:r>
      <w:r>
        <w:rPr>
          <w:rFonts w:ascii="Times New Roman" w:hAnsi="Times New Roman" w:cs="Times New Roman"/>
          <w:sz w:val="26"/>
          <w:szCs w:val="26"/>
        </w:rPr>
        <w:t xml:space="preserve">странство. Соответственно, устойчивые локализованные отношения такого типа могут служить системообразующими для образования </w:t>
      </w:r>
      <w:r>
        <w:rPr>
          <w:rFonts w:ascii="Times New Roman" w:hAnsi="Times New Roman" w:cs="Times New Roman"/>
          <w:i/>
          <w:iCs/>
          <w:sz w:val="26"/>
          <w:szCs w:val="26"/>
        </w:rPr>
        <w:t>геополитических регионов</w:t>
      </w:r>
      <w:r>
        <w:rPr>
          <w:rFonts w:ascii="Times New Roman" w:hAnsi="Times New Roman" w:cs="Times New Roman"/>
          <w:sz w:val="26"/>
          <w:szCs w:val="26"/>
        </w:rPr>
        <w:t xml:space="preserve"> разного типа.  </w:t>
      </w:r>
    </w:p>
    <w:p w:rsidR="00714CBA" w:rsidRDefault="00FA7E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lastRenderedPageBreak/>
        <w:t xml:space="preserve">     В теоретическом плане необходимо отметить очевидность проблемной научно-познавательной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ситуации с понятиями «геополитическая регионализация» и «геополитический регион» как в рамках геополитики, так и в общественной географии, недавно исследованную санкт-петербургскими географами-обществоведами и предложившими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деятельностно-геопространственн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ый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подход к её решению [Автор и др. 2018; Автор, Автор</w:t>
      </w:r>
      <w:proofErr w:type="gram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, 2019]. </w:t>
      </w:r>
      <w:proofErr w:type="gram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Ими были показаны десять наиболее часто используемых типов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регионообразующих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связей, признаков (природных, экономических, культурных, политических и др.), по которым зарубежными и российским а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вторами выделяются геополитические регионы.</w:t>
      </w:r>
      <w:proofErr w:type="gram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Многие из них являются той или иной интерпретацией взглядов С. Коэна в рамках разных схем его геополитического районирования мира.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Неразработанность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с позиций геополитики общего теоретического понимания геополити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ческих регионов привела к разнообразию не только трактовок этого явления, но и схем конкретных геополитических регионов [см., например,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Cohen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1973;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Cohen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1982;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Cohen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1994;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Cohen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2003;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Diehl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1999;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Fisher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1968;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Oakleaf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2015;  IEEE 2018;</w:t>
      </w:r>
      <w:r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Рябцев 2013;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Ballesteros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2015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]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14CBA" w:rsidRDefault="00FA7E56">
      <w:pPr>
        <w:spacing w:after="0" w:line="240" w:lineRule="auto"/>
        <w:jc w:val="both"/>
        <w:rPr>
          <w:rFonts w:ascii="Times New Roman" w:eastAsiaTheme="minorEastAsia" w:hAnsi="Times New Roman"/>
          <w:color w:val="auto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    С позиций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деятельностно-геопространственного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highlight w:val="red"/>
          <w:lang w:eastAsia="ru-RU"/>
        </w:rPr>
        <w:t>й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highlight w:val="red"/>
          <w:lang w:eastAsia="ru-RU"/>
        </w:rPr>
        <w:t xml:space="preserve"> концепции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highlight w:val="green"/>
          <w:lang w:eastAsia="ru-RU"/>
        </w:rPr>
        <w:t xml:space="preserve">подхода к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политической географии как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наук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highlight w:val="green"/>
          <w:lang w:eastAsia="ru-RU"/>
        </w:rPr>
        <w:t>е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highlight w:val="red"/>
          <w:lang w:eastAsia="ru-RU"/>
        </w:rPr>
        <w:t>и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о геополитической самоорганизации общества мы исходим из теоретического понимания геополитического региона как разномасштабной регио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нальной геополитической системы, региональной общности субъектов-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акторов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политической деятельности, включенных в </w:t>
      </w:r>
      <w:proofErr w:type="spellStart"/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ru-RU"/>
        </w:rPr>
        <w:t>регионообразующие</w:t>
      </w:r>
      <w:proofErr w:type="spellEnd"/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ru-RU"/>
        </w:rPr>
        <w:t xml:space="preserve"> геополитические (</w:t>
      </w:r>
      <w:proofErr w:type="spellStart"/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ru-RU"/>
        </w:rPr>
        <w:t>геоадаптационные</w:t>
      </w:r>
      <w:proofErr w:type="spellEnd"/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ru-RU"/>
        </w:rPr>
        <w:t>) отношения</w:t>
      </w:r>
      <w:r>
        <w:rPr>
          <w:rFonts w:ascii="Times New Roman" w:eastAsiaTheme="minorEastAsia" w:hAnsi="Times New Roman" w:cs="Times New Roman"/>
          <w:b/>
          <w:i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различных по форме (геополитические проблемы, интересы, цели, деятельность),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функциональному типу и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геопространственному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  масштабу. Такой подход позволяет провести 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>т</w:t>
      </w:r>
      <w:r>
        <w:rPr>
          <w:rFonts w:ascii="Times New Roman" w:eastAsiaTheme="minorEastAsia" w:hAnsi="Times New Roman"/>
          <w:color w:val="auto"/>
          <w:sz w:val="26"/>
          <w:szCs w:val="26"/>
          <w:lang w:eastAsia="ru-RU"/>
        </w:rPr>
        <w:t>ипологизацию</w:t>
      </w:r>
      <w:proofErr w:type="spellEnd"/>
      <w:r>
        <w:rPr>
          <w:rFonts w:ascii="Times New Roman" w:eastAsiaTheme="minorEastAsia" w:hAnsi="Times New Roman"/>
          <w:color w:val="auto"/>
          <w:sz w:val="26"/>
          <w:szCs w:val="26"/>
          <w:lang w:eastAsia="ru-RU"/>
        </w:rPr>
        <w:t xml:space="preserve"> процессов как регионализации в целом, так и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ru-RU"/>
        </w:rPr>
        <w:t xml:space="preserve">геополитической регионализации </w:t>
      </w:r>
      <w:r>
        <w:rPr>
          <w:rFonts w:ascii="Times New Roman" w:eastAsiaTheme="minorEastAsia" w:hAnsi="Times New Roman"/>
          <w:color w:val="auto"/>
          <w:sz w:val="26"/>
          <w:szCs w:val="26"/>
          <w:lang w:eastAsia="ru-RU"/>
        </w:rPr>
        <w:t>и геополитических регионов.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Функциональные различия деятельности субъектов и сво</w:t>
      </w:r>
      <w:r>
        <w:rPr>
          <w:rFonts w:ascii="Times New Roman" w:hAnsi="Times New Roman" w:cs="Times New Roman"/>
          <w:sz w:val="26"/>
          <w:szCs w:val="26"/>
        </w:rPr>
        <w:t xml:space="preserve">йств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служат основаниями для типологии регионализации общества посредством выделения различных типов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отношений, регионализации и регионов. Особый интерес представляют трансграничные регионы и, соответственно, трансграничные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геоадаптационные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геополитические отношения [Автор, Автор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2020]. Интересующий нас Балтийский регион может служить ярким примером. Рассмотрим возможную типологию подробнее.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По статусу политических субъектов и границ</w:t>
      </w:r>
      <w:r>
        <w:rPr>
          <w:rFonts w:ascii="Times New Roman" w:hAnsi="Times New Roman" w:cs="Times New Roman"/>
          <w:sz w:val="26"/>
          <w:szCs w:val="26"/>
        </w:rPr>
        <w:t xml:space="preserve"> явно выделяются два типа регионов: меж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государственный и внутригосударственный. Второй из них редко бывает геополитическим. Однако в большом трансграничном регионе могут формироваться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небольшие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внутригосударственые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субрегионы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обычно социально-экономического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геокультурного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характера. Это, н</w:t>
      </w:r>
      <w:r>
        <w:rPr>
          <w:rFonts w:ascii="Times New Roman" w:hAnsi="Times New Roman" w:cs="Times New Roman"/>
          <w:sz w:val="26"/>
          <w:szCs w:val="26"/>
        </w:rPr>
        <w:t xml:space="preserve">апример, депрессивные приграничные районы (так называемый «краевой эффект»). Много подобных исследований проводилось по Северо-Западу России, часто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включаемому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Балтийский регион.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По масштабам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охваченного</w:t>
      </w:r>
      <w:proofErr w:type="gramEnd"/>
      <w:r>
        <w:rPr>
          <w:rFonts w:ascii="Times New Roman" w:eastAsia="TimesNewRomanPS-ItalicMT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sz w:val="26"/>
          <w:szCs w:val="26"/>
          <w:lang w:eastAsia="ru-RU"/>
        </w:rPr>
        <w:t>регионообразующими</w:t>
      </w:r>
      <w:proofErr w:type="spellEnd"/>
      <w:r>
        <w:rPr>
          <w:rFonts w:ascii="Times New Roman" w:eastAsia="TimesNewRomanPS-ItalicMT" w:hAnsi="Times New Roman" w:cs="Times New Roman"/>
          <w:sz w:val="26"/>
          <w:szCs w:val="26"/>
          <w:lang w:eastAsia="ru-RU"/>
        </w:rPr>
        <w:t xml:space="preserve"> отношениями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жно выделить несколько уровней регионализации. Причем есть два способа ранжирования: первый – по физическим (метрическим) размерам территории (макро-, мезо-, микр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), второй – по его политической топологии. </w:t>
      </w:r>
      <w:r>
        <w:rPr>
          <w:rFonts w:ascii="Times New Roman" w:hAnsi="Times New Roman" w:cs="Times New Roman"/>
          <w:i/>
          <w:iCs/>
          <w:sz w:val="26"/>
          <w:szCs w:val="26"/>
        </w:rPr>
        <w:t>Макро-регионы</w:t>
      </w:r>
      <w:r>
        <w:rPr>
          <w:rFonts w:ascii="Times New Roman" w:hAnsi="Times New Roman" w:cs="Times New Roman"/>
          <w:sz w:val="26"/>
          <w:szCs w:val="26"/>
        </w:rPr>
        <w:t xml:space="preserve"> (общественно-географические, цивили</w:t>
      </w:r>
      <w:r>
        <w:rPr>
          <w:rFonts w:ascii="Times New Roman" w:hAnsi="Times New Roman" w:cs="Times New Roman"/>
          <w:sz w:val="26"/>
          <w:szCs w:val="26"/>
        </w:rPr>
        <w:t xml:space="preserve">зационные, межгосударственные международные организации,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санкционные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 внутригосударственном масштабе это федеральные округа и экономические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районы в РФ, США и др.),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мезо-регионы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субрегионы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Европы, Азии, административные единицы стран, субъекты РФ и др.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i/>
          <w:iCs/>
          <w:sz w:val="26"/>
          <w:szCs w:val="26"/>
        </w:rPr>
        <w:t>микро-регионы</w:t>
      </w:r>
      <w:r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еврорегионы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РФ, низовые административные единицы государств – графства,  коммуны и др.). По политической же топологии трансграничных регионов можно выделить </w:t>
      </w:r>
      <w:r>
        <w:rPr>
          <w:rFonts w:ascii="Times New Roman" w:hAnsi="Times New Roman" w:cs="Times New Roman"/>
          <w:i/>
          <w:iCs/>
          <w:sz w:val="26"/>
          <w:szCs w:val="26"/>
        </w:rPr>
        <w:t>транснациональный</w:t>
      </w:r>
      <w:r>
        <w:rPr>
          <w:rFonts w:ascii="Times New Roman" w:hAnsi="Times New Roman" w:cs="Times New Roman"/>
          <w:sz w:val="26"/>
          <w:szCs w:val="26"/>
        </w:rPr>
        <w:t xml:space="preserve"> масштаб (охватывают две или более страны целиком, при</w:t>
      </w:r>
      <w:r>
        <w:rPr>
          <w:rFonts w:ascii="Times New Roman" w:hAnsi="Times New Roman" w:cs="Times New Roman"/>
          <w:sz w:val="26"/>
          <w:szCs w:val="26"/>
        </w:rPr>
        <w:t>чем не важно, какого они размера; сюда можно отнести и Балтийский регион) [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Корнеевец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2010], собственно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трансграничный </w:t>
      </w:r>
      <w:r>
        <w:rPr>
          <w:rFonts w:ascii="Times New Roman" w:hAnsi="Times New Roman" w:cs="Times New Roman"/>
          <w:sz w:val="26"/>
          <w:szCs w:val="26"/>
        </w:rPr>
        <w:t xml:space="preserve">масштаб в узком смысле (охватывает только части соседних стран) и на локальном уровне – территории </w:t>
      </w:r>
      <w:r>
        <w:rPr>
          <w:rFonts w:ascii="Times New Roman" w:hAnsi="Times New Roman" w:cs="Times New Roman"/>
          <w:i/>
          <w:iCs/>
          <w:sz w:val="26"/>
          <w:szCs w:val="26"/>
        </w:rPr>
        <w:t>приграничного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(например,</w:t>
      </w:r>
      <w:r>
        <w:rPr>
          <w:rFonts w:ascii="Times New Roman" w:hAnsi="Times New Roman" w:cs="Times New Roman"/>
          <w:sz w:val="26"/>
          <w:szCs w:val="26"/>
        </w:rPr>
        <w:t xml:space="preserve"> режим местного приграничного передвижения, который одно время действовал между Польшей и Калининградской областью).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i/>
          <w:iCs/>
          <w:sz w:val="26"/>
          <w:szCs w:val="26"/>
        </w:rPr>
        <w:t>функциональной сфер</w:t>
      </w:r>
      <w:r>
        <w:rPr>
          <w:rFonts w:ascii="Times New Roman" w:hAnsi="Times New Roman" w:cs="Times New Roman"/>
          <w:sz w:val="26"/>
          <w:szCs w:val="26"/>
        </w:rPr>
        <w:t xml:space="preserve">е (видам деятельности общественных субъектов) очевидны следующие различия регионов: 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i/>
          <w:sz w:val="26"/>
          <w:szCs w:val="26"/>
        </w:rPr>
        <w:t xml:space="preserve">Монофункциональные </w:t>
      </w:r>
      <w:r>
        <w:rPr>
          <w:rFonts w:ascii="Times New Roman" w:hAnsi="Times New Roman" w:cs="Times New Roman"/>
          <w:iCs/>
          <w:sz w:val="26"/>
          <w:szCs w:val="26"/>
        </w:rPr>
        <w:t>(отраслевы</w:t>
      </w:r>
      <w:r>
        <w:rPr>
          <w:rFonts w:ascii="Times New Roman" w:hAnsi="Times New Roman" w:cs="Times New Roman"/>
          <w:iCs/>
          <w:sz w:val="26"/>
          <w:szCs w:val="26"/>
        </w:rPr>
        <w:t xml:space="preserve">е): </w:t>
      </w:r>
      <w:r>
        <w:rPr>
          <w:rFonts w:ascii="Times New Roman" w:hAnsi="Times New Roman" w:cs="Times New Roman"/>
          <w:sz w:val="26"/>
          <w:szCs w:val="26"/>
        </w:rPr>
        <w:t>экономико-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геоэкономические, представленные, например, международными региональными организациями – ОЭСР, ЕАЭС, VASAB и др.;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оциально-геопространственные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МОТ, ЮНЕСКО, Совет Европы; программа «Балтийский университет в 1990-е </w:t>
      </w:r>
      <w:r>
        <w:rPr>
          <w:rFonts w:ascii="Times New Roman" w:hAnsi="Times New Roman" w:cs="Times New Roman"/>
          <w:sz w:val="26"/>
          <w:szCs w:val="26"/>
        </w:rPr>
        <w:t>гг. и др.; политико-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геополитические: НАТО, ОДКБ,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духсторонние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договоры и др.;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геоэкологические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ХЕЛКОМ и др., касающиеся, преимущественно, водных проблем; духовно-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>: цивилизации, культурно-исторические регионы мир</w:t>
      </w:r>
      <w:r>
        <w:rPr>
          <w:rFonts w:ascii="Times New Roman" w:hAnsi="Times New Roman" w:cs="Times New Roman"/>
          <w:sz w:val="26"/>
          <w:szCs w:val="26"/>
        </w:rPr>
        <w:t>а и стран и др.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sz w:val="26"/>
          <w:szCs w:val="26"/>
        </w:rPr>
        <w:t xml:space="preserve">Полифункциональные </w:t>
      </w:r>
      <w:r>
        <w:rPr>
          <w:rFonts w:ascii="Times New Roman" w:hAnsi="Times New Roman" w:cs="Times New Roman"/>
          <w:iCs/>
          <w:sz w:val="26"/>
          <w:szCs w:val="26"/>
        </w:rPr>
        <w:t xml:space="preserve">(комплексные): </w:t>
      </w:r>
      <w:r>
        <w:rPr>
          <w:rFonts w:ascii="Times New Roman" w:hAnsi="Times New Roman" w:cs="Times New Roman"/>
          <w:sz w:val="26"/>
          <w:szCs w:val="26"/>
        </w:rPr>
        <w:t>ЕС, СНГ, СГБМ и др.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правовому статусу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управляемости</w:t>
      </w:r>
      <w:r>
        <w:rPr>
          <w:rFonts w:ascii="Times New Roman" w:hAnsi="Times New Roman" w:cs="Times New Roman"/>
          <w:sz w:val="26"/>
          <w:szCs w:val="26"/>
        </w:rPr>
        <w:t>: регионы «де-юре» (международные региональные организации, олицетворяющие собой охватываемый регион – ЕС) и «де-факто» (историко-географические, ц</w:t>
      </w:r>
      <w:r>
        <w:rPr>
          <w:rFonts w:ascii="Times New Roman" w:hAnsi="Times New Roman" w:cs="Times New Roman"/>
          <w:sz w:val="26"/>
          <w:szCs w:val="26"/>
        </w:rPr>
        <w:t xml:space="preserve">ивилизационные, физико-географические, фактические экономические и др.) Но на самом деле соотношение понятий более сложное: юридически может быть декларировано создание структуры, которая в реальности не заработала или была заморожена, как и наоборот. Или </w:t>
      </w:r>
      <w:r>
        <w:rPr>
          <w:rFonts w:ascii="Times New Roman" w:hAnsi="Times New Roman" w:cs="Times New Roman"/>
          <w:sz w:val="26"/>
          <w:szCs w:val="26"/>
        </w:rPr>
        <w:t>же юридически может быть определен историко-культурный регион, но без какого-либо органа управления. Понятия же «де-юре» и «де-факто» не так однозначны для целей классификации (см.: [Автор, Автор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2020, с. 67, 71])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комплиментарности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(или по качеству отношений) можно выделить два противоположных типа: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i/>
          <w:iCs/>
          <w:sz w:val="26"/>
          <w:szCs w:val="26"/>
        </w:rPr>
        <w:t>Кооперативные</w:t>
      </w:r>
      <w:r>
        <w:rPr>
          <w:rFonts w:ascii="Times New Roman" w:hAnsi="Times New Roman" w:cs="Times New Roman"/>
          <w:sz w:val="26"/>
          <w:szCs w:val="26"/>
        </w:rPr>
        <w:t xml:space="preserve"> (регионы сотрудничества или интеграции – ЕС, ЕАЭС, Балтийский регион до 2014 г.).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Конфликтные (или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конфликтогенные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 xml:space="preserve">Это трансграничные «серые зоны»,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санкционные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>,  ко</w:t>
      </w:r>
      <w:r>
        <w:rPr>
          <w:rFonts w:ascii="Times New Roman" w:hAnsi="Times New Roman" w:cs="Times New Roman"/>
          <w:sz w:val="26"/>
          <w:szCs w:val="26"/>
        </w:rPr>
        <w:t xml:space="preserve">нфронтационные и миротворческие регионы, трансграничный Курдистан и т.д. Здесь, правда, возникает дискуссия, поскольку не все авторы готовы признавать за охваченными конфликтом территориями системность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региональность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 Однако зачастую именно конфликтные о</w:t>
      </w:r>
      <w:r>
        <w:rPr>
          <w:rFonts w:ascii="Times New Roman" w:hAnsi="Times New Roman" w:cs="Times New Roman"/>
          <w:sz w:val="26"/>
          <w:szCs w:val="26"/>
        </w:rPr>
        <w:t>тношения оказываются системообразующими, пусть и в негативном понимании [Автор 2021]</w:t>
      </w:r>
      <w:r>
        <w:rPr>
          <w:rFonts w:ascii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Вместе с тем, в конфликтном регионе могут продолжать существовать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кооперативные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субрегионы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меньшего масштаба, например, объединяющие союзников </w:t>
      </w:r>
      <w:r>
        <w:rPr>
          <w:rFonts w:ascii="Times New Roman" w:hAnsi="Times New Roman" w:cs="Times New Roman"/>
          <w:sz w:val="26"/>
          <w:szCs w:val="26"/>
          <w:highlight w:val="green"/>
        </w:rPr>
        <w:t>в рамках противостоящих пол</w:t>
      </w:r>
      <w:r>
        <w:rPr>
          <w:rFonts w:ascii="Times New Roman" w:hAnsi="Times New Roman" w:cs="Times New Roman"/>
          <w:sz w:val="26"/>
          <w:szCs w:val="26"/>
          <w:highlight w:val="green"/>
        </w:rPr>
        <w:t>итических блоков.</w:t>
      </w:r>
      <w:r>
        <w:rPr>
          <w:rFonts w:ascii="Times New Roman" w:hAnsi="Times New Roman" w:cs="Times New Roman"/>
          <w:sz w:val="26"/>
          <w:szCs w:val="26"/>
        </w:rPr>
        <w:t xml:space="preserve"> Тогда регион поляризуется, что и происходит с Балтийским регионом сегодня. </w:t>
      </w:r>
      <w:r>
        <w:rPr>
          <w:rFonts w:ascii="Times New Roman" w:hAnsi="Times New Roman" w:cs="Times New Roman"/>
          <w:sz w:val="26"/>
          <w:szCs w:val="26"/>
          <w:highlight w:val="green"/>
        </w:rPr>
        <w:t>Это положение не означает смешения двух названных типов, поскольку они реализуются на разных структурных уровнях сложносоставных регионов.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По историко-географическ</w:t>
      </w:r>
      <w:r>
        <w:rPr>
          <w:rFonts w:ascii="Times New Roman" w:hAnsi="Times New Roman" w:cs="Times New Roman"/>
          <w:i/>
          <w:iCs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особенностям и тенденциям выделяются: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1. </w:t>
      </w:r>
      <w:r>
        <w:rPr>
          <w:rFonts w:ascii="Times New Roman" w:hAnsi="Times New Roman" w:cs="Times New Roman"/>
          <w:i/>
          <w:sz w:val="26"/>
          <w:szCs w:val="26"/>
        </w:rPr>
        <w:t>Интеграционные</w:t>
      </w:r>
      <w:r>
        <w:rPr>
          <w:rFonts w:ascii="Times New Roman" w:hAnsi="Times New Roman" w:cs="Times New Roman"/>
          <w:iCs/>
          <w:sz w:val="26"/>
          <w:szCs w:val="26"/>
        </w:rPr>
        <w:t xml:space="preserve"> (воплощают инициативную интеграцию ранее разобщенных территорий – ЕАЭС, МЕРКОСУР,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еврорегионы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, СГБМ до 2014 г.). Частный случай – интеграция для противопоставления общим конкурентам. Можно говорить</w:t>
      </w:r>
      <w:r>
        <w:rPr>
          <w:rFonts w:ascii="Times New Roman" w:hAnsi="Times New Roman" w:cs="Times New Roman"/>
          <w:iCs/>
          <w:sz w:val="26"/>
          <w:szCs w:val="26"/>
        </w:rPr>
        <w:t xml:space="preserve"> и 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постинтеграционной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регионализации, когда внутри региона складывается другой, еще более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связный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(«Европа двух скоростей»).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. Дезинтеграционные </w:t>
      </w:r>
      <w:r>
        <w:rPr>
          <w:rFonts w:ascii="Times New Roman" w:hAnsi="Times New Roman" w:cs="Times New Roman"/>
          <w:iCs/>
          <w:sz w:val="26"/>
          <w:szCs w:val="26"/>
        </w:rPr>
        <w:t>(они либо сохраняются на развалинах распавшихся политических систем, как раннее Британское содружество, либо</w:t>
      </w:r>
      <w:r>
        <w:rPr>
          <w:rFonts w:ascii="Times New Roman" w:hAnsi="Times New Roman" w:cs="Times New Roman"/>
          <w:iCs/>
          <w:sz w:val="26"/>
          <w:szCs w:val="26"/>
        </w:rPr>
        <w:t xml:space="preserve"> идут по пути распада, иногда через ряд вооруженных конфликтов).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Постконфликтные</w:t>
      </w:r>
      <w:r>
        <w:rPr>
          <w:rFonts w:ascii="Times New Roman" w:hAnsi="Times New Roman" w:cs="Times New Roman"/>
          <w:sz w:val="26"/>
          <w:szCs w:val="26"/>
        </w:rPr>
        <w:t xml:space="preserve"> (возникают по итогам войн и конфликтов, и часто вынужденно.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европейская интеграция начиналась как интеграционная, но на «послевоенных руинах»).   </w:t>
      </w:r>
      <w:proofErr w:type="gramEnd"/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Возможные типы реги</w:t>
      </w:r>
      <w:r>
        <w:rPr>
          <w:rFonts w:ascii="Times New Roman" w:hAnsi="Times New Roman" w:cs="Times New Roman"/>
          <w:sz w:val="26"/>
          <w:szCs w:val="26"/>
        </w:rPr>
        <w:t xml:space="preserve">онализации и регионов </w:t>
      </w:r>
      <w:r>
        <w:rPr>
          <w:rFonts w:ascii="Times New Roman" w:hAnsi="Times New Roman" w:cs="Times New Roman"/>
          <w:i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геопространственным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особенностям</w:t>
      </w:r>
      <w:r>
        <w:rPr>
          <w:rFonts w:ascii="Times New Roman" w:hAnsi="Times New Roman" w:cs="Times New Roman"/>
          <w:sz w:val="26"/>
          <w:szCs w:val="26"/>
        </w:rPr>
        <w:t xml:space="preserve"> могут быть представлены следующими формами: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геопространственной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структуре</w:t>
      </w:r>
      <w:r>
        <w:rPr>
          <w:rFonts w:ascii="Times New Roman" w:hAnsi="Times New Roman" w:cs="Times New Roman"/>
          <w:sz w:val="26"/>
          <w:szCs w:val="26"/>
        </w:rPr>
        <w:t>: здесь целесообразно выделять не отдельные типы, а несколько полярных (оппозиционных) шкал, на которых можно разместит</w:t>
      </w:r>
      <w:r>
        <w:rPr>
          <w:rFonts w:ascii="Times New Roman" w:hAnsi="Times New Roman" w:cs="Times New Roman"/>
          <w:sz w:val="26"/>
          <w:szCs w:val="26"/>
        </w:rPr>
        <w:t>ь тот или иной регион [Автор, Автор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2020, с. 71]. Такая шкала задается двумя противоположными типами (понятиями), но реальные регионы редко принимают предельные значения. Среди таких шкал ряд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моноцентричный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– биполярный –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полицентричный</w:t>
      </w:r>
      <w:proofErr w:type="spellEnd"/>
      <w:r>
        <w:rPr>
          <w:rFonts w:ascii="Times New Roman" w:hAnsi="Times New Roman" w:cs="Times New Roman"/>
          <w:sz w:val="26"/>
          <w:szCs w:val="26"/>
        </w:rPr>
        <w:t>. Так, Балтийский р</w:t>
      </w:r>
      <w:r>
        <w:rPr>
          <w:rFonts w:ascii="Times New Roman" w:hAnsi="Times New Roman" w:cs="Times New Roman"/>
          <w:sz w:val="26"/>
          <w:szCs w:val="26"/>
        </w:rPr>
        <w:t xml:space="preserve">егион за время своего существования несколько раз менял свое положение на этой шкале.  Другая шкала располагает регион на линии </w:t>
      </w:r>
      <w:r>
        <w:rPr>
          <w:rFonts w:ascii="Times New Roman" w:hAnsi="Times New Roman" w:cs="Times New Roman"/>
          <w:i/>
          <w:iCs/>
          <w:sz w:val="26"/>
          <w:szCs w:val="26"/>
        </w:rPr>
        <w:t>симметричный – асимметричный</w:t>
      </w:r>
      <w:r>
        <w:rPr>
          <w:rFonts w:ascii="Times New Roman" w:hAnsi="Times New Roman" w:cs="Times New Roman"/>
          <w:sz w:val="26"/>
          <w:szCs w:val="26"/>
        </w:rPr>
        <w:t>. Например, по уровню экономического развития в Балтийском регионе, как и по транспортным потокам, я</w:t>
      </w:r>
      <w:r>
        <w:rPr>
          <w:rFonts w:ascii="Times New Roman" w:hAnsi="Times New Roman" w:cs="Times New Roman"/>
          <w:sz w:val="26"/>
          <w:szCs w:val="26"/>
        </w:rPr>
        <w:t xml:space="preserve">вно лидирует Германия. С геополитической точки зрения весьма интересна шкала </w:t>
      </w:r>
      <w:r>
        <w:rPr>
          <w:rFonts w:ascii="Times New Roman" w:hAnsi="Times New Roman" w:cs="Times New Roman"/>
          <w:i/>
          <w:iCs/>
          <w:sz w:val="26"/>
          <w:szCs w:val="26"/>
        </w:rPr>
        <w:t>коридоры/секторы – пояса/зоны</w:t>
      </w:r>
      <w:r>
        <w:rPr>
          <w:rFonts w:ascii="Times New Roman" w:hAnsi="Times New Roman" w:cs="Times New Roman"/>
          <w:sz w:val="26"/>
          <w:szCs w:val="26"/>
        </w:rPr>
        <w:t>. С ее помощью описываются, например, районы прохождения транспортных коридоров, энергетических проектов, степени соседства стран и их частей. В Балти</w:t>
      </w:r>
      <w:r>
        <w:rPr>
          <w:rFonts w:ascii="Times New Roman" w:hAnsi="Times New Roman" w:cs="Times New Roman"/>
          <w:sz w:val="26"/>
          <w:szCs w:val="26"/>
        </w:rPr>
        <w:t xml:space="preserve">йском регионе можно выделить зоны удаленности от моря (об этом см. ниже).  Шкала </w:t>
      </w:r>
      <w:r>
        <w:rPr>
          <w:rFonts w:ascii="Times New Roman" w:hAnsi="Times New Roman" w:cs="Times New Roman"/>
          <w:i/>
          <w:iCs/>
          <w:sz w:val="26"/>
          <w:szCs w:val="26"/>
        </w:rPr>
        <w:t>центр – периферия</w:t>
      </w:r>
      <w:r>
        <w:rPr>
          <w:rFonts w:ascii="Times New Roman" w:hAnsi="Times New Roman" w:cs="Times New Roman"/>
          <w:sz w:val="26"/>
          <w:szCs w:val="26"/>
        </w:rPr>
        <w:t xml:space="preserve"> является, наверное, самой популярной у исследователей общественно-географических явлений вообще и регионализации в частности.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Моделируются, например, пограни</w:t>
      </w:r>
      <w:r>
        <w:rPr>
          <w:rFonts w:ascii="Times New Roman" w:hAnsi="Times New Roman" w:cs="Times New Roman"/>
          <w:sz w:val="26"/>
          <w:szCs w:val="26"/>
        </w:rPr>
        <w:t>чные стыки типов «периферия – периферия», «центр – центр» или «центр – периферия».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И, наконец, упомянем важную шкалу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сплошные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>/площадные – дисперсные/сетевые</w:t>
      </w:r>
      <w:r>
        <w:rPr>
          <w:rFonts w:ascii="Times New Roman" w:hAnsi="Times New Roman" w:cs="Times New Roman"/>
          <w:sz w:val="26"/>
          <w:szCs w:val="26"/>
        </w:rPr>
        <w:t xml:space="preserve">. Это сплошные экономические зоны и зоны тяготения; сетевые трансграничные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интернет-сообщества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, парт</w:t>
      </w:r>
      <w:r>
        <w:rPr>
          <w:rFonts w:ascii="Times New Roman" w:hAnsi="Times New Roman" w:cs="Times New Roman"/>
          <w:sz w:val="26"/>
          <w:szCs w:val="26"/>
        </w:rPr>
        <w:t>ийные структуры. В целом надо отметить, что развитие трансграничной регионализации формирует и новые для региона формы пространственного развития: появляются новые коридоры, новые ядра, треугольники роста и т.д. [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Корнеевец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2010].</w:t>
      </w:r>
    </w:p>
    <w:p w:rsidR="00714CBA" w:rsidRDefault="00FA7E56">
      <w:pPr>
        <w:overflowPunct w:val="0"/>
        <w:spacing w:after="0" w:line="240" w:lineRule="auto"/>
        <w:ind w:firstLine="6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По специфике </w:t>
      </w:r>
      <w:r>
        <w:rPr>
          <w:rFonts w:ascii="Times New Roman" w:hAnsi="Times New Roman" w:cs="Times New Roman"/>
          <w:i/>
          <w:iCs/>
          <w:sz w:val="26"/>
          <w:szCs w:val="26"/>
        </w:rPr>
        <w:t>материальной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территориальные,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субтерриториальные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акваториальные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аэроториальные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космоториальные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>, интегрально-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геопространственные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(территориально-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акваториальные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др.),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киберпространственные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Подавляющее большинство трансграничных р</w:t>
      </w:r>
      <w:r>
        <w:rPr>
          <w:rFonts w:ascii="Times New Roman" w:hAnsi="Times New Roman" w:cs="Times New Roman"/>
          <w:sz w:val="26"/>
          <w:szCs w:val="26"/>
        </w:rPr>
        <w:t xml:space="preserve">егионов реализуется на суше.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Балтийский же регион стал одним из немногих, которые сложились вокруг центральной акватории.</w:t>
      </w:r>
      <w:proofErr w:type="gramEnd"/>
    </w:p>
    <w:p w:rsidR="00714CBA" w:rsidRDefault="00714CBA">
      <w:pPr>
        <w:overflowPunct w:val="0"/>
        <w:spacing w:after="0" w:line="240" w:lineRule="auto"/>
        <w:rPr>
          <w:rFonts w:ascii="Times New Roman" w:eastAsia="TimesNewRomanPS-ItalicMT" w:hAnsi="Times New Roman" w:cs="Times New Roman"/>
          <w:bCs/>
          <w:iCs/>
          <w:sz w:val="26"/>
          <w:szCs w:val="26"/>
          <w:lang w:eastAsia="ru-RU"/>
        </w:rPr>
      </w:pPr>
    </w:p>
    <w:p w:rsidR="00714CBA" w:rsidRDefault="00FA7E56">
      <w:pPr>
        <w:overflowPunct w:val="0"/>
        <w:spacing w:after="0" w:line="240" w:lineRule="auto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  <w:t>Балтийский регион и его границы: дискуссионные вопросы</w:t>
      </w:r>
    </w:p>
    <w:p w:rsidR="00714CBA" w:rsidRDefault="00714CBA">
      <w:pPr>
        <w:overflowPunct w:val="0"/>
        <w:spacing w:after="0" w:line="240" w:lineRule="auto"/>
        <w:ind w:firstLine="658"/>
        <w:jc w:val="both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Балтийский регион начал складываться как специфическая региональная общность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вокруг одноименного моря еще в период средневековья. Этому способствовали особые физико-географические условия, включая само море,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речную сеть его водосборного бассейна, схожий климат, равнинные побережья, особенно в южной части. С физико-географической 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чки зрения можно говорить и о </w:t>
      </w:r>
      <w:proofErr w:type="spellStart"/>
      <w:r>
        <w:rPr>
          <w:rFonts w:ascii="Times New Roman" w:eastAsia="Calibri" w:hAnsi="Times New Roman" w:cs="Times New Roman"/>
          <w:i/>
          <w:iCs/>
          <w:sz w:val="26"/>
          <w:szCs w:val="26"/>
        </w:rPr>
        <w:t>циркумбалтийском</w:t>
      </w:r>
      <w:proofErr w:type="spellEnd"/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пространстве</w:t>
      </w:r>
      <w:r>
        <w:rPr>
          <w:rFonts w:ascii="Times New Roman" w:eastAsia="Calibri" w:hAnsi="Times New Roman" w:cs="Times New Roman"/>
          <w:sz w:val="26"/>
          <w:szCs w:val="26"/>
        </w:rPr>
        <w:t>, как субстрате для развития различных форм общественной жизни и самоорганизации. То есть допустимо, в принципе, говорить о таковом пространстве в период до заселения берегов Балтики человеком и до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формирования некоей общественной целостности. Хотя первоначально этот термин был предложен в 1980-х гг. Г.С. Лебедевым применительно к культурно-историческим и цивилизационным особенностям средневековья [Монастырская 2023, с.122]. 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Ряд авторов, в частност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 представители отечественной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скандинавистики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утверждают формирование к VIII веку  «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Балтийской [морской] цивилизации</w:t>
      </w:r>
      <w:r>
        <w:rPr>
          <w:rFonts w:ascii="Times New Roman" w:eastAsia="Calibri" w:hAnsi="Times New Roman" w:cs="Times New Roman"/>
          <w:sz w:val="26"/>
          <w:szCs w:val="26"/>
        </w:rPr>
        <w:t>» [см.: Монастырская 2023, с. 122, 129]. На самом деле это довольно дискуссионный вопрос, особенно исходя из современных представлений о х</w:t>
      </w:r>
      <w:r>
        <w:rPr>
          <w:rFonts w:ascii="Times New Roman" w:eastAsia="Calibri" w:hAnsi="Times New Roman" w:cs="Times New Roman"/>
          <w:sz w:val="26"/>
          <w:szCs w:val="26"/>
        </w:rPr>
        <w:t>арактере локальных цивилизаций. И если подобный вывод в какой-то мере еще применим к связанным морем средневековым местным прибрежным сообществам и городам (отчасти, Ганзейский союз городов с XIV в. и т.п.), то в современном мире территориальный фактор в 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ивилизационных связях уже не преобладает.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Балтийская региональная общность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идентичность, которые,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безусловно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сохраняются, находятся в подчиненном положении к более масштабным и значимым феноменам. Так, с одной стороны, на побережья Балтийского моря выход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ят как минимум две локальные цивилизации по модели 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Хантингтона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а с другой – доминируют политические государственная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страновая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) или общеевропейская (в контексте ЕС) идентичности. Вряд ли мы можем рассматривать как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однопорядковые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Балтийскую и современну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ю Западную цивилизации в целом. В таком контексте балтийская региональная общность представляется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межцивилизационным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территориальным феноменом или цивилизацией «второго уровня»,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субцивилизацией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Но, может быть, авторы-историки и культурологи просто не прин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имали во внимание теоретико-географический контекст, и речь должна идти как раз о формировании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геокультурного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геоэкономического и геополитического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региона</w:t>
      </w:r>
      <w:r>
        <w:rPr>
          <w:rFonts w:ascii="Times New Roman" w:eastAsia="Calibri" w:hAnsi="Times New Roman" w:cs="Times New Roman"/>
          <w:sz w:val="26"/>
          <w:szCs w:val="26"/>
        </w:rPr>
        <w:t>, а не цивилизации. Регион, с точки зрения общественной географии, это не просто некоторое ограниченн</w:t>
      </w:r>
      <w:r>
        <w:rPr>
          <w:rFonts w:ascii="Times New Roman" w:eastAsia="Calibri" w:hAnsi="Times New Roman" w:cs="Times New Roman"/>
          <w:sz w:val="26"/>
          <w:szCs w:val="26"/>
        </w:rPr>
        <w:t>ое пространство, а как раз и представляет собой связную или однородную целостность, которая может быть и трансграничной [Автор, Автор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2020] и, наверное,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трансцивилизационной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Более того, именно геополитический регион может быть связан в единое целое не то</w:t>
      </w:r>
      <w:r>
        <w:rPr>
          <w:rFonts w:ascii="Times New Roman" w:eastAsia="Calibri" w:hAnsi="Times New Roman" w:cs="Times New Roman"/>
          <w:sz w:val="26"/>
          <w:szCs w:val="26"/>
        </w:rPr>
        <w:t>лько кооперативными, но и конфликтными отношениями, что не раз и проявлялось в истории по берегам Балтики.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Балтийский регион со времени своей научной актуализации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начале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1990-х гг. вызывает дискуссии об определении его пространственных границ. Высказывал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ись несколько точек зрения на основании различных базовых подходов, и это неудивительно. Чем исследовательская задача ближе к физико-географическому,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геоэкологическому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исследованию, тем более четко мы можем обозначить и границы региона по естественно-геог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рафическим критериям. Бесспорной точкой отсчета для любого районирования является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береговая линия Балтийского моря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которое и служит главным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регионообразующим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фактором. Но и здесь не обходится без дискуссионного момента: где заканчиваются воды и, соответст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венно, берег моря в районе Датских проливов.  «...С позиций определения состава Балтийского региона целесообразно границу Балтийского моря провести между проливами Каттегат и Скагеррак», при этом «иногда в состав Балтийского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моря включают даже Скагеррак»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Клемешев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с. 8-9]. С геополитической точки зрения последний как раз логично включать в состав региона. Запирая, вместе с соседними проливами, вход в Балтийское море, он составляет с ним единую геополитическую целостность. Такое запирающее значение Балтийск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и Черноморских проливов для геополитического районирования Евразии отмечал еще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Х.Маккиндер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модели «стратегического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хартленда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». В соответствии же с Хельсинкской конвенцией по Балтийскому морю от 1992 г., граница ее действия проходит по параллели 57° 44</w:t>
      </w:r>
      <w:r>
        <w:rPr>
          <w:rFonts w:ascii="Times New Roman" w:eastAsia="Calibri" w:hAnsi="Times New Roman" w:cs="Times New Roman"/>
          <w:sz w:val="26"/>
          <w:szCs w:val="26"/>
        </w:rPr>
        <w:t xml:space="preserve">,43′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с.ш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(ст. 1).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том же ряду находится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учет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обсуждение многими авторами границ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водосборного бассейна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качестве границ региона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Клемешев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2017;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Межевич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2016; Монастырская 2023]. Этот параметр столь же объективен, как и береговая линия, однако его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</w:t>
      </w:r>
      <w:r>
        <w:rPr>
          <w:rFonts w:ascii="Times New Roman" w:eastAsia="Calibri" w:hAnsi="Times New Roman" w:cs="Times New Roman"/>
          <w:sz w:val="26"/>
          <w:szCs w:val="26"/>
        </w:rPr>
        <w:t>гионообразующая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роль невелика, поскольку  имеет преимущественно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геоэкологическое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значение и мог бы охватывать, в принципе, вообще необитаемые территории. Для геополитики, как и для общественной жизни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региона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вообще, он стал играть роль лишь в последние дес</w:t>
      </w:r>
      <w:r>
        <w:rPr>
          <w:rFonts w:ascii="Times New Roman" w:eastAsia="Calibri" w:hAnsi="Times New Roman" w:cs="Times New Roman"/>
          <w:sz w:val="26"/>
          <w:szCs w:val="26"/>
        </w:rPr>
        <w:t>ятилетия, да и то лишь в вопросах международной координации охраны природной среды. Тем не менее, объективность бассейновой границы оказалась удобной для однозначной формализации некоторых региональных программ и проектов. Таким образом, водосборный бассей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н, не являясь сам по себе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регионообразующим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фактором, становится таковым благодаря его вторичной, административной актуализации. В эти рамки попадают Санкт-Петербург, Псковская, Калининградская, Новгородская области, часть Карелии, небольшие части Архангел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ьской, Мурманской и Тверской областей. В регион целиком входят Литва, Латвия, Эстония, почти вся Польша,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óльшие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части Швеции и Финляндии, свыше половины территории Дании и почти половина Беларуси, северо-восток Германии, небольшие участки Норвегии, Украин</w:t>
      </w:r>
      <w:r>
        <w:rPr>
          <w:rFonts w:ascii="Times New Roman" w:eastAsia="Calibri" w:hAnsi="Times New Roman" w:cs="Times New Roman"/>
          <w:sz w:val="26"/>
          <w:szCs w:val="26"/>
        </w:rPr>
        <w:t>ы, Чехии и Словакии (см. картосхему в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Клемешев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2017, с. 10]). Примерно в таких пределах Балтийский регион был выделен в инициированной на волне эйфории в 1991 г. университетом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Уппсалы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(Швеция) программе «Балтийский университет», в которой одно время участ</w:t>
      </w:r>
      <w:r>
        <w:rPr>
          <w:rFonts w:ascii="Times New Roman" w:eastAsia="Calibri" w:hAnsi="Times New Roman" w:cs="Times New Roman"/>
          <w:sz w:val="26"/>
          <w:szCs w:val="26"/>
        </w:rPr>
        <w:t>вовали вузы из 14 стран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Межевич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2016, с.17] (сегодня – из 10). Вместе с тем, водосборный бассейн любого моря неоднороден, и реально значимую геополитическую роль в нем играют наиболее полноводные реки. До такой степени, что Л.И. Мечников связывал возникно</w:t>
      </w:r>
      <w:r>
        <w:rPr>
          <w:rFonts w:ascii="Times New Roman" w:eastAsia="Calibri" w:hAnsi="Times New Roman" w:cs="Times New Roman"/>
          <w:sz w:val="26"/>
          <w:szCs w:val="26"/>
        </w:rPr>
        <w:t>вение первых цивилизаций именно с великими историческими реками (на Ближнем Востоке, в Южной и Восточной Азии) (1888) [Мечников 2008].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При этом почти все авторы, размышляющие о границах региона, упускают из виду, что играл непосредственную геополитическую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геоэкономическую роль с древнейших времен не сам водосборный бассейн моря, а его ключевой геополитический компонент – сеть судоходных рек и, позже, каналов.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Бассейн внутренних водных путей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меньше и реже водосборного, и находится почти исключительно на ю</w:t>
      </w:r>
      <w:r>
        <w:rPr>
          <w:rFonts w:ascii="Times New Roman" w:eastAsia="Calibri" w:hAnsi="Times New Roman" w:cs="Times New Roman"/>
          <w:sz w:val="26"/>
          <w:szCs w:val="26"/>
        </w:rPr>
        <w:t>ге региона. (Именно путей, потому что без их использования человеком – это просто реки). Например, водосборный бассейн охватывает даже часть северной Норвегии, однако из Балтийского моря судоходных путей туда нет. Сеть эта, конечно, менялась со временем: т</w:t>
      </w:r>
      <w:r>
        <w:rPr>
          <w:rFonts w:ascii="Times New Roman" w:eastAsia="Calibri" w:hAnsi="Times New Roman" w:cs="Times New Roman"/>
          <w:sz w:val="26"/>
          <w:szCs w:val="26"/>
        </w:rPr>
        <w:t>е маловодные реки, которые в древности считались судоходными, сегодня могут пропускать разве что катера.  В частности, на значительном протяжении от верховий (выше по течению от Варшавы), максимальная осадка судна на реке Висла составляет в некоторых места</w:t>
      </w:r>
      <w:r>
        <w:rPr>
          <w:rFonts w:ascii="Times New Roman" w:eastAsia="Calibri" w:hAnsi="Times New Roman" w:cs="Times New Roman"/>
          <w:sz w:val="26"/>
          <w:szCs w:val="26"/>
        </w:rPr>
        <w:t>х около одного метра [</w:t>
      </w:r>
      <w:r>
        <w:rPr>
          <w:rFonts w:ascii="Times New Roman" w:hAnsi="Times New Roman" w:cs="Times New Roman"/>
          <w:sz w:val="26"/>
          <w:szCs w:val="26"/>
        </w:rPr>
        <w:t>UNECE</w:t>
      </w:r>
      <w:r>
        <w:rPr>
          <w:rFonts w:ascii="Times New Roman" w:eastAsia="Calibri" w:hAnsi="Times New Roman" w:cs="Times New Roman"/>
          <w:sz w:val="26"/>
          <w:szCs w:val="26"/>
        </w:rPr>
        <w:t xml:space="preserve">] (для сравнения: сухогрузные суда класса «река-море» типа «Волго-Балт» имеют максимальную осадку 3,86 м.).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Значительная часть Финляндии охватывается водосборным бассейном, однако внутреннее судоходство связано с морем лишь через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ныне закрытый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Сайменский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канал, построенный, к тому же, лишь в середине XIX в. Конечно, современный сухопутный транспорт с лихвой компенсирует нехватку полноводных речных путей. Однако он по своей сути уже не привязан к морскому региону как таковому. С те</w:t>
      </w:r>
      <w:r>
        <w:rPr>
          <w:rFonts w:ascii="Times New Roman" w:eastAsia="Calibri" w:hAnsi="Times New Roman" w:cs="Times New Roman"/>
          <w:sz w:val="26"/>
          <w:szCs w:val="26"/>
        </w:rPr>
        <w:t>м же успехом мы могли бы рассматривать транспортную связность, например, региона Центральной Европы.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Вместе с тем, несколько судоходных каналов связывают Балтийское море с рекой Эльбой, которая в своем течении проходит по территориям, приближенным к побере</w:t>
      </w:r>
      <w:r>
        <w:rPr>
          <w:rFonts w:ascii="Times New Roman" w:eastAsia="Calibri" w:hAnsi="Times New Roman" w:cs="Times New Roman"/>
          <w:sz w:val="26"/>
          <w:szCs w:val="26"/>
        </w:rPr>
        <w:t>жью Балтийского моря, и забирает на себя речной грузопоток региона. Но по чисто бассейновому принципу Эльба в Балтийский регион как бы не включается. Для средневековья, когда каналы отсутствовали, это было бы обоснованно, да и даже в то время Эльба могла в</w:t>
      </w:r>
      <w:r>
        <w:rPr>
          <w:rFonts w:ascii="Times New Roman" w:eastAsia="Calibri" w:hAnsi="Times New Roman" w:cs="Times New Roman"/>
          <w:sz w:val="26"/>
          <w:szCs w:val="26"/>
        </w:rPr>
        <w:t>ыполнять своеобразную «рокадную» геополитическую роль вдоль юго-западного побережья Балтики, напрямую с ним не связываясь. Нынче же через Эльбу и Одер Балтийский регион связан с промышленно развитыми районами Германии.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Морские и речные пути в средневековье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были ключевыми и безальтернативными коммуникациями для дальних расстояний. Сюда вполне были бы применимы представления о роли морской мощи А.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Мэхана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только «в миниатюре». Для оценки значимости морских коммуникаций можно сказать, что крупнейшие парусные с</w:t>
      </w:r>
      <w:r>
        <w:rPr>
          <w:rFonts w:ascii="Times New Roman" w:eastAsia="Calibri" w:hAnsi="Times New Roman" w:cs="Times New Roman"/>
          <w:sz w:val="26"/>
          <w:szCs w:val="26"/>
        </w:rPr>
        <w:t>уда XVIII в. могли взять на борт груз, перевозимый около 5000 гужевых повозок. Несравнимы были и скорости грузового движения по воде и по грунтовым дорогам. С тех пор сменились эпохи, изменилась и роль видов транспорта. Морской и речной транспорт, особенно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каботажном варианте, уже не играет столь же существенной роли с периода расцвета железных дорог, а позже – автомобильного и авиатранспорта. Современные исследования транспортной связности Балтийского региона уделяют больше внимания именно трем последним</w:t>
      </w:r>
      <w:r>
        <w:rPr>
          <w:rFonts w:ascii="Times New Roman" w:eastAsia="Calibri" w:hAnsi="Times New Roman" w:cs="Times New Roman"/>
          <w:sz w:val="26"/>
          <w:szCs w:val="26"/>
        </w:rPr>
        <w:t>. Например, в рамках программы VASAB 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Komornicki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2018]. Не случайно возникли и проекты кольцевых автомобильной и железной дорог. Тем не менее, в пределах Европейского Союза в целом около 40 процентов грузов по-прежнему перевозится по морю.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Что осталось по</w:t>
      </w:r>
      <w:r>
        <w:rPr>
          <w:rFonts w:ascii="Times New Roman" w:eastAsia="Calibri" w:hAnsi="Times New Roman" w:cs="Times New Roman"/>
          <w:sz w:val="26"/>
          <w:szCs w:val="26"/>
        </w:rPr>
        <w:t>чти нетронутым со времен средневековья, так это статус Балтийского моря как свободного для торгового мореплавания, а такой же статус Датских проливов был подтвержден международным договором (1857). Итак, главная функция Балтийского моря как основы Балтийск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ого региона – возможность связи любого прибрежного государства или города с любым другим прибрежным государством или городом, минуя любые транзитные территории. Не случайно еще в 1915 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В.П.Семенов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-Тян-Шанский среди пространственных форм геополитических с</w:t>
      </w:r>
      <w:r>
        <w:rPr>
          <w:rFonts w:ascii="Times New Roman" w:eastAsia="Calibri" w:hAnsi="Times New Roman" w:cs="Times New Roman"/>
          <w:sz w:val="26"/>
          <w:szCs w:val="26"/>
        </w:rPr>
        <w:t>истем выделил «кольцеобразную» (или «средиземноморскую») [Семенов-Тян-Шанский 1915]. На Балтике ее пытались воплотить в жизнь Дания и Швеция, а в современном мире – Европейский союз. Такая структура создает не только экономические преимущества, но и стимул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ирует психологическое восприятие Балтийского пространства как социальной целостности («мы связаны морем»). Условно говоря, если бы Балтийское море высохло, а его бывшее пространство осталось бы нейтральным, то его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регионообразующая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роль бы не уменьшилась,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может даже возросла бы, только морской транспорт был бы заменен сухопутным. (Подобное утверждение, конечно, неверно относительно условий средневековья и даже 200-летней давности). Поэтому именно зона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наилучшей доступности к морским и речным коммуникациям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является системообразующим ядром Балтийского региона.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Эта зона в реальном выражении имеет, конечно, сложную пространственную форму, зависящую от сети дорог, рек, портов. Однако часто для упрощения расчетов в качестве таковой принимается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прибрежная полоса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шириной 50, или, при меньшей значимости, 200 км.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Клемешев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2017, с.12]. Вся такая зона вокруг моря может считаться одним из измерений Балтийского региона. Только не следует считать этот подход физико-географическим, как предлагают некоторые авторы. Да, одн</w:t>
      </w:r>
      <w:r>
        <w:rPr>
          <w:rFonts w:ascii="Times New Roman" w:eastAsia="Calibri" w:hAnsi="Times New Roman" w:cs="Times New Roman"/>
          <w:sz w:val="26"/>
          <w:szCs w:val="26"/>
        </w:rPr>
        <w:t>а сторона такой зоны привязана к берегу, но 50 км взяты условно, исходя из обобщения интенсивности экономических процессов.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 чем дальше мы отходим от физико-географической основы, тем более многовариантной становится и делимитация границ Балтийского реги</w:t>
      </w:r>
      <w:r>
        <w:rPr>
          <w:rFonts w:ascii="Times New Roman" w:eastAsia="Calibri" w:hAnsi="Times New Roman" w:cs="Times New Roman"/>
          <w:sz w:val="26"/>
          <w:szCs w:val="26"/>
        </w:rPr>
        <w:t>она. В качестве факторов начинают играть роль исторические, экономические,  культурные, социологические, политические особенности территорий (пространств). На них накладываются юридические критерии, которые лишь косвенно связаны с этими особенностями. Особ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няком стоит и геополитический подход, который, с одной стороны, интегрирует все вышеназванные факторы, а с другой – пропускает их через призму геополитических интересов и проектов. 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Самый простой подход – считать, что Балтийский регион составляют страны и части стран,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расположенные на побережье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Балтийского моря и зависящие от него в своей хозяйственной деятельности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Межевич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с.16]. Здесь мы при учете любых факторов сразу выходим на п</w:t>
      </w:r>
      <w:r>
        <w:rPr>
          <w:rFonts w:ascii="Times New Roman" w:eastAsia="Calibri" w:hAnsi="Times New Roman" w:cs="Times New Roman"/>
          <w:sz w:val="26"/>
          <w:szCs w:val="26"/>
        </w:rPr>
        <w:t>олитическую карту: в регион включаются либо страны целиком, либо их административные единицы. Это, конечно, эффективно с точки зрения управления, однако задает и большую долю условности. Кроме того, не всегда бесспорно включение или не включение тех или 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частей стран или этих стан целиком. Так, в анализе возможностей исторически сложившихся потенциальных геополитических подходов к исследованию современной проблематики Балтийского региона </w:t>
      </w:r>
      <w:r>
        <w:rPr>
          <w:rStyle w:val="rynqvb"/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rynqvb"/>
          <w:rFonts w:ascii="Times New Roman" w:hAnsi="Times New Roman" w:cs="Times New Roman"/>
          <w:sz w:val="28"/>
          <w:szCs w:val="28"/>
        </w:rPr>
        <w:t>Энгелбрект</w:t>
      </w:r>
      <w:proofErr w:type="spellEnd"/>
      <w:r>
        <w:rPr>
          <w:rStyle w:val="rynqvb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</w:rPr>
        <w:t>(2018) определяет</w:t>
      </w:r>
      <w:r>
        <w:rPr>
          <w:rStyle w:val="rynqvb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его состав без специального обосно</w:t>
      </w:r>
      <w:r>
        <w:rPr>
          <w:rFonts w:ascii="Times New Roman" w:eastAsia="Calibri" w:hAnsi="Times New Roman" w:cs="Times New Roman"/>
          <w:sz w:val="26"/>
          <w:szCs w:val="26"/>
        </w:rPr>
        <w:t>вания девятью прибрежными государствами (без Норвегии)</w:t>
      </w:r>
      <w:r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[</w:t>
      </w:r>
      <w:proofErr w:type="spellStart"/>
      <w:r>
        <w:rPr>
          <w:rStyle w:val="rynqvb"/>
          <w:rFonts w:ascii="Times New Roman" w:hAnsi="Times New Roman" w:cs="Times New Roman"/>
          <w:sz w:val="28"/>
          <w:szCs w:val="28"/>
          <w:lang w:val="en-US"/>
        </w:rPr>
        <w:t>Engelbrekt</w:t>
      </w:r>
      <w:proofErr w:type="spellEnd"/>
      <w:r>
        <w:rPr>
          <w:rStyle w:val="rynqvb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6"/>
          <w:szCs w:val="26"/>
        </w:rPr>
        <w:t>].Такой же «прибрежный» вариант состава региона можно увидеть и в публикациях других зарубежных исследователей, но с включением Норвегии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см.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апример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Koch</w:t>
      </w:r>
      <w:r>
        <w:rPr>
          <w:rFonts w:ascii="Times New Roman" w:hAnsi="Times New Roman" w:cs="Times New Roman"/>
          <w:sz w:val="26"/>
          <w:szCs w:val="26"/>
        </w:rPr>
        <w:t xml:space="preserve"> 2015;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Ekengren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2018;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Hald</w:t>
      </w:r>
      <w:proofErr w:type="spellEnd"/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]. 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Более широкий подход – включать страны и регионы, непосредственно к Балтийскому морю не выходящие, но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на которые распространяется международное сотрудничество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рамках развития Балтийского региона. Прежде всего, имеются в виду программы VASAB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I</w:t>
      </w:r>
      <w:r>
        <w:rPr>
          <w:rFonts w:ascii="Times New Roman" w:eastAsia="Calibri" w:hAnsi="Times New Roman" w:cs="Times New Roman"/>
          <w:sz w:val="26"/>
          <w:szCs w:val="26"/>
        </w:rPr>
        <w:t>nterreg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Предыдущий и данный вариант могут рассматриваться как Балтийский регион в узком и широком смыслах (см. картосхему в [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Клемешев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2017, с.17]). Здесь мы наблюдаем превалирование юридического критерия: формально, сообщество стран региона может включить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свои программы любую соседнюю страну, отнеся ее, тем самым, к Балтийскому региону. Может случиться и парадокс: страна,  непосредственно выходящая к Балтийскому морю, выходит из программы сотрудничества и... перестает быть частью приморского региона? «Из</w:t>
      </w:r>
      <w:r>
        <w:rPr>
          <w:rFonts w:ascii="Times New Roman" w:eastAsia="Calibri" w:hAnsi="Times New Roman" w:cs="Times New Roman"/>
          <w:sz w:val="26"/>
          <w:szCs w:val="26"/>
        </w:rPr>
        <w:t>бирательный» подход к пониманию состава Балтийского региона характерен для Евросоюза в рамках его Стратегии для Балтийского региона</w:t>
      </w:r>
      <w: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Baltic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, где в качестве его государств рассматриваются только члены ЕС, а ка</w:t>
      </w:r>
      <w:r>
        <w:rPr>
          <w:rFonts w:ascii="Times New Roman" w:eastAsia="Calibri" w:hAnsi="Times New Roman" w:cs="Times New Roman"/>
          <w:sz w:val="26"/>
          <w:szCs w:val="26"/>
        </w:rPr>
        <w:t>к «желательные партнёры» – Норвегия и Исландия [EUSBSR]</w:t>
      </w:r>
    </w:p>
    <w:p w:rsidR="00714CBA" w:rsidRDefault="00FA7E56">
      <w:pPr>
        <w:spacing w:line="240" w:lineRule="auto"/>
        <w:ind w:firstLineChars="220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И, наконец, в самом широком смысле мы можем рассматривать не просто Балтийский регион как таковой, а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Балтийскую региональную геополитическую систему</w:t>
      </w:r>
      <w:r>
        <w:rPr>
          <w:rFonts w:ascii="Times New Roman" w:eastAsia="Calibri" w:hAnsi="Times New Roman" w:cs="Times New Roman"/>
          <w:sz w:val="26"/>
          <w:szCs w:val="26"/>
        </w:rPr>
        <w:t>. Она охватывает не только понимаемый в том или ино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 смысле сам Балтийский регион, но и геополитические отношения с внешними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акторами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значительно вовлеченными и имеющими геополитические интересы в регионе [Автор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2012, с. 84-85]. Также в региональную геополитическую систему включаются отношения с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внерегио</w:t>
      </w:r>
      <w:r>
        <w:rPr>
          <w:rFonts w:ascii="Times New Roman" w:eastAsia="Calibri" w:hAnsi="Times New Roman" w:cs="Times New Roman"/>
          <w:sz w:val="26"/>
          <w:szCs w:val="26"/>
        </w:rPr>
        <w:t>нальными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частями крупных стран региона (России, Германии). Оценки здесь оказываются еще более размытыми, однако в качестве индикатора можно использовать, например, участие в региональных международных организациях в качестве наблюдателя. Так, в Совете госу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дарств Балтийского моря такой статус имеют или имели 11 стран: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Белоруссия (до в 2022 г.), Великобритания, Венгрия, Испания, Италия, Нидерланды, Румыния, Словакия, США, Украина, Франция (подала заявку на полноправное членство).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плюс Исландия как полнопра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вный участник.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геополитической точки зрения все описанные варианты выделения Балтийского региона не исключают друг друга. Каждый из них всего лишь акцентирует внимание на том или ином типе геополитических отношений, выделяя его в сложной многомерной структуре геополити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ческого пространства. Обобщая разные названные подходы, можно говорить не о разных вариантах делимитации региона, а о его нескольких геополитических контурах в качестве принципов районирования.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I. Приморский контур (включает 50- и 200-км прибрежные зоны, </w:t>
      </w:r>
      <w:r>
        <w:rPr>
          <w:rFonts w:ascii="Times New Roman" w:eastAsia="Calibri" w:hAnsi="Times New Roman" w:cs="Times New Roman"/>
          <w:sz w:val="26"/>
          <w:szCs w:val="26"/>
        </w:rPr>
        <w:t>части стран или целые небольшие страны, выходящие к морю, а также территориальные воды и исключительные экономические зоны).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II. Естественно-географический контур (обычно включает само море, его водосборный бассейн, но могут быть использованы и другие пара</w:t>
      </w:r>
      <w:r>
        <w:rPr>
          <w:rFonts w:ascii="Times New Roman" w:eastAsia="Calibri" w:hAnsi="Times New Roman" w:cs="Times New Roman"/>
          <w:sz w:val="26"/>
          <w:szCs w:val="26"/>
        </w:rPr>
        <w:t>метры, например, влияние моря на местный климат или особенности рельефа).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III.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Коммуникационный контур (включает, прежде всего, внутренние водные пути и сеть морских и речных портов, причем допустимо в него включать реки, относящиеся к бассейнам соседнего </w:t>
      </w:r>
      <w:r>
        <w:rPr>
          <w:rFonts w:ascii="Times New Roman" w:eastAsia="Calibri" w:hAnsi="Times New Roman" w:cs="Times New Roman"/>
          <w:sz w:val="26"/>
          <w:szCs w:val="26"/>
        </w:rPr>
        <w:t>моря, но обслуживающие приморский контур и связанные с данным морем каналами; Важны и наиболее загруженные морские пути;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современных условиях здесь же рассматриваются и другие формы коммуникаций: автомобильные, железнодорожные и авиационные, если они нос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ят именно региональный характер, поэтому особый интерес к кольцевым дорогам и путям вдоль побережий; здесь же следует рассматривать пояс реального экономического влияния приморского положения, в отличие от выделения полосы неизменной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ширины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 контуре I).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</w:t>
      </w:r>
      <w:r>
        <w:rPr>
          <w:rFonts w:ascii="Times New Roman" w:eastAsia="Calibri" w:hAnsi="Times New Roman" w:cs="Times New Roman"/>
          <w:sz w:val="26"/>
          <w:szCs w:val="26"/>
        </w:rPr>
        <w:t xml:space="preserve">V.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Соседский контур (включает части стран или страны целиком, которые не имеют выход к морю, но либо соседствуют с прибрежными странами, либо территорию которых частично захватывают II и III контуры.</w:t>
      </w:r>
      <w:proofErr w:type="gramEnd"/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V. Геополитический контур или региональная геополитическ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ая система с максимально широкими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регионообразующими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геополитическими отношениями (обширный регион, включающий все вышеназванные контуры, а также отношения с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внерегиональными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игроками, реализующими в регионе свои интересы).</w:t>
      </w:r>
    </w:p>
    <w:p w:rsidR="00714CBA" w:rsidRDefault="00714CBA">
      <w:pPr>
        <w:overflowPunct w:val="0"/>
        <w:spacing w:after="0" w:line="240" w:lineRule="auto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</w:p>
    <w:p w:rsidR="00714CBA" w:rsidRDefault="00FA7E56">
      <w:pPr>
        <w:overflowPunct w:val="0"/>
        <w:spacing w:after="0" w:line="240" w:lineRule="auto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  <w:t>Историческая динамика Балтийско</w:t>
      </w:r>
      <w:r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  <w:t>й региональной геополитической системы</w:t>
      </w:r>
    </w:p>
    <w:p w:rsidR="00714CBA" w:rsidRDefault="00714CBA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специфике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геополитической регионализации в пределах системы в разное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историческое время логичнее говорить с позиций представлений об исторической динамике глобальной геополитической системы, неотъемлемой 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составляющей которой является Балтийская региональная общность, опираясь при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на знание специфики исторических типов геополитических отношений (геополитических процессов и их результатов) в крупные историко-геополитические периоды разви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этой системы [* 2021 с. 70-96]. Для оценки современной ситуации особенно актуальны  понимание специфики этих геополитических отношений в капиталистический и современный периоды (в исторической терминологии – в Новое и Новейшее время), особенно в их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кретно-исторические геополитические эпохи, различавшиеся по типу и  соотношению геополитических процессов, роли 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складывавшейся региональной геополитической структуре.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Вестфальскую эпоху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(1648 – 1815 гг.)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итогам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Тридцатилетней войны и реа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лизации Вестфальского договора активизируется геополитический тренд </w:t>
      </w:r>
      <w:r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суверенизации государств 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на основе религиозн</w:t>
      </w:r>
      <w:proofErr w:type="gramStart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о-</w:t>
      </w:r>
      <w:proofErr w:type="gramEnd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этногеополитических</w:t>
      </w:r>
      <w:proofErr w:type="spellEnd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процессов,</w:t>
      </w:r>
      <w:r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формируются </w:t>
      </w:r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 xml:space="preserve">четыре геополитических </w:t>
      </w:r>
      <w:proofErr w:type="spellStart"/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субрегиона</w:t>
      </w:r>
      <w:proofErr w:type="spellEnd"/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центро</w:t>
      </w:r>
      <w:proofErr w:type="spellEnd"/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-периферического типа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геополитическими полюсами  каждого из  которых были  Швеция, Польша, Пруссия и  Россия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Московское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государство и Российская империя). 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Вестфальская</w:t>
      </w:r>
      <w:r>
        <w:rPr>
          <w:rFonts w:ascii="Times New Roman" w:eastAsia="SimSun" w:hAnsi="Times New Roman" w:cs="Times New Roman"/>
          <w:sz w:val="26"/>
          <w:szCs w:val="26"/>
          <w:highlight w:val="green"/>
          <w:lang w:eastAsia="ru-RU"/>
        </w:rPr>
        <w:t xml:space="preserve"> эпоха, как и другие, имела внутреннюю структуру. 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Конечно, нами будут названы лишь общеевропейские геополитич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еские эпохи в рамках соответствующих систем международных отношений. Для региона Балтики внутри них можно выделить несколько этапов, которые будут отличаться от этапов геополитического развития в других регионах Европы. В</w:t>
      </w:r>
      <w:r>
        <w:rPr>
          <w:rFonts w:ascii="Times New Roman" w:eastAsia="SimSun" w:hAnsi="Times New Roman" w:cs="Times New Roman"/>
          <w:sz w:val="26"/>
          <w:szCs w:val="26"/>
          <w:highlight w:val="green"/>
          <w:lang w:eastAsia="ru-RU"/>
        </w:rPr>
        <w:t xml:space="preserve"> частности, выделяется этап расшире</w:t>
      </w:r>
      <w:r>
        <w:rPr>
          <w:rFonts w:ascii="Times New Roman" w:eastAsia="SimSun" w:hAnsi="Times New Roman" w:cs="Times New Roman"/>
          <w:sz w:val="26"/>
          <w:szCs w:val="26"/>
          <w:highlight w:val="green"/>
          <w:lang w:eastAsia="ru-RU"/>
        </w:rPr>
        <w:t>ния участия России в балтийской геополитической системе (начало XVIII в.) и финальный переходный этап геополитической нестабильности – период Наполеоновских войн.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Венская эпоха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(1815 – 1914 гг.). По итогам наполеоновских войн и решений Венского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конгресса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под воздействием имперско-государственно-геополитических  и  этно-геополитических процессов постепенно оформляются </w:t>
      </w:r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 xml:space="preserve">два геополитических </w:t>
      </w:r>
      <w:proofErr w:type="spellStart"/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субрегиона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полюсами  которых были Пруссия (с 1871 г. – Германия) и Россия.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Версальская эпоха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(1920-е – 1930-е гг.). По итогам Первой мировой войны и Версальской системы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мирных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договоров в ходе формационн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, государственно- и  этно-геополитических процессов формируется </w:t>
      </w:r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биполярная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балтийская региональная структура с </w:t>
      </w:r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 xml:space="preserve">двумя геополитическими </w:t>
      </w:r>
      <w:proofErr w:type="spellStart"/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субрегио</w:t>
      </w:r>
      <w:r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ru-RU"/>
        </w:rPr>
        <w:t>нами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формационного типа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западным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(капиталистическим) и </w:t>
      </w:r>
      <w:r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восточным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(социалистическим),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геополитическим полюсом первого была Германия, а второй был представлен  СССР.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Потсдамская эпоха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(1945 г. – начало 1990-х гг.). По итогам Второй мировой войны и решений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Потсдамской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конференции в Европе доминирует тренд формационно-геополитических процессов в форме конфронтации капиталистической и социалистической систем и складывается </w:t>
      </w:r>
      <w:r>
        <w:rPr>
          <w:rFonts w:ascii="Times New Roman" w:eastAsia="SimSun" w:hAnsi="Times New Roman" w:cs="Times New Roman"/>
          <w:i/>
          <w:iCs/>
          <w:sz w:val="26"/>
          <w:szCs w:val="26"/>
          <w:lang w:eastAsia="ru-RU"/>
        </w:rPr>
        <w:t xml:space="preserve">биполярная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структура с двумя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центропериферическими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конфронтационными геополитическими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су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брегионами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формационного типа – </w:t>
      </w:r>
      <w:r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западно-балтийским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(капиталистическим) и </w:t>
      </w:r>
      <w:r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восточно-балтийским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(социалистическим). Их геополитическими полюсами-интеграторами в Балтийском пространстве были ФРГ (при поддержке западных союзников) и СССР. Происходит военно-поли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тический (НАТО – ОВД) и геоэкономический (ЕС – СЭВ) раскол Балтийского пространства. Для СССР в этот период Балтийский регион играл существенную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геоэкономическую роль. Доля всех стран региона в его внешней торговле составляла 29 %. Правда, основная часть п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риходилась на Польшу и ГДР, хотя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важное значение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имели также ФРГ и Финляндия [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Межевич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2016, с. 19]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Беловежская эпоха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(с конца 1980-х – начала 1990-х гг. </w:t>
      </w:r>
      <w:r>
        <w:rPr>
          <w:rFonts w:ascii="Times New Roman" w:eastAsia="SimSun" w:hAnsi="Times New Roman" w:cs="Times New Roman"/>
          <w:sz w:val="26"/>
          <w:szCs w:val="26"/>
          <w:highlight w:val="green"/>
          <w:lang w:eastAsia="ru-RU"/>
        </w:rPr>
        <w:t>до настоящего времени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) характеризуется геополитическим трендом фрагментации пространства Балтийского региона на геополитические региональные общности различного типа (государственные, межгосударственные, этнические и др.) и масштаба. Первоначально доминировали формационно-геоп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олитические и этно-геополитические процессы в форме распада социалистической системы и её структур в Европе, распада СССР и образования в Балтийском пространстве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этноцентричных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постсоциалистических государств, переживающих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разноскоростной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>» процесс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вестер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низации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» (реформирования на основе западных политических,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экономических и гуманитарных технологий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).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Впервые, несмотря на сохраняющуюся разную геополитическую ориентацию государств ранее сложившихся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субрегионов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активно развиваются </w:t>
      </w:r>
      <w:r>
        <w:rPr>
          <w:rFonts w:ascii="Times New Roman" w:eastAsia="SimSun" w:hAnsi="Times New Roman" w:cs="Times New Roman"/>
          <w:i/>
          <w:iCs/>
          <w:sz w:val="26"/>
          <w:szCs w:val="26"/>
          <w:lang w:eastAsia="ru-RU"/>
        </w:rPr>
        <w:t>интеграционные процессы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экономической, социальной и гуманитарной сферах, формирующие разномасштабные региональные общности нового типа – «регионы трансграничного сотрудничества» («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еврорегионы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», регионы программы </w:t>
      </w:r>
      <w:r>
        <w:rPr>
          <w:rFonts w:ascii="Times New Roman" w:eastAsia="SimSun" w:hAnsi="Times New Roman" w:cs="Times New Roman"/>
          <w:sz w:val="26"/>
          <w:szCs w:val="26"/>
          <w:lang w:val="en-US" w:eastAsia="ru-RU"/>
        </w:rPr>
        <w:t>INTERREG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, Совет государств Балтийского моря, Хельсинкская комиссия,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VASAB  и др.).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Результатом такого развития в течение полутора десятилетий стало появление самого успешного в Европе кооперативного «Балтийского региона сотрудничества», опыт которого активно изучался и пропагандировался как модель для трансграничного сотр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удничества в других приграничных регионах [см., например, * 2021; Фёдоров,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Корнеевец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2020;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Федоров 2016; Федоров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Зверев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Корнеевец</w:t>
      </w:r>
      <w:proofErr w:type="spellEnd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 2008;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Осмоловская</w:t>
      </w:r>
      <w:proofErr w:type="spellEnd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, 2016;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Sebentsov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Zotova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2018;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Sebentsov</w:t>
      </w:r>
      <w:proofErr w:type="spellEnd"/>
      <w:r>
        <w:rPr>
          <w:rFonts w:ascii="Times New Roman" w:hAnsi="Times New Roman" w:cs="Times New Roman"/>
          <w:sz w:val="26"/>
          <w:szCs w:val="26"/>
        </w:rPr>
        <w:t>, 2020;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Koch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].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Тем не менее, относительное значение региона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для России постепенно снижалось за счет развития других направлений торговли. Так, к 2014 г. его доля во внешнеторговом обороте снизилась до 18,5%, из которых 8,9% приходилось на ФРГ [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Межевич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2016, с.19]. Можно сказать, что с точки зрения России в регионе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сформировался </w:t>
      </w:r>
      <w:proofErr w:type="spellStart"/>
      <w:r>
        <w:rPr>
          <w:rFonts w:ascii="Times New Roman" w:eastAsia="SimSun" w:hAnsi="Times New Roman" w:cs="Times New Roman"/>
          <w:i/>
          <w:iCs/>
          <w:sz w:val="26"/>
          <w:szCs w:val="26"/>
          <w:lang w:eastAsia="ru-RU"/>
        </w:rPr>
        <w:t>трансбалтийский</w:t>
      </w:r>
      <w:proofErr w:type="spellEnd"/>
      <w:r>
        <w:rPr>
          <w:rFonts w:ascii="Times New Roman" w:eastAsia="SimSun" w:hAnsi="Times New Roman" w:cs="Times New Roman"/>
          <w:i/>
          <w:iCs/>
          <w:sz w:val="26"/>
          <w:szCs w:val="26"/>
          <w:lang w:eastAsia="ru-RU"/>
        </w:rPr>
        <w:t xml:space="preserve"> геоэкономический коридор Россия – Германия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, наглядным выражением которого стал запуск газопровода «Северный поток» (2012). Но в то же время регион всё меньше упоминался в каждой новой редакции Концепции внешней политики Росси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и.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 позиций сложившейся на этой геоэкономической основе стабильности геополитических отношений, обеспечивавшей успешность региона, можно было констатировать появление в Европе новой региональной кооперативной геополитической общности «де-факто» – 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Балтийс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кого геополитического региона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, контрастного своими устойчивыми геополитическими отношениями сотрудничества на обширном пространстве «Евразийской дуги нестабильности» с цепью разнотипных конфликтных регионов на постсоветском пространстве [Автор 2022].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Однак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 процесс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конфликтогенной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экспансии НАТО с конца 1990-х гг., а позже, как ее результата – геополитического раскола Украины в 2014 г., сопровождавшегося интеграцией в состав России Крыма, а в 2022 г. в ходе специальной военной операции также ДНР и ЛНР, Херс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онской и Запорожской областей,  привели к негативным геополитическим и геоэкономическим последствиям для развития региона, как и для всей коллективной Европы.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Первоначально (в 2014–21 гг.) это были ограничения и сокращени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е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взаимовыгодного трансграничного взаимодействия в результате мер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санкционной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геополитики» стран Запада и ответных мер России и Белоруссии, а с 2022 г. – его полное прекращение с ликвидацией ранее сложившихся форм сотрудничества, обеспечивавших региональн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ую общность. К этому добавились новые  «коллективные» инструменты раскола Балтийского региона антироссийской и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антибелорусской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направленности: демонстративный выход России из СГБМ, поскольку участники организации перестали быть равноправными [Россия...]; «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Крымская платформа»; «недружественные государства»; расширение НАТО на Балтике в 2023 г.;</w:t>
      </w:r>
      <w:r>
        <w:rPr>
          <w:rFonts w:ascii="Calibri" w:eastAsia="SimSun" w:hAnsi="Calibri" w:cs="SimSun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«формат „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Рамштайн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>“» (международная коалиция более 50 государств по оказанию военной помощи киевскому режиму) и др. В этот же ряд можно поставить уничтожение с молчаливого согласия Германии обоих «Северных потоков». На Балтийский регион опустился новый «жел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езный занавес», отчасти более жесткий, чем в Версальскую и Потсдамскую эпохи. Политическое значение Балтийского региона для России резко упало, чему способствует и ускорившийся «поворот на восток». В принятой в 2023 г. новой Концепции внешней политики Росс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ии Балтийский регион впервые не упоминается вовсе, зато больше внимания уделено Латинской Америке и Африке.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Закономерным результатом этих дезинтеграционных региональных и поддерживающих их глобальных геополитических процессов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на пространстве формировавшег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ося к</w:t>
      </w:r>
      <w:r>
        <w:rPr>
          <w:rFonts w:ascii="Times New Roman" w:hAnsi="Times New Roman" w:cs="Times New Roman"/>
          <w:iCs/>
          <w:sz w:val="26"/>
          <w:szCs w:val="26"/>
        </w:rPr>
        <w:t>ооперативного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Балтийского геополитического региона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стала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новая региональная геополитическая общность, но теперь на основе конфронтационных геополитических отношений и с двумя противоположными геополитическими и геоэкономическими векторами развития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– 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б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алтийско-евроатлантическим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(прибалтийские страны-члены ЕС и НАТО, Украина; причем основным политическим координатором здесь выступает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внерегиональный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актор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– США [Смирнов 2020]) и 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 xml:space="preserve">балтийско-евразийским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(прибалтийская Россия и Белоруссия, интегрированные в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СНГ, Союзное государство, ОДКБ, ЕАЭС). 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Каково же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этой новой, трансформирующейся балтийской региональной геополитической общности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евразийской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геополитической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реальности в условиях формирующейся на наших глазах, условно говоря,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Постбеловежской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геополитической эпохи»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эпохи крушения доминировавших ранее этно-, государственн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-геополитических процессов, систем и  утверждения многополярной глобальной геополитической системы с приоритетом  цивилизационно-геополитических процессов? </w:t>
      </w:r>
    </w:p>
    <w:p w:rsidR="00714CBA" w:rsidRDefault="00FA7E56">
      <w:pPr>
        <w:widowControl w:val="0"/>
        <w:overflowPunct w:val="0"/>
        <w:spacing w:after="0" w:line="240" w:lineRule="auto"/>
        <w:ind w:firstLine="612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Попробуем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ответить на этот вопрос в контексте иерархии современных конфликтных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геополитических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региональных общностей в Евразии.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 «Евразийскую дугу нестабильности» (протянувшуюся от Атлантики до Тихого океана, в том числе по периметру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стсоветского пространства и имеющую неоднозначную интерпретацию) как </w:t>
      </w:r>
      <w:r>
        <w:rPr>
          <w:rFonts w:ascii="Calibri" w:eastAsia="SimSun" w:hAnsi="Calibri" w:cs="SimSu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многоочаговый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геополитический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макрорегион</w:t>
      </w:r>
      <w:r>
        <w:rPr>
          <w:rStyle w:val="a8"/>
          <w:rFonts w:ascii="Times New Roman" w:eastAsia="Times New Roman" w:hAnsi="Times New Roman" w:cs="Times New Roman"/>
          <w:bCs/>
          <w:sz w:val="26"/>
          <w:szCs w:val="26"/>
          <w:highlight w:val="green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gree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конфликтных геополитических отношений, то внутри него можно выделить две крупные геополитические подсистемы «де-факто» –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цивилизационно-геополи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тические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«Евроатлантический»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(пространство НАТО, ЕС, других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евроструктур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западной цивилизации) и «Евразийский» (Россия и государства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незападных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цивилизаций постсоветского пространства)</w:t>
      </w:r>
      <w:r>
        <w:rPr>
          <w:rFonts w:ascii="Times New Roman" w:eastAsia="SimSun" w:hAnsi="Times New Roman" w:cs="Times New Roman"/>
          <w:kern w:val="24"/>
          <w:sz w:val="26"/>
          <w:szCs w:val="26"/>
          <w:lang w:eastAsia="ru-RU"/>
        </w:rPr>
        <w:t>, а внутри</w:t>
      </w:r>
      <w:proofErr w:type="gramEnd"/>
      <w:r>
        <w:rPr>
          <w:rFonts w:ascii="Times New Roman" w:eastAsia="SimSun" w:hAnsi="Times New Roman" w:cs="Times New Roman"/>
          <w:kern w:val="24"/>
          <w:sz w:val="26"/>
          <w:szCs w:val="26"/>
          <w:lang w:eastAsia="ru-RU"/>
        </w:rPr>
        <w:t xml:space="preserve"> них – ряд </w:t>
      </w:r>
      <w:r>
        <w:rPr>
          <w:rFonts w:ascii="Times New Roman" w:eastAsia="SimSun" w:hAnsi="Times New Roman" w:cs="Times New Roman"/>
          <w:i/>
          <w:kern w:val="24"/>
          <w:sz w:val="26"/>
          <w:szCs w:val="26"/>
          <w:lang w:eastAsia="ru-RU"/>
        </w:rPr>
        <w:t>геополитических регионов</w:t>
      </w:r>
      <w:r>
        <w:rPr>
          <w:rFonts w:ascii="Times New Roman" w:eastAsia="SimSun" w:hAnsi="Times New Roman" w:cs="Times New Roman"/>
          <w:kern w:val="24"/>
          <w:sz w:val="26"/>
          <w:szCs w:val="26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kern w:val="24"/>
          <w:sz w:val="26"/>
          <w:szCs w:val="26"/>
          <w:lang w:eastAsia="ru-RU"/>
        </w:rPr>
        <w:t xml:space="preserve">с разнотипными конфликтными отношениями между двумя и более </w:t>
      </w:r>
      <w:proofErr w:type="spellStart"/>
      <w:r>
        <w:rPr>
          <w:rFonts w:ascii="Times New Roman" w:eastAsia="SimSun" w:hAnsi="Times New Roman" w:cs="Times New Roman"/>
          <w:bCs/>
          <w:iCs/>
          <w:kern w:val="24"/>
          <w:sz w:val="26"/>
          <w:szCs w:val="26"/>
          <w:lang w:eastAsia="ru-RU"/>
        </w:rPr>
        <w:t>акторами</w:t>
      </w:r>
      <w:proofErr w:type="spellEnd"/>
      <w:r>
        <w:rPr>
          <w:rFonts w:ascii="Times New Roman" w:eastAsia="SimSun" w:hAnsi="Times New Roman" w:cs="Times New Roman"/>
          <w:bCs/>
          <w:iCs/>
          <w:kern w:val="24"/>
          <w:sz w:val="26"/>
          <w:szCs w:val="26"/>
          <w:lang w:eastAsia="ru-RU"/>
        </w:rPr>
        <w:t xml:space="preserve">-государствами (их союзами и другими структурами)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[Автор 2021]</w:t>
      </w:r>
      <w:r>
        <w:rPr>
          <w:rFonts w:ascii="Times New Roman" w:eastAsia="SimSun" w:hAnsi="Times New Roman" w:cs="Times New Roman"/>
          <w:bCs/>
          <w:iCs/>
          <w:kern w:val="24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этих позиций как балтийские, так и некоторые сопредельные с ними (Белоруссия, Украина) страны, расположенные на стыке, в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алтийской контактной зоне Евроатлантического и Евразийского регионов можно рассматривать как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конфронтационный Балтийский геополитический регион </w:t>
      </w:r>
      <w:r>
        <w:rPr>
          <w:rFonts w:ascii="Times New Roman" w:eastAsia="SimSun" w:hAnsi="Times New Roman" w:cs="Times New Roman"/>
          <w:i/>
          <w:iCs/>
          <w:kern w:val="24"/>
          <w:sz w:val="26"/>
          <w:szCs w:val="26"/>
          <w:lang w:eastAsia="ru-RU"/>
        </w:rPr>
        <w:t>«де-факто</w:t>
      </w:r>
      <w:r>
        <w:rPr>
          <w:rFonts w:ascii="Times New Roman" w:eastAsia="SimSun" w:hAnsi="Times New Roman" w:cs="Times New Roman"/>
          <w:b/>
          <w:i/>
          <w:iCs/>
          <w:kern w:val="24"/>
          <w:sz w:val="26"/>
          <w:szCs w:val="26"/>
          <w:lang w:eastAsia="ru-RU"/>
        </w:rPr>
        <w:t xml:space="preserve">»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со сложной, мозаичной геополитической структурой конфликтных отношений биполярного </w:t>
      </w:r>
      <w:proofErr w:type="gramStart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типа</w:t>
      </w:r>
      <w:proofErr w:type="gramEnd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 как между сос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тавляющими его государствами,  так и между каждым из них и международными организациями.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Это позволяет выделить в Балтийском геополитическом регионе в соответствии с обозначенными  геополитическими векторами развития его участников два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субрегиона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балтийс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ко-евроатлантический и балтийско-евразийский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, связанных конфронтационными геополитическими отношениями.</w:t>
      </w:r>
    </w:p>
    <w:p w:rsidR="00714CBA" w:rsidRDefault="00714CBA">
      <w:pPr>
        <w:keepNext/>
        <w:widowControl w:val="0"/>
        <w:overflowPunct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</w:p>
    <w:p w:rsidR="00714CBA" w:rsidRDefault="00FA7E56">
      <w:pPr>
        <w:keepNext/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Выводы</w:t>
      </w:r>
    </w:p>
    <w:p w:rsidR="00714CBA" w:rsidRDefault="00714CBA">
      <w:pPr>
        <w:keepNext/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Таким образом, нами рассмотрены несколько связанных вопросов, важных для понимания содержательных и географических характеристик Балтийского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региона. Для этого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green"/>
          <w:lang w:eastAsia="ru-RU"/>
        </w:rPr>
        <w:t xml:space="preserve">был использован </w:t>
      </w:r>
      <w:proofErr w:type="spellStart"/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green"/>
          <w:lang w:eastAsia="ru-RU"/>
        </w:rPr>
        <w:t>деятельностно-геопространственный</w:t>
      </w:r>
      <w:proofErr w:type="spellEnd"/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green"/>
          <w:lang w:eastAsia="ru-RU"/>
        </w:rPr>
        <w:t xml:space="preserve"> подход </w:t>
      </w:r>
      <w:proofErr w:type="gramStart"/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green"/>
          <w:lang w:eastAsia="ru-RU"/>
        </w:rPr>
        <w:t>к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red"/>
          <w:lang w:eastAsia="ru-RU"/>
        </w:rPr>
        <w:t>была</w:t>
      </w:r>
      <w:proofErr w:type="gramEnd"/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red"/>
          <w:lang w:eastAsia="ru-RU"/>
        </w:rPr>
        <w:t xml:space="preserve"> использована </w:t>
      </w:r>
      <w:proofErr w:type="spellStart"/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red"/>
          <w:lang w:eastAsia="ru-RU"/>
        </w:rPr>
        <w:t>деятельностно-геопространственная</w:t>
      </w:r>
      <w:proofErr w:type="spellEnd"/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red"/>
          <w:lang w:eastAsia="ru-RU"/>
        </w:rPr>
        <w:t xml:space="preserve"> концепция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 политической географии и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green"/>
          <w:lang w:eastAsia="ru-RU"/>
        </w:rPr>
        <w:t xml:space="preserve">геополитике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highlight w:val="red"/>
          <w:lang w:eastAsia="ru-RU"/>
        </w:rPr>
        <w:t>геополитики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. На этой базе предложена типология трансграничных и транснациональн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ых регионов, применённая к исследованию Балтийского региона. На современном этапе наиболее актуальна типология по признаку качества </w:t>
      </w:r>
      <w:proofErr w:type="spellStart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регионообразующих</w:t>
      </w:r>
      <w:proofErr w:type="spellEnd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  отношений или их </w:t>
      </w:r>
      <w:proofErr w:type="spellStart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комплиментарности</w:t>
      </w:r>
      <w:proofErr w:type="spellEnd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 (регионы сотрудничества или конфликта).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Далее рассмотрено </w:t>
      </w:r>
      <w:proofErr w:type="spellStart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циркумбалтий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ское</w:t>
      </w:r>
      <w:proofErr w:type="spellEnd"/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 xml:space="preserve"> пространство с тоски зрения определения границ Балтийского региона. Сделан вывод, что с геополитической точки зрения разные версии его делимитации не противоречат друг другу, а представляют лишь разные грани единой региональной геополитической системы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. На этом основании предложено рассматривать в единстве четыре «геополитических контура», определяемых на основе разных методологических принципов.</w:t>
      </w:r>
    </w:p>
    <w:p w:rsidR="00714CBA" w:rsidRDefault="00FA7E56">
      <w:pPr>
        <w:widowControl w:val="0"/>
        <w:overflowPunct w:val="0"/>
        <w:spacing w:after="0" w:line="240" w:lineRule="auto"/>
        <w:ind w:firstLine="612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Показана специфика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геополитической регионализации в пределах 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 xml:space="preserve">Балтийской региональной геополитической </w:t>
      </w:r>
      <w:r>
        <w:rPr>
          <w:rFonts w:ascii="Times New Roman" w:eastAsia="TimesNewRomanPS-ItalicMT" w:hAnsi="Times New Roman" w:cs="Times New Roman"/>
          <w:iCs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разное историческое время, отражающая динамику глобальной геополитической системы и рассмотренная на уровне пяти её геополитических эпох и геополитических процессов двух последних десятилетий. В частности, показана историческая трансформация геоп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олитических процессов, систем  и структур в Балтийском регионе от этн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религиозно-геополитических в Вестфальскую эпоху  к имперско-геополитическим  в Венскую и к формационно-геополитическим в Версальскую и Потсдамскую  эпохи с устойчивой 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биполярной структурой региона и двумя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центропериферическими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геополитическими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субрегионами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полюсами  которых были Пруссия (Германия) и Россия (СССР). </w:t>
      </w:r>
    </w:p>
    <w:p w:rsidR="00714CBA" w:rsidRDefault="00FA7E56">
      <w:pPr>
        <w:widowControl w:val="0"/>
        <w:overflowPunct w:val="0"/>
        <w:spacing w:after="0" w:line="240" w:lineRule="auto"/>
        <w:ind w:firstLine="612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В Беловежскую эпоху доминирование формационно-геополитических и этно-геополитические процессов (в форме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распада социалистической системы и её структур, распада СССР, образования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этноцентричных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постсоциалистических государств, процесса их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вестернизации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 впервые приводит, благодаря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интеграционным процессам, к формированию новой региональной кооперативной геоп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олитической общности «де-факто» –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Балтийского геополитического региона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– с устойчивыми геополитическими отношениями сотрудничества. Однако с 2014г. нарастание конфронтационных  цивилизационно-геополитических процессов между странами региона привело к появл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ению нового «железного занавеса» и  современной биполярной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геополитической общности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конфронтационного Балтийского геополитического региона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«де-факто</w:t>
      </w:r>
      <w:r>
        <w:rPr>
          <w:rFonts w:ascii="Times New Roman" w:eastAsia="SimSun" w:hAnsi="Times New Roman" w:cs="Times New Roman"/>
          <w:b/>
          <w:iCs/>
          <w:kern w:val="24"/>
          <w:sz w:val="26"/>
          <w:szCs w:val="26"/>
          <w:lang w:eastAsia="ru-RU"/>
        </w:rPr>
        <w:t xml:space="preserve">» </w:t>
      </w:r>
      <w:r>
        <w:rPr>
          <w:rFonts w:ascii="Times New Roman" w:eastAsia="SimSun" w:hAnsi="Times New Roman" w:cs="Times New Roman"/>
          <w:iCs/>
          <w:kern w:val="24"/>
          <w:sz w:val="26"/>
          <w:szCs w:val="26"/>
          <w:lang w:eastAsia="ru-RU"/>
        </w:rPr>
        <w:t>с разными</w:t>
      </w:r>
      <w:r>
        <w:rPr>
          <w:rFonts w:ascii="Times New Roman" w:eastAsia="SimSun" w:hAnsi="Times New Roman" w:cs="Times New Roman"/>
          <w:b/>
          <w:iCs/>
          <w:kern w:val="2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геополитическими векторами развития его участников, разделивших регион на два геополитических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субрегиона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«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балтийско-евроатлантический» и «балтийско-евразийский»</w:t>
      </w:r>
      <w:r>
        <w:rPr>
          <w:rFonts w:ascii="Times New Roman" w:eastAsia="SimSun" w:hAnsi="Times New Roman" w:cs="Times New Roman"/>
          <w:bCs/>
          <w:i/>
          <w:sz w:val="26"/>
          <w:szCs w:val="26"/>
          <w:lang w:eastAsia="ru-RU"/>
        </w:rPr>
        <w:t>.</w:t>
      </w:r>
    </w:p>
    <w:p w:rsidR="00714CBA" w:rsidRDefault="00FA7E56">
      <w:pPr>
        <w:keepNext/>
        <w:widowControl w:val="0"/>
        <w:overflowPunct w:val="0"/>
        <w:spacing w:after="0" w:line="240" w:lineRule="auto"/>
        <w:ind w:firstLine="658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14CBA" w:rsidRDefault="00FA7E56">
      <w:pPr>
        <w:keepNext/>
        <w:widowControl w:val="0"/>
        <w:overflowPunct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714CBA" w:rsidRDefault="00714CBA">
      <w:pPr>
        <w:keepNext/>
        <w:widowControl w:val="0"/>
        <w:overflowPunct w:val="0"/>
        <w:spacing w:after="0" w:line="240" w:lineRule="auto"/>
        <w:ind w:firstLine="658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Автор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2017.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Автор 1996.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 2014. 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2021.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Автор, Автор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2019.</w:t>
      </w:r>
    </w:p>
    <w:p w:rsidR="00714CBA" w:rsidRDefault="00FA7E56">
      <w:pPr>
        <w:widowControl w:val="0"/>
        <w:overflowPunct w:val="0"/>
        <w:spacing w:after="0" w:line="240" w:lineRule="auto"/>
        <w:ind w:firstLine="65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Автор, Автор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2020. </w:t>
      </w:r>
    </w:p>
    <w:p w:rsidR="00714CBA" w:rsidRDefault="00FA7E56">
      <w:pPr>
        <w:widowControl w:val="0"/>
        <w:overflowPunct w:val="0"/>
        <w:spacing w:after="0" w:line="240" w:lineRule="auto"/>
        <w:ind w:firstLine="61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Автор и др., 2018. 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Автор,  ред., 2021. 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Автор, и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др</w:t>
      </w:r>
      <w:proofErr w:type="spellEnd"/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2021. .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Клемешев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 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Корнеевец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 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Пальмовский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Студжиницки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Т., Федоров, Г. М. 2017. Подходы к определению понятия «Балтийский регион». </w:t>
      </w:r>
      <w:r>
        <w:rPr>
          <w:rFonts w:ascii="Times New Roman" w:hAnsi="Times New Roman" w:cs="Times New Roman"/>
          <w:i/>
          <w:iCs/>
          <w:sz w:val="26"/>
          <w:szCs w:val="26"/>
        </w:rPr>
        <w:t>Балтийский регион</w:t>
      </w:r>
      <w:r>
        <w:rPr>
          <w:rFonts w:ascii="Times New Roman" w:hAnsi="Times New Roman" w:cs="Times New Roman"/>
          <w:sz w:val="26"/>
          <w:szCs w:val="26"/>
        </w:rPr>
        <w:t>. Т. 9. № 4. с. 7–28. https://doi.org/10.5922/2074-9848-2017-4-1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Корнеевец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В. С. 2010.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Транснацион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альные и трансграничные регионы как специфические формы территориальной организации общества,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автореф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дисс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...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докт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геогр. наук. СПб.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Межевич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Н. М.,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Кретинин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Г. В., Федоров, Г. М. 2016. К вопросу об экономико-географической структуризации Балтийского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региона,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Балтийский регион,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 8, № 3, с. 15-29.  </w:t>
      </w:r>
      <w:r>
        <w:rPr>
          <w:rFonts w:ascii="Times New Roman" w:hAnsi="Times New Roman" w:cs="Times New Roman"/>
          <w:sz w:val="26"/>
          <w:szCs w:val="26"/>
        </w:rPr>
        <w:t>https://doi.org/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10.5922/2074-9848-2016-3-1.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Мечников, Л. И. 2008. Цивилизация и великие исторические реки (географическая теория прогресса и социального развития),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Среднерусский вестник общественных наук,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N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o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2(7), с. 122−124. https://www.elibrary.ru/msmvlf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Монастырская, М. Е. 2023.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Циркумбалтийское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пространство»: исторические предпосылки и теоретико-методологические основы делимитации,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Градостроительство и архитектура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2023. Т. 13, № 1(50)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121-134. </w:t>
      </w:r>
      <w:r>
        <w:rPr>
          <w:rFonts w:ascii="Times New Roman" w:hAnsi="Times New Roman" w:cs="Times New Roman"/>
          <w:sz w:val="26"/>
          <w:szCs w:val="26"/>
        </w:rPr>
        <w:t>http</w:t>
      </w:r>
      <w:r>
        <w:rPr>
          <w:rFonts w:ascii="Times New Roman" w:hAnsi="Times New Roman" w:cs="Times New Roman"/>
          <w:sz w:val="26"/>
          <w:szCs w:val="26"/>
        </w:rPr>
        <w:t>s://doi.org/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10.17673/Vestnik.2023.01.16.</w:t>
      </w:r>
    </w:p>
    <w:p w:rsidR="00714CBA" w:rsidRDefault="00FA7E56">
      <w:pPr>
        <w:spacing w:after="0" w:line="240" w:lineRule="auto"/>
        <w:ind w:firstLine="612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Осмоловская</w:t>
      </w:r>
      <w:proofErr w:type="spellEnd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, Л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Г. 2016. Механизм формирования трансграничных регионов с участием субъектов Российской Федерации и стран-членов Европейского союза, В кн.: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Клемешев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А.П.,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Межевич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Н.М. Фёдоров. Г.М., ред.,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Прибалтийские исследования в России,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матер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еждунар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научно-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практ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конф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., Калининград: Изд-во БФУ им. И. Канта, с. 68-72.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Россия решила выйти из Совета государств Балтийского моря.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ТАСС</w:t>
      </w:r>
      <w:r>
        <w:rPr>
          <w:rFonts w:ascii="Times New Roman" w:hAnsi="Times New Roman" w:cs="Times New Roman"/>
          <w:sz w:val="26"/>
          <w:szCs w:val="26"/>
          <w:lang w:eastAsia="ru-RU"/>
        </w:rPr>
        <w:t>. 17 мая 2022. https://tass.ru/politika/14647127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Рябцев, В. Н. 2019. 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вопросу об отличительных особенностях геополитического региона в сравнении с регионом географическим,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Региональные политические исследования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№ 1. с.118-130.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Семенов-Тян-Шанский, В. П. 1915. О могущественном территориальном владении применительно к России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Очерк по политической географии, </w:t>
      </w:r>
      <w:proofErr w:type="spellStart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Изв</w:t>
      </w:r>
      <w:proofErr w:type="spellEnd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Имп</w:t>
      </w:r>
      <w:proofErr w:type="spellEnd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 Рус</w:t>
      </w:r>
      <w:proofErr w:type="gramStart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еогр. о-ва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8.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Смирнов, П. Е. 2020. Эволюция политических приоритетов США в регионе Балтийского моря во втором десятилетии XXI века,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Балтийский регион,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 12, № 3. c. 4-25. https://doi.org/10.5922/207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9-8555-2020-3-1. – EDN IXULIM.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Федоров, Г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М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2016. Возможные направления развития трансграничных связей субъектов Российской Федерации и стран Европейского Союза на Балтике, В кн.: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Клемешев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А.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Межевич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Н.М, Фёдоров, Г.М., ред.,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Прибалтийские исследован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ия в России,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матер.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междунар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конф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., Калининград: Изд-во БФУ им. И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Канта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2016.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 82-84.</w:t>
      </w:r>
    </w:p>
    <w:p w:rsidR="00714CBA" w:rsidRDefault="00FA7E56">
      <w:pPr>
        <w:spacing w:after="0" w:line="240" w:lineRule="auto"/>
        <w:ind w:firstLine="612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Федоров, Г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М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.,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Зверев, Ю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М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Корнеевец</w:t>
      </w:r>
      <w:proofErr w:type="spellEnd"/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, В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С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extendedtext-short"/>
          <w:rFonts w:ascii="Times New Roman" w:hAnsi="Times New Roman" w:cs="Times New Roman"/>
          <w:bCs/>
          <w:i/>
          <w:iCs/>
          <w:sz w:val="26"/>
          <w:szCs w:val="26"/>
        </w:rPr>
        <w:t>Россия</w:t>
      </w:r>
      <w:r>
        <w:rPr>
          <w:rStyle w:val="extendedtext-short"/>
          <w:rFonts w:ascii="Times New Roman" w:hAnsi="Times New Roman" w:cs="Times New Roman"/>
          <w:i/>
          <w:iCs/>
          <w:sz w:val="26"/>
          <w:szCs w:val="26"/>
        </w:rPr>
        <w:t xml:space="preserve"> на </w:t>
      </w:r>
      <w:r>
        <w:rPr>
          <w:rStyle w:val="extendedtext-short"/>
          <w:rFonts w:ascii="Times New Roman" w:hAnsi="Times New Roman" w:cs="Times New Roman"/>
          <w:bCs/>
          <w:i/>
          <w:iCs/>
          <w:sz w:val="26"/>
          <w:szCs w:val="26"/>
        </w:rPr>
        <w:t>Балтике</w:t>
      </w:r>
      <w:r>
        <w:rPr>
          <w:rStyle w:val="extendedtext-short"/>
          <w:rFonts w:ascii="Times New Roman" w:hAnsi="Times New Roman" w:cs="Times New Roman"/>
          <w:i/>
          <w:iCs/>
          <w:sz w:val="26"/>
          <w:szCs w:val="26"/>
        </w:rPr>
        <w:t>: 1990—2007 годы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, монография. Под ред. проф. А. П. </w:t>
      </w:r>
      <w:proofErr w:type="spellStart"/>
      <w:r>
        <w:rPr>
          <w:rStyle w:val="extendedtext-short"/>
          <w:rFonts w:ascii="Times New Roman" w:hAnsi="Times New Roman" w:cs="Times New Roman"/>
          <w:sz w:val="26"/>
          <w:szCs w:val="26"/>
        </w:rPr>
        <w:t>Клемешева</w:t>
      </w:r>
      <w:proofErr w:type="spellEnd"/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, Калининград: Изд-во РГУ им. И. Кант, 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2008. 224с.</w:t>
      </w:r>
    </w:p>
    <w:p w:rsidR="00714CBA" w:rsidRPr="002B7B62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Федоров, Г. М.,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Корнеевец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В. С.  2010. Трансграничная регионализация в условиях глобализации.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Балтийский регион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№ 4 (6). С</w:t>
      </w:r>
      <w:r w:rsidRPr="002B7B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 103—114. https://doi.org/10.5922/2074-9848-2010-4-10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Ballesteros, M. A. 2015.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Método</w:t>
      </w:r>
      <w:proofErr w:type="spellEnd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para el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Análisis</w:t>
      </w:r>
      <w:proofErr w:type="spellEnd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Regiones</w:t>
      </w:r>
      <w:proofErr w:type="spellEnd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Geopolíticas</w:t>
      </w:r>
      <w:proofErr w:type="spellEnd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(MARG),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Revista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del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Instituto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Español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Analísis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Esrátegicos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(IEEE)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, N 6, p. 1-47. https://revista.ieee.es/article/view/250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Cohen, S. B. 1973.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Geography and Politics in a World Divi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ded,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New York: Oxford University Press. 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Cohen, S. B. 1982. A new map of global geopolitical equilibrium: a developmental approach,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Political Geography Quarterly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, №. 3, p. 223-241. https://doi.org/10.1016/0260-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9827(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82)90012-X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Cohen, S. B. 1994. Geopolitics in the new world era: a new perspective on an old discipline,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In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Reordering the World: Geopolitical Perspectives on the 21st Century,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p. 15-48.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Cohen, S. B. 2003.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Geopolitics of the world system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, Lanham: Rowman &amp; Littlefield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Publishers. 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Diehl, P. F. 1999.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A road map to war: territorial dimensions of international conflict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, Nashville, London: Vanderbilt University Press. 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Ekengren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M. 2018.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 return to geopolitics?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future of the security community in the Baltic Sea Region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Global Affairs</w:t>
      </w:r>
      <w:r>
        <w:rPr>
          <w:rFonts w:ascii="Times New Roman" w:hAnsi="Times New Roman" w:cs="Times New Roman"/>
          <w:sz w:val="26"/>
          <w:szCs w:val="26"/>
          <w:lang w:val="en-US"/>
        </w:rPr>
        <w:t>, https://doi.org/10.1080/23340460.2018.1535250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Engelbrekt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K. 2018. A brief intellectual history of geopolitical thought and its relevance to the Baltic Sea region,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Global Affairs</w:t>
      </w:r>
      <w:r>
        <w:rPr>
          <w:rFonts w:ascii="Times New Roman" w:hAnsi="Times New Roman" w:cs="Times New Roman"/>
          <w:sz w:val="26"/>
          <w:szCs w:val="26"/>
          <w:lang w:val="en-US"/>
        </w:rPr>
        <w:t>, https://doi.org/10.1080/23340460.2018.1535256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EUSBR, EU St</w:t>
      </w:r>
      <w:r>
        <w:rPr>
          <w:rFonts w:ascii="Times New Roman" w:hAnsi="Times New Roman" w:cs="Times New Roman"/>
          <w:sz w:val="26"/>
          <w:szCs w:val="26"/>
          <w:lang w:val="en-US"/>
        </w:rPr>
        <w:t>rategy for the Baltic Sea Region (website), https://www.eusbsr.eu/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Fisher, C. A. 1968.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Essays in Political Geography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, London: Methuen &amp; Co.  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Haldén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P. 2018. Geopolitics in the changing geography of the Baltic Sea Region: the challenges of climate change,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Global Affairs</w:t>
      </w:r>
      <w:r>
        <w:rPr>
          <w:rFonts w:ascii="Times New Roman" w:hAnsi="Times New Roman" w:cs="Times New Roman"/>
          <w:sz w:val="26"/>
          <w:szCs w:val="26"/>
          <w:lang w:val="en-US"/>
        </w:rPr>
        <w:t>, https://doi.org/10.1080/23340460.2018.1502621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IEEE,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n.d.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, Geopolitical regions,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Official site of Spanish Institute for Strate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gic Studies (IEEE)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[website], http://www.ieee.es/en/regiones-geopoliticas.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Koch, K. 2015. Region-Building and Security: The Multiple Borders of the Baltic Sea Region After EU Enlargement,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Geopolitics</w:t>
      </w:r>
      <w:r>
        <w:rPr>
          <w:rFonts w:ascii="Times New Roman" w:hAnsi="Times New Roman" w:cs="Times New Roman"/>
          <w:sz w:val="26"/>
          <w:szCs w:val="26"/>
          <w:lang w:val="en-US"/>
        </w:rPr>
        <w:t>, 20:3, p. 535-558, https://doi.org/ 10.1080/14650045.20</w:t>
      </w:r>
      <w:r>
        <w:rPr>
          <w:rFonts w:ascii="Times New Roman" w:hAnsi="Times New Roman" w:cs="Times New Roman"/>
          <w:sz w:val="26"/>
          <w:szCs w:val="26"/>
          <w:lang w:val="en-US"/>
        </w:rPr>
        <w:t>1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websire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)5.1026964 </w:t>
      </w:r>
    </w:p>
    <w:p w:rsidR="00714CBA" w:rsidRDefault="00FA7E56">
      <w:pPr>
        <w:spacing w:after="0" w:line="240" w:lineRule="auto"/>
        <w:ind w:firstLine="611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lastRenderedPageBreak/>
        <w:t>Oakleaf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, J. R.,   Kennedy, C. M., Baruch-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Mordo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, S. et al. 2015. A world at risk: aggregating development trends to forecast global habitat conversion,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PLOS ONE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, Vol. 10, №. 10. https://doi.org/10.1371/journal.pone.0138334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Sebentsov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.B. 2020.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Cross-border cooperation on the EU-Russian borders: results of the program approach,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Geography, Environment, Sustainability,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v.13, p. 74-83. https://doi.org/10.24057/2071-9388-2019-136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Sebentsov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A. B.,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Zotova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M. V. 2018. The Kaliningrad Region</w:t>
      </w:r>
      <w:r>
        <w:rPr>
          <w:rFonts w:ascii="Times New Roman" w:hAnsi="Times New Roman" w:cs="Times New Roman"/>
          <w:sz w:val="26"/>
          <w:szCs w:val="26"/>
          <w:lang w:val="en-US"/>
        </w:rPr>
        <w:t>: Challenges of the exclave position and ways to offset them, The Baltic Region, 2018, v. 10(1), p. 89-106 https://doi.org/10.5922/2079-8555-2018-1-6</w:t>
      </w:r>
    </w:p>
    <w:p w:rsidR="00714CBA" w:rsidRDefault="00FA7E5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UNECE,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n.d.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Where to navigate?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network of inland waterways in Europe and its parameters, https://unec</w:t>
      </w:r>
      <w:r>
        <w:rPr>
          <w:rFonts w:ascii="Times New Roman" w:hAnsi="Times New Roman" w:cs="Times New Roman"/>
          <w:sz w:val="26"/>
          <w:szCs w:val="26"/>
          <w:lang w:val="en-US"/>
        </w:rPr>
        <w:t>e.org/where-navigate-network-inland-waterways-europe-and-its-parameters</w:t>
      </w:r>
    </w:p>
    <w:p w:rsidR="00714CBA" w:rsidRDefault="00714CBA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14CBA" w:rsidRDefault="00FA7E5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авторах </w:t>
      </w:r>
    </w:p>
    <w:p w:rsidR="00714CBA" w:rsidRDefault="00FA7E56">
      <w:pPr>
        <w:rPr>
          <w:rFonts w:ascii="Times New Roman" w:hAnsi="Times New Roman" w:cs="Times New Roman"/>
          <w:b/>
          <w:bCs/>
          <w:color w:val="2D302E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b/>
          <w:bCs/>
          <w:color w:val="2D302E"/>
          <w:sz w:val="26"/>
          <w:szCs w:val="26"/>
          <w:shd w:val="clear" w:color="auto" w:fill="FEFEFE"/>
        </w:rPr>
        <w:t>***</w:t>
      </w:r>
    </w:p>
    <w:p w:rsidR="00714CBA" w:rsidRDefault="00714CBA">
      <w:pPr>
        <w:keepNext/>
        <w:widowControl w:val="0"/>
        <w:overflowPunct w:val="0"/>
        <w:spacing w:after="0" w:line="240" w:lineRule="auto"/>
        <w:ind w:firstLine="658"/>
        <w:contextualSpacing/>
        <w:jc w:val="both"/>
        <w:rPr>
          <w:sz w:val="26"/>
          <w:szCs w:val="26"/>
          <w:lang w:val="en-US"/>
        </w:rPr>
      </w:pPr>
    </w:p>
    <w:sectPr w:rsidR="00714CBA">
      <w:pgSz w:w="11906" w:h="16838"/>
      <w:pgMar w:top="1134" w:right="850" w:bottom="1134" w:left="1701" w:header="0" w:footer="0" w:gutter="0"/>
      <w:cols w:space="720"/>
      <w:formProt w:val="0"/>
      <w:docGrid w:linePitch="360" w:charSpace="2147483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56" w:rsidRDefault="00FA7E56">
      <w:pPr>
        <w:spacing w:after="0" w:line="240" w:lineRule="auto"/>
      </w:pPr>
      <w:r>
        <w:separator/>
      </w:r>
    </w:p>
  </w:endnote>
  <w:endnote w:type="continuationSeparator" w:id="0">
    <w:p w:rsidR="00FA7E56" w:rsidRDefault="00FA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DejaVu Sans"/>
    <w:charset w:val="00"/>
    <w:family w:val="auto"/>
    <w:pitch w:val="default"/>
  </w:font>
  <w:font w:name="TimesNewRomanPS-ItalicMT">
    <w:altName w:val="DejaVu San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56" w:rsidRDefault="00FA7E56">
      <w:pPr>
        <w:spacing w:after="0" w:line="240" w:lineRule="auto"/>
      </w:pPr>
      <w:r>
        <w:separator/>
      </w:r>
    </w:p>
  </w:footnote>
  <w:footnote w:type="continuationSeparator" w:id="0">
    <w:p w:rsidR="00FA7E56" w:rsidRDefault="00FA7E56">
      <w:pPr>
        <w:spacing w:after="0" w:line="240" w:lineRule="auto"/>
      </w:pPr>
      <w:r>
        <w:continuationSeparator/>
      </w:r>
    </w:p>
  </w:footnote>
  <w:footnote w:id="1">
    <w:p w:rsidR="00714CBA" w:rsidRDefault="00FA7E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Style w:val="a8"/>
          <w:rFonts w:ascii="Times New Roman" w:hAnsi="Times New Roman" w:cs="Times New Roman"/>
          <w:sz w:val="26"/>
          <w:szCs w:val="26"/>
          <w:highlight w:val="green"/>
        </w:rPr>
        <w:footnoteRef/>
      </w:r>
      <w:r>
        <w:rPr>
          <w:rFonts w:ascii="Times New Roman" w:hAnsi="Times New Roman" w:cs="Times New Roman"/>
          <w:sz w:val="26"/>
          <w:szCs w:val="26"/>
          <w:highlight w:val="green"/>
        </w:rPr>
        <w:t xml:space="preserve"> Иногда в отечественной географической литературе специфицированные многоочаговые пространства именуют зонами.</w:t>
      </w:r>
      <w:r>
        <w:rPr>
          <w:rFonts w:ascii="Times New Roman" w:hAnsi="Times New Roman" w:cs="Times New Roman"/>
          <w:sz w:val="26"/>
          <w:szCs w:val="26"/>
          <w:highlight w:val="green"/>
        </w:rPr>
        <w:t xml:space="preserve"> Однако с теоретической точки зрения они ближе </w:t>
      </w:r>
      <w:proofErr w:type="gramStart"/>
      <w:r>
        <w:rPr>
          <w:rFonts w:ascii="Times New Roman" w:hAnsi="Times New Roman" w:cs="Times New Roman"/>
          <w:sz w:val="26"/>
          <w:szCs w:val="26"/>
          <w:highlight w:val="green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highlight w:val="green"/>
        </w:rPr>
        <w:t>однородный</w:t>
      </w:r>
      <w:proofErr w:type="gramEnd"/>
      <w:r>
        <w:rPr>
          <w:rFonts w:ascii="Times New Roman" w:hAnsi="Times New Roman" w:cs="Times New Roman"/>
          <w:sz w:val="26"/>
          <w:szCs w:val="26"/>
          <w:highlight w:val="green"/>
        </w:rPr>
        <w:t xml:space="preserve"> районам, чем к зонам, которые обычно подразумевают общий количественный признак (зона удаленности и т.д.). Так, многоочаговый макрорегион «Латинская Америка» вряд ли можно назвать зоной.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4D"/>
    <w:rsid w:val="B759968C"/>
    <w:rsid w:val="B774CFBD"/>
    <w:rsid w:val="B96E2AE3"/>
    <w:rsid w:val="B9AE6C5C"/>
    <w:rsid w:val="B9FBE03B"/>
    <w:rsid w:val="BB9F18BA"/>
    <w:rsid w:val="BBB3CD42"/>
    <w:rsid w:val="BBBD39E7"/>
    <w:rsid w:val="BC300398"/>
    <w:rsid w:val="BDDACEC4"/>
    <w:rsid w:val="BDDFCDFD"/>
    <w:rsid w:val="BDF7B4CE"/>
    <w:rsid w:val="BDFF6CFF"/>
    <w:rsid w:val="BE3E86EA"/>
    <w:rsid w:val="BEBC3672"/>
    <w:rsid w:val="BEDF07E7"/>
    <w:rsid w:val="BEFF739E"/>
    <w:rsid w:val="BF3B5235"/>
    <w:rsid w:val="BF6CEA1C"/>
    <w:rsid w:val="BF9A2DBE"/>
    <w:rsid w:val="BFCAE25A"/>
    <w:rsid w:val="BFDE9B34"/>
    <w:rsid w:val="BFDEF6E3"/>
    <w:rsid w:val="BFE712D5"/>
    <w:rsid w:val="BFFB0BFB"/>
    <w:rsid w:val="BFFC1D69"/>
    <w:rsid w:val="BFFF4EBA"/>
    <w:rsid w:val="BFFF61FB"/>
    <w:rsid w:val="C4FB6BD2"/>
    <w:rsid w:val="C777EABD"/>
    <w:rsid w:val="C7BF024A"/>
    <w:rsid w:val="CBA701BB"/>
    <w:rsid w:val="CBDFDE1D"/>
    <w:rsid w:val="CF5CAFB9"/>
    <w:rsid w:val="CF6D0EF4"/>
    <w:rsid w:val="CFEFE68F"/>
    <w:rsid w:val="D2EFD064"/>
    <w:rsid w:val="D2FDFE36"/>
    <w:rsid w:val="D3E8B22F"/>
    <w:rsid w:val="D43660ED"/>
    <w:rsid w:val="D5EAA8C7"/>
    <w:rsid w:val="D6C30555"/>
    <w:rsid w:val="D7D9F72F"/>
    <w:rsid w:val="D7F9F2F4"/>
    <w:rsid w:val="D967E067"/>
    <w:rsid w:val="DBCF28BE"/>
    <w:rsid w:val="DBDBAAC9"/>
    <w:rsid w:val="DBFB49A8"/>
    <w:rsid w:val="DDBBEF17"/>
    <w:rsid w:val="DDC7C36C"/>
    <w:rsid w:val="DDFC91A1"/>
    <w:rsid w:val="DDFD916D"/>
    <w:rsid w:val="DE7FDA44"/>
    <w:rsid w:val="DEEF0B43"/>
    <w:rsid w:val="DEEFBB63"/>
    <w:rsid w:val="DF756A1A"/>
    <w:rsid w:val="DF7FAB85"/>
    <w:rsid w:val="DFA3AB8A"/>
    <w:rsid w:val="DFBF02CF"/>
    <w:rsid w:val="DFEF7731"/>
    <w:rsid w:val="DFFF62C4"/>
    <w:rsid w:val="E2BF80F6"/>
    <w:rsid w:val="E39CBE51"/>
    <w:rsid w:val="E7657283"/>
    <w:rsid w:val="E7CD21DA"/>
    <w:rsid w:val="E7DAFAF3"/>
    <w:rsid w:val="EBAFAFBA"/>
    <w:rsid w:val="EBD7CE6A"/>
    <w:rsid w:val="ECD5F948"/>
    <w:rsid w:val="ED5F28F8"/>
    <w:rsid w:val="ED7BE65D"/>
    <w:rsid w:val="ED7E8E46"/>
    <w:rsid w:val="EDDFA280"/>
    <w:rsid w:val="EF7F5B8B"/>
    <w:rsid w:val="EF9F4FA5"/>
    <w:rsid w:val="EFB75EBC"/>
    <w:rsid w:val="EFDD91FE"/>
    <w:rsid w:val="EFFB0E60"/>
    <w:rsid w:val="F1DF3887"/>
    <w:rsid w:val="F2D5C5AE"/>
    <w:rsid w:val="F3DD9C5D"/>
    <w:rsid w:val="F3FF73DA"/>
    <w:rsid w:val="F58FAA3B"/>
    <w:rsid w:val="F6DD62BB"/>
    <w:rsid w:val="F753A6E3"/>
    <w:rsid w:val="F7764860"/>
    <w:rsid w:val="F7B3510D"/>
    <w:rsid w:val="F7BC105E"/>
    <w:rsid w:val="F7DEE0D4"/>
    <w:rsid w:val="F7E6F177"/>
    <w:rsid w:val="F7F7A6AE"/>
    <w:rsid w:val="F7FF16BB"/>
    <w:rsid w:val="F87B7F1C"/>
    <w:rsid w:val="F9BD4475"/>
    <w:rsid w:val="FACF4E32"/>
    <w:rsid w:val="FAF72FF6"/>
    <w:rsid w:val="FB95682F"/>
    <w:rsid w:val="FB9B191C"/>
    <w:rsid w:val="FBDC9496"/>
    <w:rsid w:val="FBDF9CBF"/>
    <w:rsid w:val="FBF71F5F"/>
    <w:rsid w:val="FCDB57E6"/>
    <w:rsid w:val="FD4F85ED"/>
    <w:rsid w:val="FD5B0C3D"/>
    <w:rsid w:val="FDABEF79"/>
    <w:rsid w:val="FDF9130F"/>
    <w:rsid w:val="FE698EBA"/>
    <w:rsid w:val="FE998395"/>
    <w:rsid w:val="FEFD1FBA"/>
    <w:rsid w:val="FEFE2740"/>
    <w:rsid w:val="FF274047"/>
    <w:rsid w:val="FF651B67"/>
    <w:rsid w:val="FF70C3E6"/>
    <w:rsid w:val="FF7A8ABA"/>
    <w:rsid w:val="FF7EDCDD"/>
    <w:rsid w:val="FF7FC4DE"/>
    <w:rsid w:val="FF9B8F99"/>
    <w:rsid w:val="FFD6A9CC"/>
    <w:rsid w:val="FFDAE3CD"/>
    <w:rsid w:val="FFDB9E8F"/>
    <w:rsid w:val="FFE7D581"/>
    <w:rsid w:val="FFEE4949"/>
    <w:rsid w:val="FFEE6CEA"/>
    <w:rsid w:val="FFEF0E6F"/>
    <w:rsid w:val="FFF5E1C4"/>
    <w:rsid w:val="FFFB01F8"/>
    <w:rsid w:val="FFFF0B28"/>
    <w:rsid w:val="FFFF0CDE"/>
    <w:rsid w:val="000264A9"/>
    <w:rsid w:val="0003332E"/>
    <w:rsid w:val="00036FD5"/>
    <w:rsid w:val="00063008"/>
    <w:rsid w:val="000946DF"/>
    <w:rsid w:val="000A2BD5"/>
    <w:rsid w:val="000A7839"/>
    <w:rsid w:val="000B3724"/>
    <w:rsid w:val="000B3E67"/>
    <w:rsid w:val="000D0658"/>
    <w:rsid w:val="000E2290"/>
    <w:rsid w:val="0011094D"/>
    <w:rsid w:val="00115179"/>
    <w:rsid w:val="0012674D"/>
    <w:rsid w:val="00133483"/>
    <w:rsid w:val="00160646"/>
    <w:rsid w:val="001612AB"/>
    <w:rsid w:val="00186BCB"/>
    <w:rsid w:val="001975E1"/>
    <w:rsid w:val="00213516"/>
    <w:rsid w:val="00244390"/>
    <w:rsid w:val="00265AEE"/>
    <w:rsid w:val="00270E4A"/>
    <w:rsid w:val="0029666E"/>
    <w:rsid w:val="002B0FA3"/>
    <w:rsid w:val="002B200E"/>
    <w:rsid w:val="002B7B62"/>
    <w:rsid w:val="00314FC0"/>
    <w:rsid w:val="003175A6"/>
    <w:rsid w:val="00327B58"/>
    <w:rsid w:val="00342565"/>
    <w:rsid w:val="003C231A"/>
    <w:rsid w:val="003F05D7"/>
    <w:rsid w:val="00426D3D"/>
    <w:rsid w:val="00487637"/>
    <w:rsid w:val="00493565"/>
    <w:rsid w:val="004C7E3E"/>
    <w:rsid w:val="005222F5"/>
    <w:rsid w:val="005300FC"/>
    <w:rsid w:val="005468EE"/>
    <w:rsid w:val="00572976"/>
    <w:rsid w:val="005808BF"/>
    <w:rsid w:val="005F36FD"/>
    <w:rsid w:val="00606E33"/>
    <w:rsid w:val="006339DD"/>
    <w:rsid w:val="00652495"/>
    <w:rsid w:val="00654ED6"/>
    <w:rsid w:val="00656909"/>
    <w:rsid w:val="00683499"/>
    <w:rsid w:val="006A642C"/>
    <w:rsid w:val="006A74EA"/>
    <w:rsid w:val="006C6857"/>
    <w:rsid w:val="006C6B0A"/>
    <w:rsid w:val="006E4767"/>
    <w:rsid w:val="006F20E8"/>
    <w:rsid w:val="006F4631"/>
    <w:rsid w:val="00702374"/>
    <w:rsid w:val="00704135"/>
    <w:rsid w:val="00714CBA"/>
    <w:rsid w:val="007575F6"/>
    <w:rsid w:val="007653A8"/>
    <w:rsid w:val="007710AF"/>
    <w:rsid w:val="007738E8"/>
    <w:rsid w:val="00777A01"/>
    <w:rsid w:val="0078085D"/>
    <w:rsid w:val="007A5C36"/>
    <w:rsid w:val="007D1BC5"/>
    <w:rsid w:val="007D63C6"/>
    <w:rsid w:val="007E1F97"/>
    <w:rsid w:val="00820C78"/>
    <w:rsid w:val="0083234D"/>
    <w:rsid w:val="008567A7"/>
    <w:rsid w:val="00862071"/>
    <w:rsid w:val="00866116"/>
    <w:rsid w:val="0086765A"/>
    <w:rsid w:val="00872C96"/>
    <w:rsid w:val="00894FEB"/>
    <w:rsid w:val="00897C2B"/>
    <w:rsid w:val="008A68AF"/>
    <w:rsid w:val="008B4D4E"/>
    <w:rsid w:val="008E4AF0"/>
    <w:rsid w:val="00911E5E"/>
    <w:rsid w:val="00941207"/>
    <w:rsid w:val="0095176F"/>
    <w:rsid w:val="00983CAB"/>
    <w:rsid w:val="00985378"/>
    <w:rsid w:val="00996A2E"/>
    <w:rsid w:val="009A67F9"/>
    <w:rsid w:val="009B58F7"/>
    <w:rsid w:val="009C66BF"/>
    <w:rsid w:val="009E22BF"/>
    <w:rsid w:val="009E5377"/>
    <w:rsid w:val="00A85855"/>
    <w:rsid w:val="00A95C39"/>
    <w:rsid w:val="00A96C01"/>
    <w:rsid w:val="00AA28DE"/>
    <w:rsid w:val="00AA63A9"/>
    <w:rsid w:val="00AD25EE"/>
    <w:rsid w:val="00AF5C22"/>
    <w:rsid w:val="00B04675"/>
    <w:rsid w:val="00B64E63"/>
    <w:rsid w:val="00B8295C"/>
    <w:rsid w:val="00BA0A8E"/>
    <w:rsid w:val="00BC32EE"/>
    <w:rsid w:val="00BE3234"/>
    <w:rsid w:val="00C3738B"/>
    <w:rsid w:val="00C51691"/>
    <w:rsid w:val="00C77BF3"/>
    <w:rsid w:val="00C943E3"/>
    <w:rsid w:val="00CA2796"/>
    <w:rsid w:val="00CA677C"/>
    <w:rsid w:val="00CD7EA2"/>
    <w:rsid w:val="00CF13C9"/>
    <w:rsid w:val="00CF2CDA"/>
    <w:rsid w:val="00D149B7"/>
    <w:rsid w:val="00D15324"/>
    <w:rsid w:val="00D27621"/>
    <w:rsid w:val="00D47FB5"/>
    <w:rsid w:val="00D576A7"/>
    <w:rsid w:val="00DC1C4B"/>
    <w:rsid w:val="00DD2793"/>
    <w:rsid w:val="00E04D49"/>
    <w:rsid w:val="00E3425F"/>
    <w:rsid w:val="00E433B7"/>
    <w:rsid w:val="00E43BCF"/>
    <w:rsid w:val="00E47C78"/>
    <w:rsid w:val="00E8544A"/>
    <w:rsid w:val="00EB3810"/>
    <w:rsid w:val="00EE5B7F"/>
    <w:rsid w:val="00EF117B"/>
    <w:rsid w:val="00EF3FE4"/>
    <w:rsid w:val="00F1583C"/>
    <w:rsid w:val="00F15893"/>
    <w:rsid w:val="00F46972"/>
    <w:rsid w:val="00F64163"/>
    <w:rsid w:val="00FA7E56"/>
    <w:rsid w:val="00FB59CA"/>
    <w:rsid w:val="00FD250B"/>
    <w:rsid w:val="04BB2167"/>
    <w:rsid w:val="1ADE819F"/>
    <w:rsid w:val="1B51C05A"/>
    <w:rsid w:val="1BFF443E"/>
    <w:rsid w:val="1EB98A82"/>
    <w:rsid w:val="1F571040"/>
    <w:rsid w:val="1FE6CCED"/>
    <w:rsid w:val="1FF471F5"/>
    <w:rsid w:val="22C5EBA9"/>
    <w:rsid w:val="237E948E"/>
    <w:rsid w:val="26FDAC3C"/>
    <w:rsid w:val="271770BB"/>
    <w:rsid w:val="27F9CC4C"/>
    <w:rsid w:val="2DCD3628"/>
    <w:rsid w:val="2DFBA6B3"/>
    <w:rsid w:val="2F79DC52"/>
    <w:rsid w:val="2FEE6D0F"/>
    <w:rsid w:val="320F87E1"/>
    <w:rsid w:val="357DCC7C"/>
    <w:rsid w:val="363F56AE"/>
    <w:rsid w:val="36E6F4C2"/>
    <w:rsid w:val="373D9F2D"/>
    <w:rsid w:val="37B31EFF"/>
    <w:rsid w:val="38762C8B"/>
    <w:rsid w:val="3AB7A459"/>
    <w:rsid w:val="3B574B22"/>
    <w:rsid w:val="3BDB0529"/>
    <w:rsid w:val="3BDF8047"/>
    <w:rsid w:val="3BF1B66E"/>
    <w:rsid w:val="3BF626DA"/>
    <w:rsid w:val="3BFEEA18"/>
    <w:rsid w:val="3CEEF1C9"/>
    <w:rsid w:val="3D1BDEBC"/>
    <w:rsid w:val="3D779F53"/>
    <w:rsid w:val="3DB396E8"/>
    <w:rsid w:val="3DEFF403"/>
    <w:rsid w:val="3EDB689E"/>
    <w:rsid w:val="3EF4A818"/>
    <w:rsid w:val="3EF7FB4D"/>
    <w:rsid w:val="3EFF9269"/>
    <w:rsid w:val="3EFF9A92"/>
    <w:rsid w:val="3F0BA1E2"/>
    <w:rsid w:val="3F6B0E33"/>
    <w:rsid w:val="3F7EE3C0"/>
    <w:rsid w:val="3F7FEF2C"/>
    <w:rsid w:val="3F972C9A"/>
    <w:rsid w:val="3FBB16D5"/>
    <w:rsid w:val="3FDBD344"/>
    <w:rsid w:val="3FFF88FA"/>
    <w:rsid w:val="47F57FCA"/>
    <w:rsid w:val="4B777EC5"/>
    <w:rsid w:val="4E9B7D4A"/>
    <w:rsid w:val="4FE7CC98"/>
    <w:rsid w:val="4FF3B0B2"/>
    <w:rsid w:val="51FF3BD1"/>
    <w:rsid w:val="55F4B1F1"/>
    <w:rsid w:val="56FAFC37"/>
    <w:rsid w:val="56FF48BD"/>
    <w:rsid w:val="570754A8"/>
    <w:rsid w:val="573B4774"/>
    <w:rsid w:val="57EF617F"/>
    <w:rsid w:val="5ACF4A14"/>
    <w:rsid w:val="5B2A5E77"/>
    <w:rsid w:val="5B7D762F"/>
    <w:rsid w:val="5BBFEBE2"/>
    <w:rsid w:val="5BE94085"/>
    <w:rsid w:val="5BEF94F0"/>
    <w:rsid w:val="5BFE7184"/>
    <w:rsid w:val="5BFF2F39"/>
    <w:rsid w:val="5CCEFC61"/>
    <w:rsid w:val="5CDFFC32"/>
    <w:rsid w:val="5DFE1967"/>
    <w:rsid w:val="5DFFD168"/>
    <w:rsid w:val="5E4B7FA9"/>
    <w:rsid w:val="5ECD4C47"/>
    <w:rsid w:val="5F3794B4"/>
    <w:rsid w:val="5F7F49FA"/>
    <w:rsid w:val="5F7FC082"/>
    <w:rsid w:val="5FB68A89"/>
    <w:rsid w:val="5FBAE7A8"/>
    <w:rsid w:val="5FBBC5EB"/>
    <w:rsid w:val="5FBF136D"/>
    <w:rsid w:val="5FD6FE08"/>
    <w:rsid w:val="5FF7D7C4"/>
    <w:rsid w:val="5FFDAB80"/>
    <w:rsid w:val="61AF7819"/>
    <w:rsid w:val="62FE3840"/>
    <w:rsid w:val="63BFB95E"/>
    <w:rsid w:val="63FF7290"/>
    <w:rsid w:val="647C4ED1"/>
    <w:rsid w:val="659F3D7B"/>
    <w:rsid w:val="66FC2869"/>
    <w:rsid w:val="672A84F9"/>
    <w:rsid w:val="677E6E95"/>
    <w:rsid w:val="67F7295A"/>
    <w:rsid w:val="67FB9CDE"/>
    <w:rsid w:val="686D991A"/>
    <w:rsid w:val="696D18BE"/>
    <w:rsid w:val="697FB532"/>
    <w:rsid w:val="6ABD3E11"/>
    <w:rsid w:val="6AFAD667"/>
    <w:rsid w:val="6BFBF2F2"/>
    <w:rsid w:val="6BFFA05C"/>
    <w:rsid w:val="6CEC13D1"/>
    <w:rsid w:val="6D53E5DB"/>
    <w:rsid w:val="6D5E4ADD"/>
    <w:rsid w:val="6DD3DC96"/>
    <w:rsid w:val="6DE30D37"/>
    <w:rsid w:val="6DFC4014"/>
    <w:rsid w:val="6DFF3149"/>
    <w:rsid w:val="6FBF994F"/>
    <w:rsid w:val="6FF70644"/>
    <w:rsid w:val="71DD4C96"/>
    <w:rsid w:val="728F0B2C"/>
    <w:rsid w:val="74BEB070"/>
    <w:rsid w:val="75375D3F"/>
    <w:rsid w:val="75FF72B5"/>
    <w:rsid w:val="76FCD3B4"/>
    <w:rsid w:val="76FF0DB8"/>
    <w:rsid w:val="77BB175E"/>
    <w:rsid w:val="77DB2E52"/>
    <w:rsid w:val="77F52D6F"/>
    <w:rsid w:val="77F75070"/>
    <w:rsid w:val="784F4AB7"/>
    <w:rsid w:val="785F8172"/>
    <w:rsid w:val="78BE615A"/>
    <w:rsid w:val="79BFB5BB"/>
    <w:rsid w:val="7A7EDB27"/>
    <w:rsid w:val="7AB7BA1F"/>
    <w:rsid w:val="7B3F0D61"/>
    <w:rsid w:val="7B6F5C17"/>
    <w:rsid w:val="7B77CFD7"/>
    <w:rsid w:val="7BBBB3BE"/>
    <w:rsid w:val="7BDD40B9"/>
    <w:rsid w:val="7BDF3957"/>
    <w:rsid w:val="7BEB1B78"/>
    <w:rsid w:val="7CF187B5"/>
    <w:rsid w:val="7DDD6390"/>
    <w:rsid w:val="7DFF6ABD"/>
    <w:rsid w:val="7E7389F9"/>
    <w:rsid w:val="7E77C0AA"/>
    <w:rsid w:val="7EABCCCD"/>
    <w:rsid w:val="7EAFD0AD"/>
    <w:rsid w:val="7EBFA830"/>
    <w:rsid w:val="7EEAF2C9"/>
    <w:rsid w:val="7F6D6F51"/>
    <w:rsid w:val="7F6F1C3F"/>
    <w:rsid w:val="7F7B420F"/>
    <w:rsid w:val="7F7BA6D5"/>
    <w:rsid w:val="7FA7B927"/>
    <w:rsid w:val="7FADEDF9"/>
    <w:rsid w:val="7FBFEDEB"/>
    <w:rsid w:val="7FCFC5F0"/>
    <w:rsid w:val="7FD683B6"/>
    <w:rsid w:val="7FDB3785"/>
    <w:rsid w:val="7FFB3270"/>
    <w:rsid w:val="7FFB8B64"/>
    <w:rsid w:val="80BBFC4A"/>
    <w:rsid w:val="83F7C25E"/>
    <w:rsid w:val="8BEB5895"/>
    <w:rsid w:val="953F8E54"/>
    <w:rsid w:val="99FF267B"/>
    <w:rsid w:val="9B8FF0E0"/>
    <w:rsid w:val="9BFF30AC"/>
    <w:rsid w:val="9DF90C6F"/>
    <w:rsid w:val="9DFF89CD"/>
    <w:rsid w:val="9EF9ABB4"/>
    <w:rsid w:val="9EFA308D"/>
    <w:rsid w:val="9F5D7774"/>
    <w:rsid w:val="9FEFBF9C"/>
    <w:rsid w:val="A7B7D650"/>
    <w:rsid w:val="A7FF45FB"/>
    <w:rsid w:val="A9DE4CAC"/>
    <w:rsid w:val="ABDD98E2"/>
    <w:rsid w:val="AFA5F7C2"/>
    <w:rsid w:val="B3E74AAA"/>
    <w:rsid w:val="B57F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footnote text"/>
    <w:basedOn w:val="a"/>
    <w:uiPriority w:val="99"/>
    <w:semiHidden/>
    <w:unhideWhenUsed/>
    <w:pPr>
      <w:snapToGrid w:val="0"/>
    </w:pPr>
    <w:rPr>
      <w:sz w:val="18"/>
      <w:szCs w:val="18"/>
    </w:r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List"/>
    <w:basedOn w:val="a5"/>
    <w:qFormat/>
    <w:rPr>
      <w:rFonts w:cs="FreeSans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-">
    <w:name w:val="Интернет-ссылка"/>
    <w:basedOn w:val="a0"/>
    <w:qFormat/>
    <w:rPr>
      <w:color w:val="000080"/>
      <w:u w:val="single"/>
      <w:lang w:val="zh-CN" w:eastAsia="zh-CN" w:bidi="zh-CN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unhideWhenUsed/>
    <w:qFormat/>
    <w:pPr>
      <w:ind w:left="720"/>
      <w:contextualSpacing/>
    </w:pPr>
  </w:style>
  <w:style w:type="character" w:customStyle="1" w:styleId="extendedtext-short">
    <w:name w:val="extendedtext-short"/>
    <w:basedOn w:val="a0"/>
  </w:style>
  <w:style w:type="character" w:customStyle="1" w:styleId="rynqvb">
    <w:name w:val="rynqvb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footnote text"/>
    <w:basedOn w:val="a"/>
    <w:uiPriority w:val="99"/>
    <w:semiHidden/>
    <w:unhideWhenUsed/>
    <w:pPr>
      <w:snapToGrid w:val="0"/>
    </w:pPr>
    <w:rPr>
      <w:sz w:val="18"/>
      <w:szCs w:val="18"/>
    </w:r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List"/>
    <w:basedOn w:val="a5"/>
    <w:qFormat/>
    <w:rPr>
      <w:rFonts w:cs="FreeSans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-">
    <w:name w:val="Интернет-ссылка"/>
    <w:basedOn w:val="a0"/>
    <w:qFormat/>
    <w:rPr>
      <w:color w:val="000080"/>
      <w:u w:val="single"/>
      <w:lang w:val="zh-CN" w:eastAsia="zh-CN" w:bidi="zh-CN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unhideWhenUsed/>
    <w:qFormat/>
    <w:pPr>
      <w:ind w:left="720"/>
      <w:contextualSpacing/>
    </w:pPr>
  </w:style>
  <w:style w:type="character" w:customStyle="1" w:styleId="extendedtext-short">
    <w:name w:val="extendedtext-short"/>
    <w:basedOn w:val="a0"/>
  </w:style>
  <w:style w:type="character" w:customStyle="1" w:styleId="rynqvb">
    <w:name w:val="rynqv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ПОЛИТИЧЕСКАЯ ГЕОГРАФИЯ: ГЕНЕЗИС И ИСТОРИЧЕСКИЕ ЭТАПЫ ЭВОЛЮЦИИ</vt:lpstr>
    </vt:vector>
  </TitlesOfParts>
  <Company/>
  <LinksUpToDate>false</LinksUpToDate>
  <CharactersWithSpaces>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ПОЛИТИЧЕСКАЯ ГЕОГРАФИЯ: ГЕНЕЗИС И ИСТОРИЧЕСКИЕ ЭТАПЫ ЭВОЛЮЦИИ</dc:title>
  <dc:creator>User</dc:creator>
  <cp:lastModifiedBy>Каледин Николай Владимирович</cp:lastModifiedBy>
  <cp:revision>2</cp:revision>
  <dcterms:created xsi:type="dcterms:W3CDTF">2023-10-18T16:31:00Z</dcterms:created>
  <dcterms:modified xsi:type="dcterms:W3CDTF">2023-10-18T16:31:00Z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