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2500" w14:textId="441AE514" w:rsidR="00AB10DC" w:rsidRPr="002A309A" w:rsidRDefault="00690D18" w:rsidP="00A33B2B">
      <w:pPr>
        <w:jc w:val="center"/>
        <w:rPr>
          <w:rFonts w:ascii="Times New Roman" w:hAnsi="Times New Roman" w:cs="Times New Roman"/>
          <w:b/>
          <w:lang w:val="en-US"/>
        </w:rPr>
      </w:pPr>
      <w:r w:rsidRPr="00690D18">
        <w:rPr>
          <w:rFonts w:ascii="Times New Roman" w:hAnsi="Times New Roman" w:cs="Times New Roman"/>
          <w:b/>
          <w:lang w:val="en-US"/>
        </w:rPr>
        <w:t>Anti-Corruption Effects of Open Budget: Cases of EAEU Countries</w:t>
      </w:r>
    </w:p>
    <w:p w14:paraId="678A04B7" w14:textId="46D93324" w:rsidR="00690D18" w:rsidRDefault="00A33B2B" w:rsidP="00A33B2B">
      <w:pPr>
        <w:jc w:val="center"/>
        <w:rPr>
          <w:rFonts w:ascii="Times New Roman" w:hAnsi="Times New Roman" w:cs="Times New Roman"/>
          <w:lang w:val="en-US"/>
        </w:rPr>
      </w:pPr>
      <w:r w:rsidRPr="00A33B2B">
        <w:rPr>
          <w:rFonts w:ascii="Times New Roman" w:hAnsi="Times New Roman" w:cs="Times New Roman"/>
          <w:lang w:val="en-US"/>
        </w:rPr>
        <w:t>Yuliia</w:t>
      </w:r>
      <w:r>
        <w:rPr>
          <w:rFonts w:ascii="Times New Roman" w:hAnsi="Times New Roman" w:cs="Times New Roman"/>
          <w:lang w:val="en-US"/>
        </w:rPr>
        <w:t xml:space="preserve"> </w:t>
      </w:r>
      <w:r w:rsidR="00690D18">
        <w:rPr>
          <w:rFonts w:ascii="Times New Roman" w:hAnsi="Times New Roman" w:cs="Times New Roman"/>
          <w:lang w:val="en-US"/>
        </w:rPr>
        <w:t xml:space="preserve">Dunaeva, </w:t>
      </w:r>
      <w:r w:rsidR="002A309A" w:rsidRPr="002A309A">
        <w:rPr>
          <w:rFonts w:ascii="Times New Roman" w:hAnsi="Times New Roman" w:cs="Times New Roman"/>
          <w:lang w:val="en-US"/>
        </w:rPr>
        <w:t>Radomir Bolgov,</w:t>
      </w:r>
    </w:p>
    <w:p w14:paraId="6CB39EF4" w14:textId="37D0FD16" w:rsidR="002A309A" w:rsidRPr="002A309A" w:rsidRDefault="002A309A" w:rsidP="00A33B2B">
      <w:pPr>
        <w:jc w:val="center"/>
        <w:rPr>
          <w:rFonts w:ascii="Times New Roman" w:hAnsi="Times New Roman" w:cs="Times New Roman"/>
          <w:lang w:val="en-US"/>
        </w:rPr>
      </w:pPr>
      <w:r w:rsidRPr="002A309A">
        <w:rPr>
          <w:rFonts w:ascii="Times New Roman" w:hAnsi="Times New Roman" w:cs="Times New Roman"/>
          <w:lang w:val="en-US"/>
        </w:rPr>
        <w:t>Saint Petersburg State University, Russia</w:t>
      </w:r>
    </w:p>
    <w:p w14:paraId="0DD2D7F6" w14:textId="10D155E9" w:rsidR="002A309A" w:rsidRPr="002A309A" w:rsidRDefault="00690D18" w:rsidP="00A33B2B">
      <w:pPr>
        <w:jc w:val="center"/>
        <w:rPr>
          <w:rFonts w:ascii="Times New Roman" w:hAnsi="Times New Roman" w:cs="Times New Roman"/>
          <w:lang w:val="en-US"/>
        </w:rPr>
      </w:pPr>
      <w:r w:rsidRPr="00A33B2B">
        <w:rPr>
          <w:rFonts w:ascii="Times New Roman" w:hAnsi="Times New Roman" w:cs="Times New Roman"/>
          <w:lang w:val="en-US"/>
        </w:rPr>
        <w:t>j.dunaeva@spbu.ru</w:t>
      </w:r>
      <w:r>
        <w:rPr>
          <w:rFonts w:ascii="Times New Roman" w:hAnsi="Times New Roman" w:cs="Times New Roman"/>
          <w:lang w:val="en-US"/>
        </w:rPr>
        <w:t xml:space="preserve">, </w:t>
      </w:r>
      <w:r w:rsidR="002A309A" w:rsidRPr="002A309A">
        <w:rPr>
          <w:rFonts w:ascii="Times New Roman" w:hAnsi="Times New Roman" w:cs="Times New Roman"/>
          <w:lang w:val="en-US"/>
        </w:rPr>
        <w:t>r.bolgov@spbu.ru</w:t>
      </w:r>
    </w:p>
    <w:p w14:paraId="4C391D2C" w14:textId="77777777" w:rsidR="002A309A" w:rsidRPr="002A309A" w:rsidRDefault="002A309A" w:rsidP="00104204">
      <w:pPr>
        <w:jc w:val="both"/>
        <w:rPr>
          <w:rFonts w:ascii="Times New Roman" w:hAnsi="Times New Roman" w:cs="Times New Roman"/>
          <w:lang w:val="en-US"/>
        </w:rPr>
      </w:pPr>
    </w:p>
    <w:p w14:paraId="1DF8F21B" w14:textId="263086F7" w:rsidR="00311626" w:rsidRPr="002A309A" w:rsidRDefault="002A309A" w:rsidP="00104204">
      <w:pPr>
        <w:jc w:val="both"/>
        <w:rPr>
          <w:rFonts w:ascii="Times New Roman" w:hAnsi="Times New Roman" w:cs="Times New Roman"/>
          <w:lang w:val="en-US"/>
        </w:rPr>
      </w:pPr>
      <w:r w:rsidRPr="00A33B2B">
        <w:rPr>
          <w:rFonts w:ascii="Times New Roman" w:hAnsi="Times New Roman" w:cs="Times New Roman"/>
          <w:b/>
          <w:bCs/>
          <w:lang w:val="en-US"/>
        </w:rPr>
        <w:t>Abstract.</w:t>
      </w:r>
      <w:r w:rsidRPr="002A309A">
        <w:rPr>
          <w:rFonts w:ascii="Times New Roman" w:hAnsi="Times New Roman" w:cs="Times New Roman"/>
          <w:lang w:val="en-US"/>
        </w:rPr>
        <w:t xml:space="preserve"> </w:t>
      </w:r>
      <w:r w:rsidR="003C0D28" w:rsidRPr="003C0D28">
        <w:rPr>
          <w:rFonts w:ascii="Times New Roman" w:hAnsi="Times New Roman" w:cs="Times New Roman"/>
          <w:lang w:val="en-US"/>
        </w:rPr>
        <w:t>The paper analyses anti-corruption effects of Open budget policies and practice for five Eurasian Economic Union countries (Armenia, Belarus, Kazakhstan, Kyrgyzstan, and Russia). We engage the data of international organizations, which analyze current situation in these countries. We assess the impact of open finance data (according to Open data inventory, ODIN, produced by Open Data Watch) on corruption for five EAEU countries covering the period between 2015 and 2020 with use of unbalanced panel data analysis.</w:t>
      </w:r>
    </w:p>
    <w:p w14:paraId="734D7AF8" w14:textId="315A495D" w:rsidR="002A309A" w:rsidRPr="002A309A" w:rsidRDefault="002A309A" w:rsidP="00104204">
      <w:pPr>
        <w:jc w:val="both"/>
        <w:rPr>
          <w:rFonts w:ascii="Times New Roman" w:hAnsi="Times New Roman" w:cs="Times New Roman"/>
          <w:lang w:val="en-US"/>
        </w:rPr>
      </w:pPr>
      <w:r w:rsidRPr="00A33B2B">
        <w:rPr>
          <w:rFonts w:ascii="Times New Roman" w:hAnsi="Times New Roman" w:cs="Times New Roman"/>
          <w:b/>
          <w:bCs/>
          <w:lang w:val="en-US"/>
        </w:rPr>
        <w:t>Keywords:</w:t>
      </w:r>
      <w:r w:rsidRPr="002A309A">
        <w:rPr>
          <w:rFonts w:ascii="Times New Roman" w:hAnsi="Times New Roman" w:cs="Times New Roman"/>
          <w:lang w:val="en-US"/>
        </w:rPr>
        <w:t xml:space="preserve"> </w:t>
      </w:r>
      <w:r w:rsidR="003C0D28" w:rsidRPr="003C0D28">
        <w:rPr>
          <w:rFonts w:ascii="Times New Roman" w:hAnsi="Times New Roman" w:cs="Times New Roman"/>
          <w:lang w:val="en-US"/>
        </w:rPr>
        <w:t>Open budget, Open government, Corruption, Anti-corruption efforts, EAEU, Post-Soviet countries</w:t>
      </w:r>
      <w:r w:rsidRPr="002A309A">
        <w:rPr>
          <w:rFonts w:ascii="Times New Roman" w:hAnsi="Times New Roman" w:cs="Times New Roman"/>
          <w:lang w:val="en-US"/>
        </w:rPr>
        <w:t>.</w:t>
      </w:r>
    </w:p>
    <w:p w14:paraId="6FAB6833" w14:textId="77777777" w:rsidR="002A309A" w:rsidRPr="002A309A" w:rsidRDefault="002A309A" w:rsidP="00104204">
      <w:pPr>
        <w:jc w:val="both"/>
        <w:rPr>
          <w:rFonts w:ascii="Times New Roman" w:hAnsi="Times New Roman" w:cs="Times New Roman"/>
          <w:lang w:val="en-US"/>
        </w:rPr>
      </w:pPr>
    </w:p>
    <w:p w14:paraId="7D5121B4" w14:textId="356162F1" w:rsidR="002A309A" w:rsidRPr="002A309A" w:rsidRDefault="002A309A" w:rsidP="00104204">
      <w:pPr>
        <w:jc w:val="both"/>
        <w:rPr>
          <w:rFonts w:ascii="Times New Roman" w:hAnsi="Times New Roman" w:cs="Times New Roman"/>
          <w:b/>
          <w:bCs/>
          <w:lang w:val="en-US"/>
        </w:rPr>
      </w:pPr>
      <w:r w:rsidRPr="002A309A">
        <w:rPr>
          <w:rFonts w:ascii="Times New Roman" w:hAnsi="Times New Roman" w:cs="Times New Roman"/>
          <w:b/>
          <w:bCs/>
          <w:lang w:val="en-US"/>
        </w:rPr>
        <w:t>Introduction</w:t>
      </w:r>
    </w:p>
    <w:p w14:paraId="68E0D8B7" w14:textId="77777777" w:rsidR="003C0D28" w:rsidRPr="003C0D28" w:rsidRDefault="003C0D28" w:rsidP="003C0D28">
      <w:pPr>
        <w:jc w:val="both"/>
        <w:rPr>
          <w:rFonts w:ascii="Times New Roman" w:hAnsi="Times New Roman" w:cs="Times New Roman"/>
          <w:lang w:val="en-US"/>
        </w:rPr>
      </w:pPr>
      <w:r w:rsidRPr="003C0D28">
        <w:rPr>
          <w:rFonts w:ascii="Times New Roman" w:hAnsi="Times New Roman" w:cs="Times New Roman"/>
          <w:lang w:val="en-US"/>
        </w:rPr>
        <w:t>IMF Guidelines for fiscal transparency contains the most complete definition: "Fiscal transparency means openness to the public in regard to the structure and functions of government, objectives of fiscal policy, public sector accounts and forecasts. It provides easy access to reliable, comprehensive, timely, understandable and comparable across countries information about government activities in order that voters and financial markets can accurately assess the financial position of the government and the true costs and benefits associated with the activities of government including its current and future economic and social consequences" [17]. OECD Best Practices for Budget Transparency defines budget transparency as "full, timely and systematic disclosure of fiscal information" [27].</w:t>
      </w:r>
    </w:p>
    <w:p w14:paraId="14E6C4EB" w14:textId="77777777" w:rsidR="003C0D28" w:rsidRPr="003C0D28" w:rsidRDefault="003C0D28" w:rsidP="003C0D28">
      <w:pPr>
        <w:jc w:val="both"/>
        <w:rPr>
          <w:rFonts w:ascii="Times New Roman" w:hAnsi="Times New Roman" w:cs="Times New Roman"/>
          <w:lang w:val="en-US"/>
        </w:rPr>
      </w:pPr>
      <w:r w:rsidRPr="003C0D28">
        <w:rPr>
          <w:rFonts w:ascii="Times New Roman" w:hAnsi="Times New Roman" w:cs="Times New Roman"/>
          <w:lang w:val="en-US"/>
        </w:rPr>
        <w:t xml:space="preserve">Before 1991, countries of the Eurasian Economic Union (EAEU), namely, Armenia, Belarus, Kazakhstan, Kyrgyzstan, and Russia, were a part of the Soviet united budget system. The collapse of the Soviet Union and the subsequent appearance of independence allowed the countries to conduct independent fiscal policies. All the countries implemented a number of reforms, as a result of which fiscal policy organizations were modified, new fiscal institutions were established and new legal bases were created. </w:t>
      </w:r>
    </w:p>
    <w:p w14:paraId="741D1614" w14:textId="77777777" w:rsidR="003C0D28" w:rsidRPr="003C0D28" w:rsidRDefault="003C0D28" w:rsidP="003C0D28">
      <w:pPr>
        <w:jc w:val="both"/>
        <w:rPr>
          <w:rFonts w:ascii="Times New Roman" w:hAnsi="Times New Roman" w:cs="Times New Roman"/>
          <w:lang w:val="en-US"/>
        </w:rPr>
      </w:pPr>
      <w:r w:rsidRPr="003C0D28">
        <w:rPr>
          <w:rFonts w:ascii="Times New Roman" w:hAnsi="Times New Roman" w:cs="Times New Roman"/>
          <w:lang w:val="en-US"/>
        </w:rPr>
        <w:t xml:space="preserve">In Eurasian context, the development of open government has been associated with e-government services that aimed at providing large volumes of information and data in electronic form and via electronic channels as part of the public information disclosure and openness policies. It was assumed that more open public administrations would lead to the increased interactions between authorities and citizens, one side, and between political actors, on other side. </w:t>
      </w:r>
    </w:p>
    <w:p w14:paraId="1AE4EBA3" w14:textId="77777777" w:rsidR="003C0D28" w:rsidRPr="003C0D28" w:rsidRDefault="003C0D28" w:rsidP="003C0D28">
      <w:pPr>
        <w:jc w:val="both"/>
        <w:rPr>
          <w:rFonts w:ascii="Times New Roman" w:hAnsi="Times New Roman" w:cs="Times New Roman"/>
          <w:lang w:val="en-US"/>
        </w:rPr>
      </w:pPr>
      <w:r w:rsidRPr="003C0D28">
        <w:rPr>
          <w:rFonts w:ascii="Times New Roman" w:hAnsi="Times New Roman" w:cs="Times New Roman"/>
          <w:lang w:val="en-US"/>
        </w:rPr>
        <w:t>According to the Open Budget Index, drawn up by the International Budget Partnership, Citizen's participation in budgeting is one of the main components of Open Budget. At the same time, an open budget is the first step towards participatory budgeting, similar to how e-Information disclosure is the initial step of e-Participation, in accordance with the UN eGovernment Survey.</w:t>
      </w:r>
    </w:p>
    <w:p w14:paraId="5B30951E" w14:textId="77777777" w:rsidR="003C0D28" w:rsidRPr="003C0D28" w:rsidRDefault="003C0D28" w:rsidP="003C0D28">
      <w:pPr>
        <w:jc w:val="both"/>
        <w:rPr>
          <w:rFonts w:ascii="Times New Roman" w:hAnsi="Times New Roman" w:cs="Times New Roman"/>
          <w:lang w:val="en-US"/>
        </w:rPr>
      </w:pPr>
      <w:r w:rsidRPr="003C0D28">
        <w:rPr>
          <w:rFonts w:ascii="Times New Roman" w:hAnsi="Times New Roman" w:cs="Times New Roman"/>
          <w:lang w:val="en-US"/>
        </w:rPr>
        <w:t xml:space="preserve">We consider "electronic participation" a set of methods and tools that provide electronic interaction between citizens and government in order to take into account the opinions of citizens in national and municipal administration when making political and managerial decisions.  The authors are of the opinion that it is necessary to use an expansive interpretation, since actually it is difficult and impossible to separate a “pure” </w:t>
      </w:r>
      <w:r w:rsidRPr="003C0D28">
        <w:rPr>
          <w:rFonts w:ascii="Times New Roman" w:hAnsi="Times New Roman" w:cs="Times New Roman"/>
          <w:lang w:val="en-US"/>
        </w:rPr>
        <w:lastRenderedPageBreak/>
        <w:t>policy from its manifestations that directly concern the life of citizens. Thus, we expand the scope of civic participation including projects of Open Budget.</w:t>
      </w:r>
    </w:p>
    <w:p w14:paraId="71D595FC" w14:textId="77777777" w:rsidR="003C0D28" w:rsidRPr="003C0D28" w:rsidRDefault="003C0D28" w:rsidP="003C0D28">
      <w:pPr>
        <w:jc w:val="both"/>
        <w:rPr>
          <w:rFonts w:ascii="Times New Roman" w:hAnsi="Times New Roman" w:cs="Times New Roman"/>
          <w:lang w:val="en-US"/>
        </w:rPr>
      </w:pPr>
      <w:r w:rsidRPr="003C0D28">
        <w:rPr>
          <w:rFonts w:ascii="Times New Roman" w:hAnsi="Times New Roman" w:cs="Times New Roman"/>
          <w:lang w:val="en-US"/>
        </w:rPr>
        <w:t>The rapid expansion of open data technologies has opened up new opportunities for Open Government advocates and initiatives creating numerous cases and practices of such use. In many cases such technologies have been driving Open Government initiatives and, in fact, converged with the latter. However, the question remains unanswered – whether open data change public institutions and practices? Answering this and other related questions would require taking a closer look at open budget.</w:t>
      </w:r>
    </w:p>
    <w:p w14:paraId="29E7C894" w14:textId="77777777" w:rsidR="003C0D28" w:rsidRPr="003C0D28" w:rsidRDefault="003C0D28" w:rsidP="003C0D28">
      <w:pPr>
        <w:jc w:val="both"/>
        <w:rPr>
          <w:rFonts w:ascii="Times New Roman" w:hAnsi="Times New Roman" w:cs="Times New Roman"/>
          <w:lang w:val="en-US"/>
        </w:rPr>
      </w:pPr>
      <w:r w:rsidRPr="003C0D28">
        <w:rPr>
          <w:rFonts w:ascii="Times New Roman" w:hAnsi="Times New Roman" w:cs="Times New Roman"/>
          <w:lang w:val="en-US"/>
        </w:rPr>
        <w:t>The measurement and evaluation of socio-economic and political effects of open data, including the impact on government transparency and corruption level, still remain debatable. In this study we use the term “corruption” in the narrow sense, meaning “corrupt practices”, e.g. “forms of bribery”. “Bribe” is considered as “money etc. offered to procure (often illegal or dishonest) action or decision in favor of giver” [37]. Being broadly defined (for instance, as “the abuse of public office for private gain”) [35] this term, in our opinion, not only becomes indefinite, but overshadows the very fact that there are two parties participating (and often interested) in corruption.</w:t>
      </w:r>
    </w:p>
    <w:p w14:paraId="51B3A6D2" w14:textId="3C069C20" w:rsidR="002A309A" w:rsidRPr="002A309A" w:rsidRDefault="003C0D28" w:rsidP="003C0D28">
      <w:pPr>
        <w:jc w:val="both"/>
        <w:rPr>
          <w:rFonts w:ascii="Times New Roman" w:hAnsi="Times New Roman" w:cs="Times New Roman"/>
          <w:lang w:val="en-US"/>
        </w:rPr>
      </w:pPr>
      <w:r w:rsidRPr="003C0D28">
        <w:rPr>
          <w:rFonts w:ascii="Times New Roman" w:hAnsi="Times New Roman" w:cs="Times New Roman"/>
          <w:lang w:val="en-US"/>
        </w:rPr>
        <w:t>The hypothesis of the study is the following: open budget implementation within the existing government bodies can decrease corruption. The hypothesis is tested using secondary data analysis. Empirical foundation of the research is formed by publicly available indices of international organizations.</w:t>
      </w:r>
    </w:p>
    <w:p w14:paraId="6E62B7DA" w14:textId="153C9785" w:rsidR="002A309A" w:rsidRPr="002A309A" w:rsidRDefault="003C0D28" w:rsidP="00104204">
      <w:pPr>
        <w:jc w:val="both"/>
        <w:rPr>
          <w:rFonts w:ascii="Times New Roman" w:hAnsi="Times New Roman" w:cs="Times New Roman"/>
          <w:b/>
          <w:bCs/>
          <w:lang w:val="en-US"/>
        </w:rPr>
      </w:pPr>
      <w:r w:rsidRPr="003C0D28">
        <w:rPr>
          <w:rFonts w:ascii="Times New Roman" w:hAnsi="Times New Roman" w:cs="Times New Roman"/>
          <w:b/>
          <w:bCs/>
          <w:lang w:val="en-US"/>
        </w:rPr>
        <w:t>Literature Review</w:t>
      </w:r>
    </w:p>
    <w:p w14:paraId="1A4D7004" w14:textId="77777777" w:rsidR="003C0D28" w:rsidRPr="003C0D28" w:rsidRDefault="003C0D28" w:rsidP="003C0D28">
      <w:pPr>
        <w:jc w:val="both"/>
        <w:rPr>
          <w:rFonts w:ascii="Times New Roman" w:hAnsi="Times New Roman" w:cs="Times New Roman"/>
          <w:lang w:val="en-US"/>
        </w:rPr>
      </w:pPr>
      <w:r w:rsidRPr="003C0D28">
        <w:rPr>
          <w:rFonts w:ascii="Times New Roman" w:hAnsi="Times New Roman" w:cs="Times New Roman"/>
          <w:lang w:val="en-US"/>
        </w:rPr>
        <w:t>A number of researches studying the role of new ICT in tackling corruption analyze the experience of countries with different level of income and democracy. Among them we should mention works of Gronlund [16], Bertot, Jaeger &amp; Grimes [5], Twinomurinzi &amp; Ghartey-Tagoe [38], Davis &amp; Fumega [14], Ben Ali &amp; Sassi [4], Kossow &amp; Dykes [23] and many others, as well as reports of international organizations, such as Organization for economic cooperation and development (OECD) [28] and Asian Development Bank [1]. Moreover, the problem was discussed on the platform of international academic conferences [9].</w:t>
      </w:r>
    </w:p>
    <w:p w14:paraId="27CF0F11" w14:textId="77777777" w:rsidR="003C0D28" w:rsidRPr="003C0D28" w:rsidRDefault="003C0D28" w:rsidP="003C0D28">
      <w:pPr>
        <w:jc w:val="both"/>
        <w:rPr>
          <w:rFonts w:ascii="Times New Roman" w:hAnsi="Times New Roman" w:cs="Times New Roman"/>
          <w:lang w:val="en-US"/>
        </w:rPr>
      </w:pPr>
      <w:r w:rsidRPr="003C0D28">
        <w:rPr>
          <w:rFonts w:ascii="Times New Roman" w:hAnsi="Times New Roman" w:cs="Times New Roman"/>
          <w:lang w:val="en-US"/>
        </w:rPr>
        <w:t>However, we tend to agree with Bhattacherjee and Shrivastava stating that ‘while prior studies have demonstrated that ICT is an important tool in reducing corruption…, they provide little explanation as to how ICT influences corruption and when does it work best’ [6]. It is difficult, on the other hand, to accept their idea ‘ICT use reduces corruption by increasing the certainly and celerity of punishment for corruption’ [6].</w:t>
      </w:r>
    </w:p>
    <w:p w14:paraId="4D81B456" w14:textId="77777777" w:rsidR="003C0D28" w:rsidRPr="003C0D28" w:rsidRDefault="003C0D28" w:rsidP="003C0D28">
      <w:pPr>
        <w:jc w:val="both"/>
        <w:rPr>
          <w:rFonts w:ascii="Times New Roman" w:hAnsi="Times New Roman" w:cs="Times New Roman"/>
          <w:lang w:val="en-US"/>
        </w:rPr>
      </w:pPr>
      <w:r w:rsidRPr="003C0D28">
        <w:rPr>
          <w:rFonts w:ascii="Times New Roman" w:hAnsi="Times New Roman" w:cs="Times New Roman"/>
          <w:lang w:val="en-US"/>
        </w:rPr>
        <w:t>The open data effects on corruption are studied by Machova [25], Hulstijn, Darusalam &amp; Janssen [19], and other authors. Several international organizations attempt to measure open data effects on corruption, such as Open Budget Index (OBI) by International Budget Partnership (IBP), Global Open Data Index (GODI) by Open Knowledge Foundation, Open Data Barometer index (ODBI) by World Wide Web Foundation, OURdata (Open, Useful, Reusable Government Data) Index by OECD and European Public Sector Innovation Scoreboard.</w:t>
      </w:r>
    </w:p>
    <w:p w14:paraId="03F02F6F" w14:textId="77777777" w:rsidR="003C0D28" w:rsidRPr="003C0D28" w:rsidRDefault="003C0D28" w:rsidP="003C0D28">
      <w:pPr>
        <w:jc w:val="both"/>
        <w:rPr>
          <w:rFonts w:ascii="Times New Roman" w:hAnsi="Times New Roman" w:cs="Times New Roman"/>
          <w:lang w:val="en-US"/>
        </w:rPr>
      </w:pPr>
      <w:r w:rsidRPr="003C0D28">
        <w:rPr>
          <w:rFonts w:ascii="Times New Roman" w:hAnsi="Times New Roman" w:cs="Times New Roman"/>
          <w:lang w:val="en-US"/>
        </w:rPr>
        <w:t>Literature on Open Budget effects on corruption can be divided into several groups: studies of political and legal framework of budget transparency and openness [18]; studies of the strengths and weaknesses of the Open Budget evaluation tools [34]; studies of Open Budget tools application (for instance, in public healthcare) [11]; case studies of countries’ experience at municipal, regional and national levels, as well as comparative studies [8].</w:t>
      </w:r>
    </w:p>
    <w:p w14:paraId="30586B93" w14:textId="77777777" w:rsidR="003C0D28" w:rsidRPr="003C0D28" w:rsidRDefault="003C0D28" w:rsidP="003C0D28">
      <w:pPr>
        <w:jc w:val="both"/>
        <w:rPr>
          <w:rFonts w:ascii="Times New Roman" w:hAnsi="Times New Roman" w:cs="Times New Roman"/>
          <w:lang w:val="en-US"/>
        </w:rPr>
      </w:pPr>
      <w:r w:rsidRPr="003C0D28">
        <w:rPr>
          <w:rFonts w:ascii="Times New Roman" w:hAnsi="Times New Roman" w:cs="Times New Roman"/>
          <w:lang w:val="en-US"/>
        </w:rPr>
        <w:t xml:space="preserve">As for the national case studies of Open Budget in EAEU countries, it is worth noting the studies of the technical aspects of Open Budget [29], institutional and legal aspects [38]. Some publications focus on the study of Russian experience at the national level [36], others have focused on studying the experience of </w:t>
      </w:r>
      <w:r w:rsidRPr="003C0D28">
        <w:rPr>
          <w:rFonts w:ascii="Times New Roman" w:hAnsi="Times New Roman" w:cs="Times New Roman"/>
          <w:lang w:val="en-US"/>
        </w:rPr>
        <w:lastRenderedPageBreak/>
        <w:t>Russian regions and municipalities [20, 29], and others compared the Russian experience with a foreign one [36]. Lindgren and colleagues find a correlation between the level of democracy and open government policies in post-Soviet countries. In Russia and Belarus, the policy of data disclosure is aimed at legitimizing the regime within the country, while in Central Asia it is aimed at legitimizing on international arena in the eyes of the world community [24].</w:t>
      </w:r>
    </w:p>
    <w:p w14:paraId="0C983E11" w14:textId="4B23AD5C" w:rsidR="002A309A" w:rsidRDefault="003C0D28" w:rsidP="003C0D28">
      <w:pPr>
        <w:jc w:val="both"/>
        <w:rPr>
          <w:rFonts w:ascii="Times New Roman" w:hAnsi="Times New Roman" w:cs="Times New Roman"/>
          <w:lang w:val="en-US"/>
        </w:rPr>
      </w:pPr>
      <w:r w:rsidRPr="003C0D28">
        <w:rPr>
          <w:rFonts w:ascii="Times New Roman" w:hAnsi="Times New Roman" w:cs="Times New Roman"/>
          <w:lang w:val="en-US"/>
        </w:rPr>
        <w:t>Table 1 demonstrates some findings in literature on Open Budget effects.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318"/>
        <w:gridCol w:w="5037"/>
      </w:tblGrid>
      <w:tr w:rsidR="003C0D28" w:rsidRPr="003C0D28" w14:paraId="071A29BE" w14:textId="77777777" w:rsidTr="00F86C44">
        <w:trPr>
          <w:tblHeader/>
        </w:trPr>
        <w:tc>
          <w:tcPr>
            <w:tcW w:w="2308" w:type="pct"/>
            <w:tcBorders>
              <w:top w:val="single" w:sz="4" w:space="0" w:color="auto"/>
              <w:bottom w:val="single" w:sz="4" w:space="0" w:color="auto"/>
            </w:tcBorders>
          </w:tcPr>
          <w:p w14:paraId="183BBDCB"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Effect</w:t>
            </w:r>
          </w:p>
        </w:tc>
        <w:tc>
          <w:tcPr>
            <w:tcW w:w="2692" w:type="pct"/>
            <w:tcBorders>
              <w:top w:val="single" w:sz="4" w:space="0" w:color="auto"/>
              <w:bottom w:val="single" w:sz="4" w:space="0" w:color="auto"/>
            </w:tcBorders>
          </w:tcPr>
          <w:p w14:paraId="46ECD7A8" w14:textId="77777777" w:rsidR="003C0D28" w:rsidRPr="003C0D28" w:rsidRDefault="003C0D28" w:rsidP="00F86C44">
            <w:pPr>
              <w:pStyle w:val="TableCell"/>
              <w:rPr>
                <w:rFonts w:ascii="Times New Roman" w:hAnsi="Times New Roman" w:cs="Times New Roman"/>
                <w:sz w:val="18"/>
                <w:szCs w:val="18"/>
              </w:rPr>
            </w:pPr>
            <w:r w:rsidRPr="003C0D28">
              <w:rPr>
                <w:rFonts w:ascii="Times New Roman" w:hAnsi="Times New Roman" w:cs="Times New Roman"/>
                <w:sz w:val="18"/>
                <w:szCs w:val="18"/>
              </w:rPr>
              <w:t>Literature on Open Budget</w:t>
            </w:r>
          </w:p>
        </w:tc>
      </w:tr>
      <w:tr w:rsidR="003C0D28" w:rsidRPr="003C0D28" w14:paraId="1D400240" w14:textId="77777777" w:rsidTr="00F86C44">
        <w:tc>
          <w:tcPr>
            <w:tcW w:w="2308" w:type="pct"/>
            <w:tcBorders>
              <w:top w:val="single" w:sz="4" w:space="0" w:color="auto"/>
            </w:tcBorders>
          </w:tcPr>
          <w:p w14:paraId="11C00C1C"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Budget saving</w:t>
            </w:r>
          </w:p>
        </w:tc>
        <w:tc>
          <w:tcPr>
            <w:tcW w:w="2692" w:type="pct"/>
            <w:tcBorders>
              <w:top w:val="single" w:sz="4" w:space="0" w:color="auto"/>
            </w:tcBorders>
          </w:tcPr>
          <w:p w14:paraId="0F9D367D"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Williams (2014) [40]</w:t>
            </w:r>
          </w:p>
        </w:tc>
      </w:tr>
      <w:tr w:rsidR="003C0D28" w:rsidRPr="003C0D28" w14:paraId="6143573D" w14:textId="77777777" w:rsidTr="00F86C44">
        <w:tc>
          <w:tcPr>
            <w:tcW w:w="2308" w:type="pct"/>
          </w:tcPr>
          <w:p w14:paraId="3BA30480"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Increase in social expenditures</w:t>
            </w:r>
          </w:p>
        </w:tc>
        <w:tc>
          <w:tcPr>
            <w:tcW w:w="2692" w:type="pct"/>
          </w:tcPr>
          <w:p w14:paraId="77F085A1"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Khagram, De Renzio, Fung (2012) [21]</w:t>
            </w:r>
          </w:p>
        </w:tc>
      </w:tr>
      <w:tr w:rsidR="003C0D28" w:rsidRPr="003C0D28" w14:paraId="3E85F86A" w14:textId="77777777" w:rsidTr="00F86C44">
        <w:tc>
          <w:tcPr>
            <w:tcW w:w="2308" w:type="pct"/>
          </w:tcPr>
          <w:p w14:paraId="6F76B2C6"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Identification of ineffective state programs and institutions / Improving their effectiveness</w:t>
            </w:r>
          </w:p>
        </w:tc>
        <w:tc>
          <w:tcPr>
            <w:tcW w:w="2692" w:type="pct"/>
          </w:tcPr>
          <w:p w14:paraId="37B53A2F"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Andreula, Chong, Guillen (2009) [2]</w:t>
            </w:r>
          </w:p>
        </w:tc>
      </w:tr>
      <w:tr w:rsidR="003C0D28" w:rsidRPr="003C0D28" w14:paraId="74862239" w14:textId="77777777" w:rsidTr="00F86C44">
        <w:tc>
          <w:tcPr>
            <w:tcW w:w="2308" w:type="pct"/>
          </w:tcPr>
          <w:p w14:paraId="3497BE18"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Increase / decrease in trust to government</w:t>
            </w:r>
          </w:p>
        </w:tc>
        <w:tc>
          <w:tcPr>
            <w:tcW w:w="2692" w:type="pct"/>
          </w:tcPr>
          <w:p w14:paraId="3C64726A"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Grimmelikhuijsen, Meijer (2014) [16]</w:t>
            </w:r>
          </w:p>
        </w:tc>
      </w:tr>
      <w:tr w:rsidR="003C0D28" w:rsidRPr="003C0D28" w14:paraId="7CBA280E" w14:textId="77777777" w:rsidTr="00F86C44">
        <w:tc>
          <w:tcPr>
            <w:tcW w:w="2308" w:type="pct"/>
          </w:tcPr>
          <w:p w14:paraId="58DBDD1E"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 xml:space="preserve">Growth / decline in level of democracy </w:t>
            </w:r>
          </w:p>
        </w:tc>
        <w:tc>
          <w:tcPr>
            <w:tcW w:w="2692" w:type="pct"/>
          </w:tcPr>
          <w:p w14:paraId="05BE9DD8"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Ruijer, Grimmelikhuijsen, Meijer (2017) [31]</w:t>
            </w:r>
          </w:p>
        </w:tc>
      </w:tr>
      <w:tr w:rsidR="003C0D28" w:rsidRPr="003C0D28" w14:paraId="798085AE" w14:textId="77777777" w:rsidTr="00F86C44">
        <w:tc>
          <w:tcPr>
            <w:tcW w:w="2308" w:type="pct"/>
          </w:tcPr>
          <w:p w14:paraId="0C9F90F5"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Increase / decrease in level of crime</w:t>
            </w:r>
          </w:p>
        </w:tc>
        <w:tc>
          <w:tcPr>
            <w:tcW w:w="2692" w:type="pct"/>
          </w:tcPr>
          <w:p w14:paraId="6088C1D2"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Bolgov et al. (2016) [7]</w:t>
            </w:r>
          </w:p>
        </w:tc>
      </w:tr>
      <w:tr w:rsidR="003C0D28" w:rsidRPr="00847515" w14:paraId="11715C27" w14:textId="77777777" w:rsidTr="00F86C44">
        <w:tc>
          <w:tcPr>
            <w:tcW w:w="2308" w:type="pct"/>
          </w:tcPr>
          <w:p w14:paraId="52954FBB"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Increase / decrease in corruption</w:t>
            </w:r>
          </w:p>
        </w:tc>
        <w:tc>
          <w:tcPr>
            <w:tcW w:w="2692" w:type="pct"/>
          </w:tcPr>
          <w:p w14:paraId="4520ABF3"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Bastida, Benito (2007) [3], Kolstad, Wiig (2009) [22], Sedmihradska, Haas (2012) [33], Cimpoeru (2015) [10]</w:t>
            </w:r>
          </w:p>
        </w:tc>
      </w:tr>
      <w:tr w:rsidR="003C0D28" w:rsidRPr="003C0D28" w14:paraId="29D47855" w14:textId="77777777" w:rsidTr="00F86C44">
        <w:tc>
          <w:tcPr>
            <w:tcW w:w="2308" w:type="pct"/>
          </w:tcPr>
          <w:p w14:paraId="44E8F399"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Detection of public funds misuse</w:t>
            </w:r>
          </w:p>
        </w:tc>
        <w:tc>
          <w:tcPr>
            <w:tcW w:w="2692" w:type="pct"/>
          </w:tcPr>
          <w:p w14:paraId="37D60D99"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Rajshree, Srivastava (2012) [30]</w:t>
            </w:r>
          </w:p>
        </w:tc>
      </w:tr>
      <w:tr w:rsidR="003C0D28" w:rsidRPr="003C0D28" w14:paraId="307A47D0" w14:textId="77777777" w:rsidTr="00F86C44">
        <w:tc>
          <w:tcPr>
            <w:tcW w:w="2308" w:type="pct"/>
          </w:tcPr>
          <w:p w14:paraId="57190EDF"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Increase / decrease in financial fraud</w:t>
            </w:r>
          </w:p>
        </w:tc>
        <w:tc>
          <w:tcPr>
            <w:tcW w:w="2692" w:type="pct"/>
          </w:tcPr>
          <w:p w14:paraId="775C717A"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Bolgov et al. (2016) [7]</w:t>
            </w:r>
          </w:p>
        </w:tc>
      </w:tr>
      <w:tr w:rsidR="003C0D28" w:rsidRPr="003C0D28" w14:paraId="4546421C" w14:textId="77777777" w:rsidTr="00F86C44">
        <w:tc>
          <w:tcPr>
            <w:tcW w:w="2308" w:type="pct"/>
          </w:tcPr>
          <w:p w14:paraId="5E21BF04"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Country Credit Rating</w:t>
            </w:r>
          </w:p>
        </w:tc>
        <w:tc>
          <w:tcPr>
            <w:tcW w:w="2692" w:type="pct"/>
          </w:tcPr>
          <w:p w14:paraId="4FA9EF18"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Khagram, De Renzio, Fung (2012) [21]</w:t>
            </w:r>
          </w:p>
        </w:tc>
      </w:tr>
      <w:tr w:rsidR="003C0D28" w:rsidRPr="003C0D28" w14:paraId="080AE612" w14:textId="77777777" w:rsidTr="00F86C44">
        <w:tc>
          <w:tcPr>
            <w:tcW w:w="2308" w:type="pct"/>
          </w:tcPr>
          <w:p w14:paraId="33631692"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Investment Growth / Decrease</w:t>
            </w:r>
          </w:p>
        </w:tc>
        <w:tc>
          <w:tcPr>
            <w:tcW w:w="2692" w:type="pct"/>
          </w:tcPr>
          <w:p w14:paraId="7B65B62D"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Khagram, De Renzio, Fung (2012) [21]</w:t>
            </w:r>
          </w:p>
        </w:tc>
      </w:tr>
      <w:tr w:rsidR="003C0D28" w:rsidRPr="003C0D28" w14:paraId="5E514FE3" w14:textId="77777777" w:rsidTr="00F86C44">
        <w:tc>
          <w:tcPr>
            <w:tcW w:w="2308" w:type="pct"/>
          </w:tcPr>
          <w:p w14:paraId="2528EE9F"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Inflation rate, stock quotes, exchange rates</w:t>
            </w:r>
          </w:p>
        </w:tc>
        <w:tc>
          <w:tcPr>
            <w:tcW w:w="2692" w:type="pct"/>
          </w:tcPr>
          <w:p w14:paraId="2E571870" w14:textId="77777777" w:rsidR="003C0D28" w:rsidRPr="003C0D28" w:rsidRDefault="003C0D28" w:rsidP="00F86C44">
            <w:pPr>
              <w:pStyle w:val="TableCell"/>
              <w:ind w:firstLine="0"/>
              <w:rPr>
                <w:rFonts w:ascii="Times New Roman" w:hAnsi="Times New Roman" w:cs="Times New Roman"/>
                <w:sz w:val="18"/>
                <w:szCs w:val="18"/>
              </w:rPr>
            </w:pPr>
            <w:r w:rsidRPr="003C0D28">
              <w:rPr>
                <w:rFonts w:ascii="Times New Roman" w:hAnsi="Times New Roman" w:cs="Times New Roman"/>
                <w:sz w:val="18"/>
                <w:szCs w:val="18"/>
              </w:rPr>
              <w:t>ODDC conceptual framework (2013) [26]</w:t>
            </w:r>
          </w:p>
        </w:tc>
      </w:tr>
      <w:tr w:rsidR="003C0D28" w:rsidRPr="003C0D28" w14:paraId="0F64377C" w14:textId="77777777" w:rsidTr="00F86C44">
        <w:tc>
          <w:tcPr>
            <w:tcW w:w="2308" w:type="pct"/>
          </w:tcPr>
          <w:p w14:paraId="09173D56" w14:textId="77777777" w:rsidR="003C0D28" w:rsidRPr="003C0D28" w:rsidRDefault="003C0D28" w:rsidP="00F86C44">
            <w:pPr>
              <w:pStyle w:val="TableCell"/>
              <w:ind w:firstLine="0"/>
              <w:rPr>
                <w:rFonts w:ascii="Times New Roman" w:hAnsi="Times New Roman" w:cs="Times New Roman"/>
                <w:sz w:val="18"/>
                <w:szCs w:val="18"/>
              </w:rPr>
            </w:pPr>
          </w:p>
        </w:tc>
        <w:tc>
          <w:tcPr>
            <w:tcW w:w="2692" w:type="pct"/>
          </w:tcPr>
          <w:p w14:paraId="5B98C902" w14:textId="77777777" w:rsidR="003C0D28" w:rsidRPr="003C0D28" w:rsidRDefault="003C0D28" w:rsidP="00F86C44">
            <w:pPr>
              <w:pStyle w:val="TableCell"/>
              <w:ind w:firstLine="0"/>
              <w:rPr>
                <w:rFonts w:ascii="Times New Roman" w:hAnsi="Times New Roman" w:cs="Times New Roman"/>
                <w:sz w:val="18"/>
                <w:szCs w:val="18"/>
              </w:rPr>
            </w:pPr>
          </w:p>
        </w:tc>
      </w:tr>
    </w:tbl>
    <w:p w14:paraId="17D4DAAC" w14:textId="3393DB9A" w:rsidR="003C0D28" w:rsidRPr="003C0D28" w:rsidRDefault="003C0D28" w:rsidP="003C0D28">
      <w:pPr>
        <w:jc w:val="center"/>
        <w:rPr>
          <w:rFonts w:ascii="Times New Roman" w:hAnsi="Times New Roman" w:cs="Times New Roman"/>
          <w:b/>
          <w:bCs/>
          <w:lang w:val="en-US"/>
        </w:rPr>
      </w:pPr>
      <w:r w:rsidRPr="003C0D28">
        <w:rPr>
          <w:rFonts w:ascii="Times New Roman" w:hAnsi="Times New Roman" w:cs="Times New Roman"/>
          <w:b/>
          <w:bCs/>
          <w:lang w:val="en-US"/>
        </w:rPr>
        <w:t xml:space="preserve">Table 1: </w:t>
      </w:r>
      <w:r w:rsidRPr="003C0D28">
        <w:rPr>
          <w:rFonts w:ascii="Times New Roman" w:hAnsi="Times New Roman" w:cs="Times New Roman"/>
          <w:lang w:val="en-US"/>
        </w:rPr>
        <w:t>Studies of Open Budget effects</w:t>
      </w:r>
    </w:p>
    <w:p w14:paraId="50C6071B" w14:textId="5BD5C92E" w:rsidR="003C0D28" w:rsidRPr="002A309A" w:rsidRDefault="003C0D28" w:rsidP="003C0D28">
      <w:pPr>
        <w:jc w:val="both"/>
        <w:rPr>
          <w:rFonts w:ascii="Times New Roman" w:hAnsi="Times New Roman" w:cs="Times New Roman"/>
          <w:lang w:val="en-US"/>
        </w:rPr>
      </w:pPr>
      <w:r w:rsidRPr="003C0D28">
        <w:rPr>
          <w:rFonts w:ascii="Times New Roman" w:hAnsi="Times New Roman" w:cs="Times New Roman"/>
          <w:lang w:val="en-US"/>
        </w:rPr>
        <w:t>To sum on, almost all the studies confirm more or less positive effect of open (budget) data on the struggle against corruption. In other words, these factors help to make the level of corruption lower. However, it is worth mentioning some authors [22] who note that greater access to information may raise the cost of corrupt and rent-seeking behavior, because the costs of discovery may outweigh the benefits of a corrupt act for the government official.</w:t>
      </w:r>
    </w:p>
    <w:p w14:paraId="3F555DF6" w14:textId="6D5A343B" w:rsidR="002A309A" w:rsidRPr="00B86F47" w:rsidRDefault="003C0D28" w:rsidP="00104204">
      <w:pPr>
        <w:jc w:val="both"/>
        <w:rPr>
          <w:rFonts w:ascii="Times New Roman" w:hAnsi="Times New Roman" w:cs="Times New Roman"/>
          <w:b/>
          <w:bCs/>
          <w:lang w:val="en-US"/>
        </w:rPr>
      </w:pPr>
      <w:r w:rsidRPr="003C0D28">
        <w:rPr>
          <w:rFonts w:ascii="Times New Roman" w:hAnsi="Times New Roman" w:cs="Times New Roman"/>
          <w:b/>
          <w:bCs/>
          <w:lang w:val="en-US"/>
        </w:rPr>
        <w:t>EAEU countries positions in international rankings</w:t>
      </w:r>
    </w:p>
    <w:p w14:paraId="1D469FBC" w14:textId="1C47856B" w:rsidR="003C0D28" w:rsidRPr="003C0D28" w:rsidRDefault="003C0D28" w:rsidP="003C0D28">
      <w:pPr>
        <w:jc w:val="both"/>
        <w:rPr>
          <w:rFonts w:ascii="Times New Roman" w:hAnsi="Times New Roman" w:cs="Times New Roman"/>
          <w:lang w:val="en-US"/>
        </w:rPr>
      </w:pPr>
      <w:r w:rsidRPr="003C0D28">
        <w:rPr>
          <w:rFonts w:ascii="Times New Roman" w:hAnsi="Times New Roman" w:cs="Times New Roman"/>
          <w:lang w:val="en-US"/>
        </w:rPr>
        <w:t xml:space="preserve">Struggle against corruption for many years has been the core task of governments, including those who have entered the international community more recently. It is necessary to mention the states formed on the ruins of the Soviet empire. Relying on the data provided by Transparency International, all states can be divided into three groups: the first one is formed by the countries where corruption in economy and social life is low, the second one is characterized by the activity aimed at tackling corruption with fluctuating outcome, the third one is characterized by the corruption existing in freedom.  </w:t>
      </w:r>
    </w:p>
    <w:p w14:paraId="396AB8CD" w14:textId="77777777" w:rsidR="003C0D28" w:rsidRPr="003C0D28" w:rsidRDefault="003C0D28" w:rsidP="003C0D28">
      <w:pPr>
        <w:jc w:val="both"/>
        <w:rPr>
          <w:rFonts w:ascii="Times New Roman" w:hAnsi="Times New Roman" w:cs="Times New Roman"/>
          <w:lang w:val="en-US"/>
        </w:rPr>
      </w:pPr>
      <w:r w:rsidRPr="003C0D28">
        <w:rPr>
          <w:rFonts w:ascii="Times New Roman" w:hAnsi="Times New Roman" w:cs="Times New Roman"/>
          <w:lang w:val="en-US"/>
        </w:rPr>
        <w:t xml:space="preserve">The countries of the first group (score equal to or between 50 and 79) are Estonia, Lithuania, Latvia, and, to a great extent, Georgia. The second group (score equal to or between 29 and 49) consists of Armenia (ranking 60th of 179), Belarus (63th), Kazakhstan, Moldova, Ukraine, Kyrgyzstan, Azerbaijan, and Russia. Uzbekistan (ranking 146th), Tajikistan (ranking 149th) and Turkmenistan (ranking 165th) are in the third group (score less than 29) [12,13]. </w:t>
      </w:r>
    </w:p>
    <w:p w14:paraId="4E407194" w14:textId="5AA7E174" w:rsidR="003C0D28" w:rsidRPr="003C0D28" w:rsidRDefault="003C0D28" w:rsidP="003C0D28">
      <w:pPr>
        <w:jc w:val="both"/>
        <w:rPr>
          <w:rFonts w:ascii="Times New Roman" w:hAnsi="Times New Roman" w:cs="Times New Roman"/>
          <w:lang w:val="en-US"/>
        </w:rPr>
      </w:pPr>
      <w:r w:rsidRPr="003C0D28">
        <w:rPr>
          <w:rFonts w:ascii="Times New Roman" w:hAnsi="Times New Roman" w:cs="Times New Roman"/>
          <w:lang w:val="en-US"/>
        </w:rPr>
        <w:t xml:space="preserve">The assessment of EAEU countries policies and practice by international organizations is accompanied by a generalization and structured data presented in Table 2. </w:t>
      </w:r>
    </w:p>
    <w:p w14:paraId="022B855D" w14:textId="77777777" w:rsidR="003C0D28" w:rsidRDefault="003C0D28" w:rsidP="003C0D28">
      <w:pPr>
        <w:jc w:val="both"/>
        <w:rPr>
          <w:rFonts w:ascii="Times New Roman" w:hAnsi="Times New Roman" w:cs="Times New Roman"/>
          <w:lang w:val="en-US"/>
        </w:rPr>
      </w:pPr>
      <w:bookmarkStart w:id="0" w:name="_Ref31715975"/>
    </w:p>
    <w:bookmarkEnd w:id="0"/>
    <w:p w14:paraId="3CFAFA55" w14:textId="430EA5E4" w:rsidR="00890C21" w:rsidRPr="003C0D28" w:rsidRDefault="00890C21" w:rsidP="003C0D28">
      <w:pPr>
        <w:jc w:val="center"/>
        <w:rPr>
          <w:rFonts w:ascii="Times New Roman" w:hAnsi="Times New Roman" w:cs="Times New Roman"/>
          <w:lang w:val="en-US"/>
        </w:rPr>
      </w:pPr>
    </w:p>
    <w:tbl>
      <w:tblPr>
        <w:tblStyle w:val="a8"/>
        <w:tblpPr w:leftFromText="180" w:rightFromText="180" w:vertAnchor="page" w:horzAnchor="margin" w:tblpY="93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75"/>
        <w:gridCol w:w="2410"/>
        <w:gridCol w:w="2679"/>
        <w:gridCol w:w="2391"/>
      </w:tblGrid>
      <w:tr w:rsidR="00D42DA6" w:rsidRPr="00D42DA6" w14:paraId="1018DEC8" w14:textId="77777777" w:rsidTr="00D42DA6">
        <w:trPr>
          <w:tblHeader/>
        </w:trPr>
        <w:tc>
          <w:tcPr>
            <w:tcW w:w="1002" w:type="pct"/>
            <w:tcBorders>
              <w:top w:val="single" w:sz="4" w:space="0" w:color="auto"/>
              <w:bottom w:val="single" w:sz="4" w:space="0" w:color="auto"/>
            </w:tcBorders>
          </w:tcPr>
          <w:p w14:paraId="7418394B" w14:textId="77777777" w:rsidR="00D42DA6" w:rsidRPr="00D42DA6" w:rsidRDefault="00D42DA6" w:rsidP="00D42DA6">
            <w:pPr>
              <w:pStyle w:val="TableCell"/>
              <w:rPr>
                <w:rFonts w:ascii="Times New Roman" w:hAnsi="Times New Roman" w:cs="Times New Roman"/>
                <w:sz w:val="18"/>
                <w:szCs w:val="18"/>
              </w:rPr>
            </w:pPr>
          </w:p>
        </w:tc>
        <w:tc>
          <w:tcPr>
            <w:tcW w:w="1288" w:type="pct"/>
            <w:tcBorders>
              <w:top w:val="single" w:sz="4" w:space="0" w:color="auto"/>
              <w:bottom w:val="single" w:sz="4" w:space="0" w:color="auto"/>
            </w:tcBorders>
          </w:tcPr>
          <w:p w14:paraId="605AF691" w14:textId="77777777" w:rsidR="00D42DA6" w:rsidRPr="00D42DA6" w:rsidRDefault="00D42DA6" w:rsidP="00D42DA6">
            <w:pPr>
              <w:pStyle w:val="TableCell"/>
              <w:ind w:firstLine="0"/>
              <w:jc w:val="center"/>
              <w:rPr>
                <w:rFonts w:ascii="Times New Roman" w:hAnsi="Times New Roman" w:cs="Times New Roman"/>
                <w:sz w:val="18"/>
                <w:szCs w:val="18"/>
              </w:rPr>
            </w:pPr>
            <w:r w:rsidRPr="00D42DA6">
              <w:rPr>
                <w:rFonts w:ascii="Times New Roman" w:hAnsi="Times New Roman" w:cs="Times New Roman"/>
                <w:sz w:val="18"/>
                <w:szCs w:val="18"/>
              </w:rPr>
              <w:t>IBP, 2019</w:t>
            </w:r>
          </w:p>
        </w:tc>
        <w:tc>
          <w:tcPr>
            <w:tcW w:w="1432" w:type="pct"/>
            <w:tcBorders>
              <w:top w:val="single" w:sz="4" w:space="0" w:color="auto"/>
              <w:bottom w:val="single" w:sz="4" w:space="0" w:color="auto"/>
            </w:tcBorders>
          </w:tcPr>
          <w:p w14:paraId="1CB2107D" w14:textId="77777777" w:rsidR="00D42DA6" w:rsidRPr="00D42DA6" w:rsidRDefault="00D42DA6" w:rsidP="00D42DA6">
            <w:pPr>
              <w:pStyle w:val="TableCell"/>
              <w:ind w:firstLine="0"/>
              <w:jc w:val="center"/>
              <w:rPr>
                <w:rFonts w:ascii="Times New Roman" w:hAnsi="Times New Roman" w:cs="Times New Roman"/>
                <w:sz w:val="18"/>
                <w:szCs w:val="18"/>
              </w:rPr>
            </w:pPr>
            <w:r w:rsidRPr="00D42DA6">
              <w:rPr>
                <w:rFonts w:ascii="Times New Roman" w:hAnsi="Times New Roman" w:cs="Times New Roman"/>
                <w:sz w:val="18"/>
                <w:szCs w:val="18"/>
              </w:rPr>
              <w:t>Open Data Index Gov.Budget. 2015 http://global.census.okfn.org/</w:t>
            </w:r>
          </w:p>
        </w:tc>
        <w:tc>
          <w:tcPr>
            <w:tcW w:w="1278" w:type="pct"/>
            <w:tcBorders>
              <w:top w:val="single" w:sz="4" w:space="0" w:color="auto"/>
              <w:bottom w:val="single" w:sz="4" w:space="0" w:color="auto"/>
            </w:tcBorders>
          </w:tcPr>
          <w:p w14:paraId="762F4FE4" w14:textId="77777777" w:rsidR="00D42DA6" w:rsidRPr="00D42DA6" w:rsidRDefault="00D42DA6" w:rsidP="00D42DA6">
            <w:pPr>
              <w:pStyle w:val="TableCell"/>
              <w:ind w:firstLine="0"/>
              <w:jc w:val="center"/>
              <w:rPr>
                <w:rFonts w:ascii="Times New Roman" w:hAnsi="Times New Roman" w:cs="Times New Roman"/>
                <w:sz w:val="18"/>
                <w:szCs w:val="18"/>
              </w:rPr>
            </w:pPr>
            <w:r w:rsidRPr="00D42DA6">
              <w:rPr>
                <w:rFonts w:ascii="Times New Roman" w:hAnsi="Times New Roman" w:cs="Times New Roman"/>
                <w:sz w:val="18"/>
                <w:szCs w:val="18"/>
              </w:rPr>
              <w:t>ODIN 2020, Rank/ Score,</w:t>
            </w:r>
          </w:p>
        </w:tc>
      </w:tr>
      <w:tr w:rsidR="00D42DA6" w:rsidRPr="00D42DA6" w14:paraId="324B655F" w14:textId="77777777" w:rsidTr="00D42DA6">
        <w:tc>
          <w:tcPr>
            <w:tcW w:w="1002" w:type="pct"/>
            <w:tcBorders>
              <w:top w:val="single" w:sz="4" w:space="0" w:color="auto"/>
            </w:tcBorders>
          </w:tcPr>
          <w:p w14:paraId="2527695D" w14:textId="77777777" w:rsidR="00D42DA6" w:rsidRPr="00D42DA6" w:rsidRDefault="00D42DA6" w:rsidP="00D42DA6">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Russia</w:t>
            </w:r>
          </w:p>
        </w:tc>
        <w:tc>
          <w:tcPr>
            <w:tcW w:w="1288" w:type="pct"/>
            <w:tcBorders>
              <w:top w:val="single" w:sz="4" w:space="0" w:color="auto"/>
            </w:tcBorders>
          </w:tcPr>
          <w:p w14:paraId="7401CBEE" w14:textId="77777777" w:rsidR="00D42DA6" w:rsidRPr="00D42DA6" w:rsidRDefault="00D42DA6" w:rsidP="00D42DA6">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74 out of 100 points, category “countries that provide important budget information”</w:t>
            </w:r>
          </w:p>
        </w:tc>
        <w:tc>
          <w:tcPr>
            <w:tcW w:w="1432" w:type="pct"/>
            <w:tcBorders>
              <w:top w:val="single" w:sz="4" w:space="0" w:color="auto"/>
            </w:tcBorders>
          </w:tcPr>
          <w:p w14:paraId="03F95DAE" w14:textId="77777777" w:rsidR="00D42DA6" w:rsidRPr="00D42DA6" w:rsidRDefault="00D42DA6" w:rsidP="00D42DA6">
            <w:pPr>
              <w:pStyle w:val="TableCell"/>
              <w:jc w:val="center"/>
              <w:rPr>
                <w:rFonts w:ascii="Times New Roman" w:hAnsi="Times New Roman" w:cs="Times New Roman"/>
                <w:sz w:val="18"/>
                <w:szCs w:val="18"/>
              </w:rPr>
            </w:pPr>
            <w:r w:rsidRPr="00D42DA6">
              <w:rPr>
                <w:rFonts w:ascii="Times New Roman" w:hAnsi="Times New Roman" w:cs="Times New Roman"/>
                <w:sz w:val="18"/>
                <w:szCs w:val="18"/>
              </w:rPr>
              <w:t>10%</w:t>
            </w:r>
          </w:p>
        </w:tc>
        <w:tc>
          <w:tcPr>
            <w:tcW w:w="1278" w:type="pct"/>
            <w:tcBorders>
              <w:top w:val="single" w:sz="4" w:space="0" w:color="auto"/>
            </w:tcBorders>
          </w:tcPr>
          <w:p w14:paraId="108B8533" w14:textId="77777777" w:rsidR="00D42DA6" w:rsidRPr="00D42DA6" w:rsidRDefault="00D42DA6" w:rsidP="00D42DA6">
            <w:pPr>
              <w:pStyle w:val="TableCell"/>
              <w:rPr>
                <w:rFonts w:ascii="Times New Roman" w:hAnsi="Times New Roman" w:cs="Times New Roman"/>
                <w:sz w:val="18"/>
                <w:szCs w:val="18"/>
              </w:rPr>
            </w:pPr>
            <w:r w:rsidRPr="00D42DA6">
              <w:rPr>
                <w:rFonts w:ascii="Times New Roman" w:hAnsi="Times New Roman" w:cs="Times New Roman"/>
                <w:sz w:val="18"/>
                <w:szCs w:val="18"/>
              </w:rPr>
              <w:t>58 of 187/ 59</w:t>
            </w:r>
          </w:p>
          <w:p w14:paraId="5381B6B7" w14:textId="77777777" w:rsidR="00D42DA6" w:rsidRPr="00D42DA6" w:rsidRDefault="00D42DA6" w:rsidP="00D42DA6">
            <w:pPr>
              <w:pStyle w:val="TableCell"/>
              <w:rPr>
                <w:rFonts w:ascii="Times New Roman" w:hAnsi="Times New Roman" w:cs="Times New Roman"/>
                <w:sz w:val="18"/>
                <w:szCs w:val="18"/>
              </w:rPr>
            </w:pPr>
            <w:r w:rsidRPr="00D42DA6">
              <w:rPr>
                <w:rFonts w:ascii="Times New Roman" w:hAnsi="Times New Roman" w:cs="Times New Roman"/>
                <w:sz w:val="18"/>
                <w:szCs w:val="18"/>
              </w:rPr>
              <w:t>56</w:t>
            </w:r>
          </w:p>
        </w:tc>
      </w:tr>
      <w:tr w:rsidR="00D42DA6" w:rsidRPr="00D42DA6" w14:paraId="64FEAA11" w14:textId="77777777" w:rsidTr="00D42DA6">
        <w:tc>
          <w:tcPr>
            <w:tcW w:w="1002" w:type="pct"/>
          </w:tcPr>
          <w:p w14:paraId="117CADA7" w14:textId="77777777" w:rsidR="00D42DA6" w:rsidRPr="00D42DA6" w:rsidRDefault="00D42DA6" w:rsidP="00D42DA6">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Kazakhstan</w:t>
            </w:r>
          </w:p>
        </w:tc>
        <w:tc>
          <w:tcPr>
            <w:tcW w:w="1288" w:type="pct"/>
          </w:tcPr>
          <w:p w14:paraId="771EA5B9" w14:textId="77777777" w:rsidR="00D42DA6" w:rsidRPr="00D42DA6" w:rsidRDefault="00D42DA6" w:rsidP="00D42DA6">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48 out of 100 points, category “countries that provide only some of the budget information”</w:t>
            </w:r>
          </w:p>
        </w:tc>
        <w:tc>
          <w:tcPr>
            <w:tcW w:w="1432" w:type="pct"/>
          </w:tcPr>
          <w:p w14:paraId="6DC8A40A" w14:textId="77777777" w:rsidR="00D42DA6" w:rsidRPr="00D42DA6" w:rsidRDefault="00D42DA6" w:rsidP="00D42DA6">
            <w:pPr>
              <w:pStyle w:val="TableCell"/>
              <w:jc w:val="center"/>
              <w:rPr>
                <w:rFonts w:ascii="Times New Roman" w:hAnsi="Times New Roman" w:cs="Times New Roman"/>
                <w:sz w:val="18"/>
                <w:szCs w:val="18"/>
              </w:rPr>
            </w:pPr>
            <w:r w:rsidRPr="00D42DA6">
              <w:rPr>
                <w:rFonts w:ascii="Times New Roman" w:hAnsi="Times New Roman" w:cs="Times New Roman"/>
                <w:sz w:val="18"/>
                <w:szCs w:val="18"/>
              </w:rPr>
              <w:t>70%</w:t>
            </w:r>
          </w:p>
        </w:tc>
        <w:tc>
          <w:tcPr>
            <w:tcW w:w="1278" w:type="pct"/>
            <w:tcBorders>
              <w:left w:val="nil"/>
            </w:tcBorders>
          </w:tcPr>
          <w:p w14:paraId="4549FAF5" w14:textId="77777777" w:rsidR="00D42DA6" w:rsidRPr="00D42DA6" w:rsidRDefault="00D42DA6" w:rsidP="00D42DA6">
            <w:pPr>
              <w:pStyle w:val="TableCell"/>
              <w:rPr>
                <w:rFonts w:ascii="Times New Roman" w:hAnsi="Times New Roman" w:cs="Times New Roman"/>
                <w:sz w:val="18"/>
                <w:szCs w:val="18"/>
              </w:rPr>
            </w:pPr>
            <w:r w:rsidRPr="00D42DA6">
              <w:rPr>
                <w:rFonts w:ascii="Times New Roman" w:hAnsi="Times New Roman" w:cs="Times New Roman"/>
                <w:sz w:val="18"/>
                <w:szCs w:val="18"/>
              </w:rPr>
              <w:t>53 of 187/ 62</w:t>
            </w:r>
          </w:p>
          <w:p w14:paraId="422D756D" w14:textId="77777777" w:rsidR="00D42DA6" w:rsidRPr="00D42DA6" w:rsidRDefault="00D42DA6" w:rsidP="00D42DA6">
            <w:pPr>
              <w:pStyle w:val="TableCell"/>
              <w:rPr>
                <w:rFonts w:ascii="Times New Roman" w:hAnsi="Times New Roman" w:cs="Times New Roman"/>
                <w:sz w:val="18"/>
                <w:szCs w:val="18"/>
              </w:rPr>
            </w:pPr>
            <w:r w:rsidRPr="00D42DA6">
              <w:rPr>
                <w:rFonts w:ascii="Times New Roman" w:hAnsi="Times New Roman" w:cs="Times New Roman"/>
                <w:sz w:val="18"/>
                <w:szCs w:val="18"/>
              </w:rPr>
              <w:t>39</w:t>
            </w:r>
          </w:p>
        </w:tc>
      </w:tr>
      <w:tr w:rsidR="00D42DA6" w:rsidRPr="00D42DA6" w14:paraId="0459760F" w14:textId="77777777" w:rsidTr="00D42DA6">
        <w:tc>
          <w:tcPr>
            <w:tcW w:w="1002" w:type="pct"/>
          </w:tcPr>
          <w:p w14:paraId="18CF355B" w14:textId="77777777" w:rsidR="00D42DA6" w:rsidRPr="00D42DA6" w:rsidRDefault="00D42DA6" w:rsidP="00D42DA6">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Belarus</w:t>
            </w:r>
          </w:p>
        </w:tc>
        <w:tc>
          <w:tcPr>
            <w:tcW w:w="1288" w:type="pct"/>
          </w:tcPr>
          <w:p w14:paraId="603E9C1A" w14:textId="77777777" w:rsidR="00D42DA6" w:rsidRPr="00D42DA6" w:rsidRDefault="00D42DA6" w:rsidP="00D42DA6">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0-20: category “countries that do not provide enough budget information”.</w:t>
            </w:r>
          </w:p>
        </w:tc>
        <w:tc>
          <w:tcPr>
            <w:tcW w:w="1432" w:type="pct"/>
          </w:tcPr>
          <w:p w14:paraId="5CF78C8D" w14:textId="77777777" w:rsidR="00D42DA6" w:rsidRPr="00D42DA6" w:rsidRDefault="00D42DA6" w:rsidP="00D42DA6">
            <w:pPr>
              <w:pStyle w:val="TableCell"/>
              <w:jc w:val="center"/>
              <w:rPr>
                <w:rFonts w:ascii="Times New Roman" w:hAnsi="Times New Roman" w:cs="Times New Roman"/>
                <w:sz w:val="18"/>
                <w:szCs w:val="18"/>
              </w:rPr>
            </w:pPr>
            <w:r w:rsidRPr="00D42DA6">
              <w:rPr>
                <w:rFonts w:ascii="Times New Roman" w:hAnsi="Times New Roman" w:cs="Times New Roman"/>
                <w:sz w:val="18"/>
                <w:szCs w:val="18"/>
              </w:rPr>
              <w:t>-</w:t>
            </w:r>
          </w:p>
        </w:tc>
        <w:tc>
          <w:tcPr>
            <w:tcW w:w="1278" w:type="pct"/>
            <w:tcBorders>
              <w:left w:val="nil"/>
            </w:tcBorders>
          </w:tcPr>
          <w:p w14:paraId="1FD7E7C6" w14:textId="77777777" w:rsidR="00D42DA6" w:rsidRPr="00D42DA6" w:rsidRDefault="00D42DA6" w:rsidP="00D42DA6">
            <w:pPr>
              <w:pStyle w:val="TableCell"/>
              <w:rPr>
                <w:rFonts w:ascii="Times New Roman" w:hAnsi="Times New Roman" w:cs="Times New Roman"/>
                <w:sz w:val="18"/>
                <w:szCs w:val="18"/>
              </w:rPr>
            </w:pPr>
            <w:r w:rsidRPr="00D42DA6">
              <w:rPr>
                <w:rFonts w:ascii="Times New Roman" w:hAnsi="Times New Roman" w:cs="Times New Roman"/>
                <w:sz w:val="18"/>
                <w:szCs w:val="18"/>
              </w:rPr>
              <w:t>67 of 187/ 57</w:t>
            </w:r>
          </w:p>
          <w:p w14:paraId="38E355A5" w14:textId="77777777" w:rsidR="00D42DA6" w:rsidRPr="00D42DA6" w:rsidRDefault="00D42DA6" w:rsidP="00D42DA6">
            <w:pPr>
              <w:pStyle w:val="TableCell"/>
              <w:rPr>
                <w:rFonts w:ascii="Times New Roman" w:hAnsi="Times New Roman" w:cs="Times New Roman"/>
                <w:sz w:val="18"/>
                <w:szCs w:val="18"/>
              </w:rPr>
            </w:pPr>
            <w:r w:rsidRPr="00D42DA6">
              <w:rPr>
                <w:rFonts w:ascii="Times New Roman" w:hAnsi="Times New Roman" w:cs="Times New Roman"/>
                <w:sz w:val="18"/>
                <w:szCs w:val="18"/>
              </w:rPr>
              <w:t>50</w:t>
            </w:r>
          </w:p>
        </w:tc>
      </w:tr>
      <w:tr w:rsidR="00D42DA6" w:rsidRPr="00D42DA6" w14:paraId="065352D0" w14:textId="77777777" w:rsidTr="00D42DA6">
        <w:tc>
          <w:tcPr>
            <w:tcW w:w="1002" w:type="pct"/>
          </w:tcPr>
          <w:p w14:paraId="7712CC20" w14:textId="77777777" w:rsidR="00D42DA6" w:rsidRPr="00D42DA6" w:rsidRDefault="00D42DA6" w:rsidP="00D42DA6">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Armenia</w:t>
            </w:r>
          </w:p>
        </w:tc>
        <w:tc>
          <w:tcPr>
            <w:tcW w:w="1288" w:type="pct"/>
          </w:tcPr>
          <w:p w14:paraId="272DEE0C" w14:textId="77777777" w:rsidR="00D42DA6" w:rsidRPr="00D42DA6" w:rsidRDefault="00D42DA6" w:rsidP="00D42DA6">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No information</w:t>
            </w:r>
          </w:p>
        </w:tc>
        <w:tc>
          <w:tcPr>
            <w:tcW w:w="1432" w:type="pct"/>
          </w:tcPr>
          <w:p w14:paraId="2812171B" w14:textId="77777777" w:rsidR="00D42DA6" w:rsidRPr="00D42DA6" w:rsidRDefault="00D42DA6" w:rsidP="00D42DA6">
            <w:pPr>
              <w:pStyle w:val="TableCell"/>
              <w:jc w:val="center"/>
              <w:rPr>
                <w:rFonts w:ascii="Times New Roman" w:hAnsi="Times New Roman" w:cs="Times New Roman"/>
                <w:sz w:val="18"/>
                <w:szCs w:val="18"/>
              </w:rPr>
            </w:pPr>
            <w:r w:rsidRPr="00D42DA6">
              <w:rPr>
                <w:rFonts w:ascii="Times New Roman" w:hAnsi="Times New Roman" w:cs="Times New Roman"/>
                <w:sz w:val="18"/>
                <w:szCs w:val="18"/>
              </w:rPr>
              <w:t>-</w:t>
            </w:r>
          </w:p>
        </w:tc>
        <w:tc>
          <w:tcPr>
            <w:tcW w:w="1278" w:type="pct"/>
            <w:tcBorders>
              <w:left w:val="nil"/>
            </w:tcBorders>
          </w:tcPr>
          <w:p w14:paraId="590D2AFE" w14:textId="77777777" w:rsidR="00D42DA6" w:rsidRPr="00D42DA6" w:rsidRDefault="00D42DA6" w:rsidP="00D42DA6">
            <w:pPr>
              <w:pStyle w:val="TableCell"/>
              <w:rPr>
                <w:rFonts w:ascii="Times New Roman" w:hAnsi="Times New Roman" w:cs="Times New Roman"/>
                <w:sz w:val="18"/>
                <w:szCs w:val="18"/>
              </w:rPr>
            </w:pPr>
            <w:r w:rsidRPr="00D42DA6">
              <w:rPr>
                <w:rFonts w:ascii="Times New Roman" w:hAnsi="Times New Roman" w:cs="Times New Roman"/>
                <w:sz w:val="18"/>
                <w:szCs w:val="18"/>
              </w:rPr>
              <w:t>69 of 187/ 57</w:t>
            </w:r>
          </w:p>
          <w:p w14:paraId="69373759" w14:textId="77777777" w:rsidR="00D42DA6" w:rsidRPr="00D42DA6" w:rsidRDefault="00D42DA6" w:rsidP="00D42DA6">
            <w:pPr>
              <w:pStyle w:val="TableCell"/>
              <w:rPr>
                <w:rFonts w:ascii="Times New Roman" w:hAnsi="Times New Roman" w:cs="Times New Roman"/>
                <w:sz w:val="18"/>
                <w:szCs w:val="18"/>
              </w:rPr>
            </w:pPr>
            <w:r w:rsidRPr="00D42DA6">
              <w:rPr>
                <w:rFonts w:ascii="Times New Roman" w:hAnsi="Times New Roman" w:cs="Times New Roman"/>
                <w:sz w:val="18"/>
                <w:szCs w:val="18"/>
              </w:rPr>
              <w:t>78</w:t>
            </w:r>
          </w:p>
        </w:tc>
      </w:tr>
      <w:tr w:rsidR="00D42DA6" w:rsidRPr="00D42DA6" w14:paraId="30C31140" w14:textId="77777777" w:rsidTr="00D42DA6">
        <w:tc>
          <w:tcPr>
            <w:tcW w:w="1002" w:type="pct"/>
          </w:tcPr>
          <w:p w14:paraId="459CA43E" w14:textId="77777777" w:rsidR="00D42DA6" w:rsidRPr="00D42DA6" w:rsidRDefault="00D42DA6" w:rsidP="00D42DA6">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Kyrgyzstan</w:t>
            </w:r>
          </w:p>
        </w:tc>
        <w:tc>
          <w:tcPr>
            <w:tcW w:w="1288" w:type="pct"/>
          </w:tcPr>
          <w:p w14:paraId="2555BE95" w14:textId="77777777" w:rsidR="00D42DA6" w:rsidRPr="00D42DA6" w:rsidRDefault="00D42DA6" w:rsidP="00D42DA6">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Index raised from 8 points in 2008 to 55 points in 2017. Recommendation to increase budget transparency.</w:t>
            </w:r>
          </w:p>
        </w:tc>
        <w:tc>
          <w:tcPr>
            <w:tcW w:w="1432" w:type="pct"/>
          </w:tcPr>
          <w:p w14:paraId="657D2EB9" w14:textId="77777777" w:rsidR="00D42DA6" w:rsidRPr="00D42DA6" w:rsidRDefault="00D42DA6" w:rsidP="00D42DA6">
            <w:pPr>
              <w:pStyle w:val="TableCell"/>
              <w:jc w:val="center"/>
              <w:rPr>
                <w:rFonts w:ascii="Times New Roman" w:hAnsi="Times New Roman" w:cs="Times New Roman"/>
                <w:sz w:val="18"/>
                <w:szCs w:val="18"/>
              </w:rPr>
            </w:pPr>
            <w:r w:rsidRPr="00D42DA6">
              <w:rPr>
                <w:rFonts w:ascii="Times New Roman" w:hAnsi="Times New Roman" w:cs="Times New Roman"/>
                <w:sz w:val="18"/>
                <w:szCs w:val="18"/>
              </w:rPr>
              <w:t>70%</w:t>
            </w:r>
          </w:p>
        </w:tc>
        <w:tc>
          <w:tcPr>
            <w:tcW w:w="1278" w:type="pct"/>
            <w:tcBorders>
              <w:left w:val="nil"/>
            </w:tcBorders>
          </w:tcPr>
          <w:p w14:paraId="0E764BD2" w14:textId="77777777" w:rsidR="00D42DA6" w:rsidRPr="00D42DA6" w:rsidRDefault="00D42DA6" w:rsidP="00D42DA6">
            <w:pPr>
              <w:pStyle w:val="TableCell"/>
              <w:rPr>
                <w:rFonts w:ascii="Times New Roman" w:hAnsi="Times New Roman" w:cs="Times New Roman"/>
                <w:sz w:val="18"/>
                <w:szCs w:val="18"/>
              </w:rPr>
            </w:pPr>
            <w:r w:rsidRPr="00D42DA6">
              <w:rPr>
                <w:rFonts w:ascii="Times New Roman" w:hAnsi="Times New Roman" w:cs="Times New Roman"/>
                <w:sz w:val="18"/>
                <w:szCs w:val="18"/>
              </w:rPr>
              <w:t>95 of 187/ 48</w:t>
            </w:r>
          </w:p>
          <w:p w14:paraId="6B477E3E" w14:textId="77777777" w:rsidR="00D42DA6" w:rsidRPr="00D42DA6" w:rsidRDefault="00D42DA6" w:rsidP="00D42DA6">
            <w:pPr>
              <w:pStyle w:val="TableCell"/>
              <w:rPr>
                <w:rFonts w:ascii="Times New Roman" w:hAnsi="Times New Roman" w:cs="Times New Roman"/>
                <w:sz w:val="18"/>
                <w:szCs w:val="18"/>
              </w:rPr>
            </w:pPr>
            <w:r w:rsidRPr="00D42DA6">
              <w:rPr>
                <w:rFonts w:ascii="Times New Roman" w:hAnsi="Times New Roman" w:cs="Times New Roman"/>
                <w:sz w:val="18"/>
                <w:szCs w:val="18"/>
              </w:rPr>
              <w:t>67</w:t>
            </w:r>
          </w:p>
        </w:tc>
      </w:tr>
      <w:tr w:rsidR="00D42DA6" w:rsidRPr="00D42DA6" w14:paraId="2B7A27D9" w14:textId="77777777" w:rsidTr="00D42DA6">
        <w:tc>
          <w:tcPr>
            <w:tcW w:w="1002" w:type="pct"/>
          </w:tcPr>
          <w:p w14:paraId="4D991BD4" w14:textId="77777777" w:rsidR="00D42DA6" w:rsidRPr="00D42DA6" w:rsidRDefault="00D42DA6" w:rsidP="00D42DA6">
            <w:pPr>
              <w:pStyle w:val="TableCell"/>
              <w:ind w:firstLine="0"/>
              <w:rPr>
                <w:rFonts w:ascii="Times New Roman" w:hAnsi="Times New Roman" w:cs="Times New Roman"/>
                <w:sz w:val="18"/>
                <w:szCs w:val="18"/>
              </w:rPr>
            </w:pPr>
          </w:p>
        </w:tc>
        <w:tc>
          <w:tcPr>
            <w:tcW w:w="1288" w:type="pct"/>
          </w:tcPr>
          <w:p w14:paraId="05CD6791" w14:textId="77777777" w:rsidR="00D42DA6" w:rsidRPr="00D42DA6" w:rsidRDefault="00D42DA6" w:rsidP="00D42DA6">
            <w:pPr>
              <w:pStyle w:val="TableCell"/>
              <w:ind w:firstLine="0"/>
              <w:rPr>
                <w:rFonts w:ascii="Times New Roman" w:hAnsi="Times New Roman" w:cs="Times New Roman"/>
                <w:sz w:val="18"/>
                <w:szCs w:val="18"/>
              </w:rPr>
            </w:pPr>
          </w:p>
        </w:tc>
        <w:tc>
          <w:tcPr>
            <w:tcW w:w="1432" w:type="pct"/>
          </w:tcPr>
          <w:p w14:paraId="340AC718" w14:textId="77777777" w:rsidR="00D42DA6" w:rsidRPr="00D42DA6" w:rsidRDefault="00D42DA6" w:rsidP="00D42DA6">
            <w:pPr>
              <w:pStyle w:val="TableCell"/>
              <w:jc w:val="center"/>
              <w:rPr>
                <w:rFonts w:ascii="Times New Roman" w:hAnsi="Times New Roman" w:cs="Times New Roman"/>
                <w:sz w:val="18"/>
                <w:szCs w:val="18"/>
              </w:rPr>
            </w:pPr>
          </w:p>
        </w:tc>
        <w:tc>
          <w:tcPr>
            <w:tcW w:w="1278" w:type="pct"/>
            <w:tcBorders>
              <w:left w:val="nil"/>
            </w:tcBorders>
          </w:tcPr>
          <w:p w14:paraId="1C84BE03" w14:textId="77777777" w:rsidR="00D42DA6" w:rsidRPr="00D42DA6" w:rsidRDefault="00D42DA6" w:rsidP="00D42DA6">
            <w:pPr>
              <w:pStyle w:val="TableCell"/>
              <w:rPr>
                <w:rFonts w:ascii="Times New Roman" w:hAnsi="Times New Roman" w:cs="Times New Roman"/>
                <w:sz w:val="18"/>
                <w:szCs w:val="18"/>
              </w:rPr>
            </w:pPr>
          </w:p>
        </w:tc>
      </w:tr>
    </w:tbl>
    <w:p w14:paraId="048E508B" w14:textId="36B12D6F" w:rsidR="00D42DA6" w:rsidRDefault="00D42DA6" w:rsidP="00D42DA6">
      <w:pPr>
        <w:jc w:val="center"/>
        <w:rPr>
          <w:rFonts w:ascii="Times New Roman" w:hAnsi="Times New Roman" w:cs="Times New Roman"/>
          <w:b/>
          <w:bCs/>
          <w:lang w:val="en-US"/>
        </w:rPr>
      </w:pPr>
      <w:r w:rsidRPr="003C0D28">
        <w:rPr>
          <w:rFonts w:ascii="Times New Roman" w:hAnsi="Times New Roman" w:cs="Times New Roman"/>
          <w:b/>
          <w:bCs/>
          <w:lang w:val="en-US"/>
        </w:rPr>
        <w:t>Table 2:</w:t>
      </w:r>
      <w:r w:rsidRPr="003C0D28">
        <w:rPr>
          <w:rFonts w:ascii="Times New Roman" w:hAnsi="Times New Roman" w:cs="Times New Roman"/>
          <w:lang w:val="en-US"/>
        </w:rPr>
        <w:t xml:space="preserve"> Assessment of Open budget practices in EAEU countries by international organizations</w:t>
      </w:r>
    </w:p>
    <w:p w14:paraId="4376914E" w14:textId="77777777" w:rsidR="00D42DA6" w:rsidRDefault="00D42DA6" w:rsidP="00104204">
      <w:pPr>
        <w:jc w:val="both"/>
        <w:rPr>
          <w:rFonts w:ascii="Times New Roman" w:hAnsi="Times New Roman" w:cs="Times New Roman"/>
          <w:b/>
          <w:bCs/>
          <w:lang w:val="en-US"/>
        </w:rPr>
      </w:pPr>
    </w:p>
    <w:p w14:paraId="3166AC95" w14:textId="1EF43452" w:rsidR="00B86F47" w:rsidRPr="00B86F47" w:rsidRDefault="00D42DA6" w:rsidP="00104204">
      <w:pPr>
        <w:jc w:val="both"/>
        <w:rPr>
          <w:rFonts w:ascii="Times New Roman" w:hAnsi="Times New Roman" w:cs="Times New Roman"/>
          <w:b/>
          <w:bCs/>
          <w:lang w:val="en-US"/>
        </w:rPr>
      </w:pPr>
      <w:r w:rsidRPr="00D42DA6">
        <w:rPr>
          <w:rFonts w:ascii="Times New Roman" w:hAnsi="Times New Roman" w:cs="Times New Roman"/>
          <w:b/>
          <w:bCs/>
          <w:lang w:val="en-US"/>
        </w:rPr>
        <w:t>Research approach and findings</w:t>
      </w:r>
    </w:p>
    <w:p w14:paraId="18FB8F62" w14:textId="6E2FC883" w:rsidR="00B86F47" w:rsidRDefault="00D42DA6" w:rsidP="00104204">
      <w:pPr>
        <w:jc w:val="both"/>
        <w:rPr>
          <w:rFonts w:ascii="Times New Roman" w:hAnsi="Times New Roman" w:cs="Times New Roman"/>
          <w:lang w:val="en-US"/>
        </w:rPr>
      </w:pPr>
      <w:r w:rsidRPr="00D42DA6">
        <w:rPr>
          <w:rFonts w:ascii="Times New Roman" w:hAnsi="Times New Roman" w:cs="Times New Roman"/>
          <w:lang w:val="en-US"/>
        </w:rPr>
        <w:t>We assess the impact of open finance data (according to Open data inventory, ODIN, produced by Open Data Watch) on corruption for five EAEU countries covering the period between 2015 and 2020 with use of unbalanced panel data analysis. Data accessibility was crucial for the choice of sample and period. The regression model shown below is designed according to the literature:</w:t>
      </w:r>
    </w:p>
    <w:p w14:paraId="4C5A8DA2" w14:textId="7E6DB4F4" w:rsidR="00D42DA6" w:rsidRPr="001B26FA" w:rsidRDefault="00D42DA6" w:rsidP="00104204">
      <w:pPr>
        <w:jc w:val="both"/>
        <w:rPr>
          <w:rFonts w:ascii="Times New Roman" w:hAnsi="Times New Roman" w:cs="Times New Roman"/>
          <w:lang w:val="en-US"/>
        </w:rPr>
      </w:pPr>
      <w:r w:rsidRPr="00D42DA6">
        <w:rPr>
          <w:w w:val="105"/>
          <w:lang w:val="en-US"/>
        </w:rPr>
        <w:t>CPI</w:t>
      </w:r>
      <w:r w:rsidRPr="00D42DA6">
        <w:rPr>
          <w:w w:val="105"/>
          <w:position w:val="-4"/>
          <w:sz w:val="15"/>
          <w:lang w:val="en-US"/>
        </w:rPr>
        <w:t>it</w:t>
      </w:r>
      <w:r w:rsidRPr="00D42DA6">
        <w:rPr>
          <w:spacing w:val="26"/>
          <w:w w:val="105"/>
          <w:position w:val="-4"/>
          <w:sz w:val="15"/>
          <w:lang w:val="en-US"/>
        </w:rPr>
        <w:t xml:space="preserve"> </w:t>
      </w:r>
      <w:r w:rsidRPr="00DD1D8E">
        <w:rPr>
          <w:rFonts w:ascii="Symbol" w:hAnsi="Symbol"/>
          <w:w w:val="105"/>
        </w:rPr>
        <w:t></w:t>
      </w:r>
      <w:r w:rsidRPr="00D42DA6">
        <w:rPr>
          <w:spacing w:val="-2"/>
          <w:w w:val="105"/>
          <w:lang w:val="en-US"/>
        </w:rPr>
        <w:t xml:space="preserve"> </w:t>
      </w:r>
      <w:r w:rsidRPr="00DD1D8E">
        <w:rPr>
          <w:rFonts w:ascii="Symbol" w:hAnsi="Symbol"/>
          <w:w w:val="105"/>
          <w:sz w:val="24"/>
        </w:rPr>
        <w:t></w:t>
      </w:r>
      <w:r w:rsidRPr="00D42DA6">
        <w:rPr>
          <w:w w:val="105"/>
          <w:position w:val="-4"/>
          <w:sz w:val="15"/>
          <w:lang w:val="en-US"/>
        </w:rPr>
        <w:t>0</w:t>
      </w:r>
      <w:r w:rsidRPr="00D42DA6">
        <w:rPr>
          <w:spacing w:val="28"/>
          <w:w w:val="105"/>
          <w:position w:val="-4"/>
          <w:sz w:val="15"/>
          <w:lang w:val="en-US"/>
        </w:rPr>
        <w:t xml:space="preserve"> </w:t>
      </w:r>
      <w:r w:rsidRPr="00DD1D8E">
        <w:rPr>
          <w:rFonts w:ascii="Symbol" w:hAnsi="Symbol"/>
          <w:w w:val="105"/>
        </w:rPr>
        <w:t></w:t>
      </w:r>
      <w:r w:rsidRPr="00D42DA6">
        <w:rPr>
          <w:spacing w:val="-14"/>
          <w:w w:val="105"/>
          <w:lang w:val="en-US"/>
        </w:rPr>
        <w:t xml:space="preserve"> </w:t>
      </w:r>
      <w:r w:rsidRPr="00DD1D8E">
        <w:rPr>
          <w:rFonts w:ascii="Symbol" w:hAnsi="Symbol"/>
          <w:w w:val="105"/>
          <w:sz w:val="24"/>
        </w:rPr>
        <w:t></w:t>
      </w:r>
      <w:r w:rsidRPr="00D42DA6">
        <w:rPr>
          <w:w w:val="105"/>
          <w:position w:val="-4"/>
          <w:sz w:val="15"/>
          <w:lang w:val="en-US"/>
        </w:rPr>
        <w:t>1</w:t>
      </w:r>
      <w:r w:rsidRPr="00D42DA6">
        <w:rPr>
          <w:w w:val="105"/>
          <w:lang w:val="en-US"/>
        </w:rPr>
        <w:t>AQ</w:t>
      </w:r>
      <w:r w:rsidRPr="00D42DA6">
        <w:rPr>
          <w:w w:val="105"/>
          <w:position w:val="-4"/>
          <w:sz w:val="15"/>
          <w:lang w:val="en-US"/>
        </w:rPr>
        <w:t xml:space="preserve">it </w:t>
      </w:r>
      <w:r w:rsidRPr="00D42DA6">
        <w:rPr>
          <w:spacing w:val="10"/>
          <w:w w:val="105"/>
          <w:position w:val="-4"/>
          <w:sz w:val="15"/>
          <w:lang w:val="en-US"/>
        </w:rPr>
        <w:t xml:space="preserve"> </w:t>
      </w:r>
      <w:r w:rsidRPr="00DD1D8E">
        <w:rPr>
          <w:rFonts w:ascii="Symbol" w:hAnsi="Symbol"/>
          <w:w w:val="105"/>
        </w:rPr>
        <w:t></w:t>
      </w:r>
      <w:r w:rsidRPr="00D42DA6">
        <w:rPr>
          <w:spacing w:val="-15"/>
          <w:w w:val="105"/>
          <w:lang w:val="en-US"/>
        </w:rPr>
        <w:t xml:space="preserve"> </w:t>
      </w:r>
      <w:r w:rsidRPr="00DD1D8E">
        <w:rPr>
          <w:rFonts w:ascii="Symbol" w:hAnsi="Symbol"/>
          <w:w w:val="105"/>
          <w:sz w:val="24"/>
        </w:rPr>
        <w:t></w:t>
      </w:r>
      <w:r w:rsidRPr="00D42DA6">
        <w:rPr>
          <w:w w:val="105"/>
          <w:position w:val="-4"/>
          <w:sz w:val="15"/>
          <w:lang w:val="en-US"/>
        </w:rPr>
        <w:t>2</w:t>
      </w:r>
      <w:r w:rsidRPr="00D42DA6">
        <w:rPr>
          <w:w w:val="105"/>
          <w:lang w:val="en-US"/>
        </w:rPr>
        <w:t>ODIN</w:t>
      </w:r>
      <w:r w:rsidRPr="00D42DA6">
        <w:rPr>
          <w:w w:val="105"/>
          <w:position w:val="-4"/>
          <w:sz w:val="15"/>
          <w:lang w:val="en-US"/>
        </w:rPr>
        <w:t xml:space="preserve">it </w:t>
      </w:r>
      <w:r w:rsidRPr="00D42DA6">
        <w:rPr>
          <w:spacing w:val="10"/>
          <w:w w:val="105"/>
          <w:position w:val="-4"/>
          <w:sz w:val="15"/>
          <w:lang w:val="en-US"/>
        </w:rPr>
        <w:t xml:space="preserve"> </w:t>
      </w:r>
      <w:r w:rsidRPr="00DD1D8E">
        <w:rPr>
          <w:rFonts w:ascii="Symbol" w:hAnsi="Symbol"/>
          <w:w w:val="105"/>
        </w:rPr>
        <w:t></w:t>
      </w:r>
      <w:r w:rsidRPr="00D42DA6">
        <w:rPr>
          <w:spacing w:val="-27"/>
          <w:w w:val="105"/>
          <w:lang w:val="en-US"/>
        </w:rPr>
        <w:t xml:space="preserve"> </w:t>
      </w:r>
      <w:r w:rsidRPr="00DD1D8E">
        <w:rPr>
          <w:rFonts w:ascii="Symbol" w:hAnsi="Symbol"/>
          <w:w w:val="105"/>
          <w:sz w:val="24"/>
        </w:rPr>
        <w:t></w:t>
      </w:r>
      <w:r w:rsidRPr="00D42DA6">
        <w:rPr>
          <w:w w:val="105"/>
          <w:position w:val="-4"/>
          <w:sz w:val="15"/>
          <w:lang w:val="en-US"/>
        </w:rPr>
        <w:t>it</w:t>
      </w:r>
      <w:r w:rsidRPr="00D42DA6">
        <w:rPr>
          <w:lang w:val="en-US"/>
        </w:rPr>
        <w:tab/>
        <w:t>(1)</w:t>
      </w:r>
    </w:p>
    <w:p w14:paraId="62F74F4C" w14:textId="77777777" w:rsidR="00D42DA6" w:rsidRPr="00D42DA6" w:rsidRDefault="00D42DA6" w:rsidP="00D42DA6">
      <w:pPr>
        <w:jc w:val="both"/>
        <w:rPr>
          <w:rFonts w:ascii="Times New Roman" w:hAnsi="Times New Roman" w:cs="Times New Roman"/>
          <w:lang w:val="en-US"/>
        </w:rPr>
      </w:pPr>
      <w:r w:rsidRPr="00D42DA6">
        <w:rPr>
          <w:rFonts w:ascii="Times New Roman" w:hAnsi="Times New Roman" w:cs="Times New Roman"/>
          <w:lang w:val="en-US"/>
        </w:rPr>
        <w:t xml:space="preserve">where CPI is Corruption Perceptions Index, RQ - regulatory quality, ODIN - Open data inventory (category “Government Finance”). The data are obtained from Transparency International, World Bank, and Open Data Watch. The software used for the econometric analysis was "Stata 12". In the model, the RQ is taken as control variable, and ODIN as an explanatory variable. For the RQ indica-tor, values between (-2.5) and (+2.5) were used. </w:t>
      </w:r>
    </w:p>
    <w:p w14:paraId="2F52F320" w14:textId="44AA05CE" w:rsidR="00D42DA6" w:rsidRDefault="00D42DA6" w:rsidP="00D42DA6">
      <w:pPr>
        <w:jc w:val="both"/>
        <w:rPr>
          <w:rFonts w:ascii="Times New Roman" w:hAnsi="Times New Roman" w:cs="Times New Roman"/>
          <w:lang w:val="en-US"/>
        </w:rPr>
      </w:pPr>
      <w:r w:rsidRPr="00D42DA6">
        <w:rPr>
          <w:rFonts w:ascii="Times New Roman" w:hAnsi="Times New Roman" w:cs="Times New Roman"/>
          <w:lang w:val="en-US"/>
        </w:rPr>
        <w:t>The variables were tested with ADF PP and ADF DF unit root tests in order to check whether they are stationary or not. The auto-correlation presence is tested with ALM test. Breusch and Pagan Lagrange Multiplier test is used to check whether random effects model or pooled model is suitable (see Table 3).</w:t>
      </w:r>
    </w:p>
    <w:tbl>
      <w:tblPr>
        <w:tblStyle w:val="a8"/>
        <w:tblpPr w:leftFromText="180" w:rightFromText="180" w:vertAnchor="text" w:horzAnchor="margin" w:tblpXSpec="right" w:tblpY="9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030"/>
        <w:gridCol w:w="2202"/>
        <w:gridCol w:w="3027"/>
        <w:gridCol w:w="1096"/>
      </w:tblGrid>
      <w:tr w:rsidR="00D42DA6" w:rsidRPr="00D42DA6" w14:paraId="6BE2EA72" w14:textId="77777777" w:rsidTr="00D42DA6">
        <w:tc>
          <w:tcPr>
            <w:tcW w:w="1619" w:type="pct"/>
            <w:tcBorders>
              <w:top w:val="single" w:sz="4" w:space="0" w:color="auto"/>
            </w:tcBorders>
          </w:tcPr>
          <w:p w14:paraId="037FCB73" w14:textId="77777777" w:rsidR="00D42DA6" w:rsidRPr="00D42DA6" w:rsidRDefault="00D42DA6" w:rsidP="00F86C44">
            <w:pPr>
              <w:pStyle w:val="TableCell"/>
              <w:rPr>
                <w:rFonts w:ascii="Times New Roman" w:hAnsi="Times New Roman" w:cs="Times New Roman"/>
                <w:sz w:val="18"/>
                <w:szCs w:val="18"/>
              </w:rPr>
            </w:pPr>
          </w:p>
          <w:p w14:paraId="58ACAF13"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H0 : Var (u) = 0</w:t>
            </w:r>
          </w:p>
        </w:tc>
        <w:tc>
          <w:tcPr>
            <w:tcW w:w="1177" w:type="pct"/>
            <w:tcBorders>
              <w:top w:val="single" w:sz="4" w:space="0" w:color="auto"/>
            </w:tcBorders>
          </w:tcPr>
          <w:p w14:paraId="73C563DC"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Random Effects,</w:t>
            </w:r>
          </w:p>
          <w:p w14:paraId="7694E7B4"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 xml:space="preserve"> two sided:</w:t>
            </w:r>
          </w:p>
          <w:p w14:paraId="4989DD1A"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LM (Var(u)=0)</w:t>
            </w:r>
          </w:p>
        </w:tc>
        <w:tc>
          <w:tcPr>
            <w:tcW w:w="1618" w:type="pct"/>
            <w:tcBorders>
              <w:top w:val="single" w:sz="4" w:space="0" w:color="auto"/>
            </w:tcBorders>
          </w:tcPr>
          <w:p w14:paraId="48F3F9E6" w14:textId="77777777" w:rsidR="00D42DA6" w:rsidRPr="00D42DA6" w:rsidRDefault="00D42DA6" w:rsidP="00F86C44">
            <w:pPr>
              <w:pStyle w:val="TableCell"/>
              <w:rPr>
                <w:rFonts w:ascii="Times New Roman" w:hAnsi="Times New Roman" w:cs="Times New Roman"/>
                <w:sz w:val="18"/>
                <w:szCs w:val="18"/>
              </w:rPr>
            </w:pPr>
          </w:p>
          <w:p w14:paraId="52C6C305"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 101.16 prob.&gt;chi2(1)</w:t>
            </w:r>
          </w:p>
        </w:tc>
        <w:tc>
          <w:tcPr>
            <w:tcW w:w="586" w:type="pct"/>
            <w:tcBorders>
              <w:top w:val="single" w:sz="4" w:space="0" w:color="auto"/>
            </w:tcBorders>
          </w:tcPr>
          <w:p w14:paraId="2E34882F" w14:textId="77777777" w:rsidR="00D42DA6" w:rsidRPr="00D42DA6" w:rsidRDefault="00D42DA6" w:rsidP="00F86C44">
            <w:pPr>
              <w:pStyle w:val="TableCell"/>
              <w:rPr>
                <w:rFonts w:ascii="Times New Roman" w:hAnsi="Times New Roman" w:cs="Times New Roman"/>
                <w:sz w:val="18"/>
                <w:szCs w:val="18"/>
              </w:rPr>
            </w:pPr>
          </w:p>
          <w:p w14:paraId="30594619"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 0.000</w:t>
            </w:r>
          </w:p>
        </w:tc>
      </w:tr>
      <w:tr w:rsidR="00D42DA6" w:rsidRPr="00D42DA6" w14:paraId="151A6757" w14:textId="77777777" w:rsidTr="00D42DA6">
        <w:tc>
          <w:tcPr>
            <w:tcW w:w="1619" w:type="pct"/>
          </w:tcPr>
          <w:p w14:paraId="7B490E8C"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Chi2 (1) = 101.16</w:t>
            </w:r>
          </w:p>
        </w:tc>
        <w:tc>
          <w:tcPr>
            <w:tcW w:w="1177" w:type="pct"/>
          </w:tcPr>
          <w:p w14:paraId="3CC009DE"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ALM (Var (u)=0)</w:t>
            </w:r>
          </w:p>
        </w:tc>
        <w:tc>
          <w:tcPr>
            <w:tcW w:w="1618" w:type="pct"/>
          </w:tcPr>
          <w:p w14:paraId="2E4770FA"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 232.06prob.&gt;chi2(1)</w:t>
            </w:r>
          </w:p>
        </w:tc>
        <w:tc>
          <w:tcPr>
            <w:tcW w:w="586" w:type="pct"/>
          </w:tcPr>
          <w:p w14:paraId="05C5ECCF"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 0.000</w:t>
            </w:r>
          </w:p>
        </w:tc>
      </w:tr>
      <w:tr w:rsidR="00D42DA6" w:rsidRPr="00D42DA6" w14:paraId="1FA861A6" w14:textId="77777777" w:rsidTr="00D42DA6">
        <w:tc>
          <w:tcPr>
            <w:tcW w:w="1619" w:type="pct"/>
          </w:tcPr>
          <w:p w14:paraId="30FB398A"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(Prob. &gt; chi2 = 0.0000)</w:t>
            </w:r>
          </w:p>
        </w:tc>
        <w:tc>
          <w:tcPr>
            <w:tcW w:w="1177" w:type="pct"/>
          </w:tcPr>
          <w:p w14:paraId="30DB412B"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 xml:space="preserve">Random Effects, </w:t>
            </w:r>
          </w:p>
          <w:p w14:paraId="665FE6E2"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one sided:</w:t>
            </w:r>
          </w:p>
        </w:tc>
        <w:tc>
          <w:tcPr>
            <w:tcW w:w="1618" w:type="pct"/>
          </w:tcPr>
          <w:p w14:paraId="08296B42" w14:textId="77777777" w:rsidR="00D42DA6" w:rsidRPr="00D42DA6" w:rsidRDefault="00D42DA6" w:rsidP="00F86C44">
            <w:pPr>
              <w:pStyle w:val="TableCell"/>
              <w:rPr>
                <w:rFonts w:ascii="Times New Roman" w:hAnsi="Times New Roman" w:cs="Times New Roman"/>
                <w:sz w:val="18"/>
                <w:szCs w:val="18"/>
              </w:rPr>
            </w:pPr>
          </w:p>
        </w:tc>
        <w:tc>
          <w:tcPr>
            <w:tcW w:w="586" w:type="pct"/>
          </w:tcPr>
          <w:p w14:paraId="38047FD2" w14:textId="77777777" w:rsidR="00D42DA6" w:rsidRPr="00D42DA6" w:rsidRDefault="00D42DA6" w:rsidP="00F86C44">
            <w:pPr>
              <w:pStyle w:val="TableCell"/>
              <w:rPr>
                <w:rFonts w:ascii="Times New Roman" w:hAnsi="Times New Roman" w:cs="Times New Roman"/>
                <w:sz w:val="18"/>
                <w:szCs w:val="18"/>
              </w:rPr>
            </w:pPr>
          </w:p>
        </w:tc>
      </w:tr>
      <w:tr w:rsidR="00D42DA6" w:rsidRPr="00D42DA6" w14:paraId="57E6ACE1" w14:textId="77777777" w:rsidTr="00D42DA6">
        <w:tc>
          <w:tcPr>
            <w:tcW w:w="1619" w:type="pct"/>
          </w:tcPr>
          <w:p w14:paraId="19B6E64A" w14:textId="77777777" w:rsidR="00D42DA6" w:rsidRPr="00D42DA6" w:rsidRDefault="00D42DA6" w:rsidP="00F86C44">
            <w:pPr>
              <w:pStyle w:val="TableCell"/>
              <w:rPr>
                <w:rFonts w:ascii="Times New Roman" w:hAnsi="Times New Roman" w:cs="Times New Roman"/>
                <w:sz w:val="18"/>
                <w:szCs w:val="18"/>
              </w:rPr>
            </w:pPr>
          </w:p>
        </w:tc>
        <w:tc>
          <w:tcPr>
            <w:tcW w:w="1177" w:type="pct"/>
          </w:tcPr>
          <w:p w14:paraId="18AD5537"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LM (Var(u)=0)</w:t>
            </w:r>
          </w:p>
        </w:tc>
        <w:tc>
          <w:tcPr>
            <w:tcW w:w="1618" w:type="pct"/>
          </w:tcPr>
          <w:p w14:paraId="4CAAD886"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 9.84 prob.&gt;N(0,1)</w:t>
            </w:r>
          </w:p>
        </w:tc>
        <w:tc>
          <w:tcPr>
            <w:tcW w:w="586" w:type="pct"/>
          </w:tcPr>
          <w:p w14:paraId="514179B3"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 0.000</w:t>
            </w:r>
          </w:p>
        </w:tc>
      </w:tr>
      <w:tr w:rsidR="00D42DA6" w:rsidRPr="00D42DA6" w14:paraId="125B42EE" w14:textId="77777777" w:rsidTr="00D42DA6">
        <w:tc>
          <w:tcPr>
            <w:tcW w:w="1619" w:type="pct"/>
          </w:tcPr>
          <w:p w14:paraId="4783204F" w14:textId="77777777" w:rsidR="00D42DA6" w:rsidRPr="00D42DA6" w:rsidRDefault="00D42DA6" w:rsidP="00F86C44">
            <w:pPr>
              <w:pStyle w:val="TableCell"/>
              <w:rPr>
                <w:rFonts w:ascii="Times New Roman" w:hAnsi="Times New Roman" w:cs="Times New Roman"/>
                <w:sz w:val="18"/>
                <w:szCs w:val="18"/>
              </w:rPr>
            </w:pPr>
          </w:p>
        </w:tc>
        <w:tc>
          <w:tcPr>
            <w:tcW w:w="1177" w:type="pct"/>
          </w:tcPr>
          <w:p w14:paraId="0C7B581C"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ALM (Var (u)=0)</w:t>
            </w:r>
          </w:p>
        </w:tc>
        <w:tc>
          <w:tcPr>
            <w:tcW w:w="1618" w:type="pct"/>
          </w:tcPr>
          <w:p w14:paraId="72EFE2BD"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 14.91 prob.&gt;N(0,1)</w:t>
            </w:r>
          </w:p>
        </w:tc>
        <w:tc>
          <w:tcPr>
            <w:tcW w:w="586" w:type="pct"/>
          </w:tcPr>
          <w:p w14:paraId="77DA722E"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 0.000</w:t>
            </w:r>
          </w:p>
        </w:tc>
      </w:tr>
      <w:tr w:rsidR="00D42DA6" w:rsidRPr="00D42DA6" w14:paraId="3D9AE1FA" w14:textId="77777777" w:rsidTr="00D42DA6">
        <w:tc>
          <w:tcPr>
            <w:tcW w:w="1619" w:type="pct"/>
          </w:tcPr>
          <w:p w14:paraId="52234D72" w14:textId="77777777" w:rsidR="00D42DA6" w:rsidRPr="00D42DA6" w:rsidRDefault="00D42DA6" w:rsidP="00F86C44">
            <w:pPr>
              <w:pStyle w:val="TableCell"/>
              <w:rPr>
                <w:rFonts w:ascii="Times New Roman" w:hAnsi="Times New Roman" w:cs="Times New Roman"/>
                <w:sz w:val="18"/>
                <w:szCs w:val="18"/>
              </w:rPr>
            </w:pPr>
          </w:p>
        </w:tc>
        <w:tc>
          <w:tcPr>
            <w:tcW w:w="1177" w:type="pct"/>
          </w:tcPr>
          <w:p w14:paraId="2F5EF5F7"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Random Effects, two sided:</w:t>
            </w:r>
          </w:p>
        </w:tc>
        <w:tc>
          <w:tcPr>
            <w:tcW w:w="1618" w:type="pct"/>
          </w:tcPr>
          <w:p w14:paraId="690EDF9E" w14:textId="77777777" w:rsidR="00D42DA6" w:rsidRPr="00D42DA6" w:rsidRDefault="00D42DA6" w:rsidP="00F86C44">
            <w:pPr>
              <w:pStyle w:val="TableCell"/>
              <w:rPr>
                <w:rFonts w:ascii="Times New Roman" w:hAnsi="Times New Roman" w:cs="Times New Roman"/>
                <w:sz w:val="18"/>
                <w:szCs w:val="18"/>
              </w:rPr>
            </w:pPr>
          </w:p>
        </w:tc>
        <w:tc>
          <w:tcPr>
            <w:tcW w:w="586" w:type="pct"/>
          </w:tcPr>
          <w:p w14:paraId="7AA596E6" w14:textId="77777777" w:rsidR="00D42DA6" w:rsidRPr="00D42DA6" w:rsidRDefault="00D42DA6" w:rsidP="00F86C44">
            <w:pPr>
              <w:pStyle w:val="TableCell"/>
              <w:rPr>
                <w:rFonts w:ascii="Times New Roman" w:hAnsi="Times New Roman" w:cs="Times New Roman"/>
                <w:sz w:val="18"/>
                <w:szCs w:val="18"/>
              </w:rPr>
            </w:pPr>
          </w:p>
        </w:tc>
      </w:tr>
      <w:tr w:rsidR="00D42DA6" w:rsidRPr="00D42DA6" w14:paraId="46228272" w14:textId="77777777" w:rsidTr="00D42DA6">
        <w:tc>
          <w:tcPr>
            <w:tcW w:w="1619" w:type="pct"/>
          </w:tcPr>
          <w:p w14:paraId="25655FEF" w14:textId="77777777" w:rsidR="00D42DA6" w:rsidRPr="00D42DA6" w:rsidRDefault="00D42DA6" w:rsidP="00F86C44">
            <w:pPr>
              <w:pStyle w:val="TableCell"/>
              <w:rPr>
                <w:rFonts w:ascii="Times New Roman" w:hAnsi="Times New Roman" w:cs="Times New Roman"/>
                <w:sz w:val="18"/>
                <w:szCs w:val="18"/>
              </w:rPr>
            </w:pPr>
          </w:p>
        </w:tc>
        <w:tc>
          <w:tcPr>
            <w:tcW w:w="1177" w:type="pct"/>
          </w:tcPr>
          <w:p w14:paraId="3D1E0B1F" w14:textId="77777777" w:rsidR="00D42DA6" w:rsidRPr="00D42DA6" w:rsidRDefault="00D42DA6" w:rsidP="00F86C44">
            <w:pPr>
              <w:pStyle w:val="TableCell"/>
              <w:ind w:firstLine="0"/>
              <w:rPr>
                <w:rFonts w:ascii="Times New Roman" w:hAnsi="Times New Roman" w:cs="Times New Roman"/>
                <w:sz w:val="18"/>
                <w:szCs w:val="18"/>
              </w:rPr>
            </w:pPr>
          </w:p>
        </w:tc>
        <w:tc>
          <w:tcPr>
            <w:tcW w:w="1618" w:type="pct"/>
          </w:tcPr>
          <w:p w14:paraId="449D800D" w14:textId="77777777" w:rsidR="00D42DA6" w:rsidRPr="00D42DA6" w:rsidRDefault="00D42DA6" w:rsidP="00F86C44">
            <w:pPr>
              <w:pStyle w:val="TableCell"/>
              <w:rPr>
                <w:rFonts w:ascii="Times New Roman" w:hAnsi="Times New Roman" w:cs="Times New Roman"/>
                <w:sz w:val="18"/>
                <w:szCs w:val="18"/>
              </w:rPr>
            </w:pPr>
          </w:p>
        </w:tc>
        <w:tc>
          <w:tcPr>
            <w:tcW w:w="586" w:type="pct"/>
          </w:tcPr>
          <w:p w14:paraId="694639C1" w14:textId="77777777" w:rsidR="00D42DA6" w:rsidRPr="00D42DA6" w:rsidRDefault="00D42DA6" w:rsidP="00F86C44">
            <w:pPr>
              <w:pStyle w:val="TableCell"/>
              <w:rPr>
                <w:rFonts w:ascii="Times New Roman" w:hAnsi="Times New Roman" w:cs="Times New Roman"/>
                <w:sz w:val="18"/>
                <w:szCs w:val="18"/>
              </w:rPr>
            </w:pPr>
          </w:p>
        </w:tc>
      </w:tr>
    </w:tbl>
    <w:p w14:paraId="5F3249BE" w14:textId="55E8826D" w:rsidR="00D42DA6" w:rsidRDefault="00D42DA6" w:rsidP="00D42DA6">
      <w:pPr>
        <w:jc w:val="center"/>
        <w:rPr>
          <w:rFonts w:ascii="Times New Roman" w:hAnsi="Times New Roman" w:cs="Times New Roman"/>
          <w:lang w:val="en-US"/>
        </w:rPr>
      </w:pPr>
      <w:r w:rsidRPr="00D42DA6">
        <w:rPr>
          <w:rFonts w:ascii="Times New Roman" w:hAnsi="Times New Roman" w:cs="Times New Roman"/>
          <w:b/>
          <w:bCs/>
          <w:lang w:val="en-US"/>
        </w:rPr>
        <w:t>Table 3:</w:t>
      </w:r>
      <w:r w:rsidRPr="00D42DA6">
        <w:rPr>
          <w:rFonts w:ascii="Times New Roman" w:hAnsi="Times New Roman" w:cs="Times New Roman"/>
          <w:lang w:val="en-US"/>
        </w:rPr>
        <w:t xml:space="preserve"> Breusch-Pagan Lagrange Multiplier Test</w:t>
      </w:r>
    </w:p>
    <w:p w14:paraId="6F3A9784" w14:textId="52B17617" w:rsidR="00D42DA6" w:rsidRDefault="00D42DA6" w:rsidP="00D42DA6">
      <w:pPr>
        <w:rPr>
          <w:rFonts w:ascii="Times New Roman" w:hAnsi="Times New Roman" w:cs="Times New Roman"/>
          <w:lang w:val="en-US"/>
        </w:rPr>
      </w:pPr>
      <w:r w:rsidRPr="00D42DA6">
        <w:rPr>
          <w:rFonts w:ascii="Times New Roman" w:hAnsi="Times New Roman" w:cs="Times New Roman"/>
          <w:lang w:val="en-US"/>
        </w:rPr>
        <w:t>Then Hausman Specification Test was applied to test null hypothesis suggesting that random effect is suitable (see Table 4).</w:t>
      </w:r>
    </w:p>
    <w:p w14:paraId="2D184756" w14:textId="644F97E6" w:rsidR="00D42DA6" w:rsidRDefault="00D42DA6" w:rsidP="00D42DA6">
      <w:pPr>
        <w:rPr>
          <w:rFonts w:ascii="Times New Roman" w:hAnsi="Times New Roman" w:cs="Times New Roman"/>
          <w:lang w:val="en-US"/>
        </w:rPr>
      </w:pPr>
      <w:r w:rsidRPr="00D42DA6">
        <w:rPr>
          <w:rFonts w:ascii="Times New Roman" w:hAnsi="Times New Roman" w:cs="Times New Roman"/>
          <w:lang w:val="en-US"/>
        </w:rPr>
        <w:t>We can see that random effects estimator is not efficient in the model. The heteroscedasticity in the model is tested with Levene and Brown-Forsythe Tests. The auto-correlation presence is tested with Durbin-Watson Test, Lagrange Multiplier Test (LM) and Adjusted Lagrange Multiplier Test (ALM).</w:t>
      </w:r>
    </w:p>
    <w:tbl>
      <w:tblPr>
        <w:tblStyle w:val="a8"/>
        <w:tblpPr w:leftFromText="180" w:rightFromText="180" w:vertAnchor="text" w:horzAnchor="page" w:tblpXSpec="center" w:tblpY="141"/>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51"/>
        <w:gridCol w:w="1276"/>
        <w:gridCol w:w="1233"/>
        <w:gridCol w:w="1460"/>
      </w:tblGrid>
      <w:tr w:rsidR="00D42DA6" w:rsidRPr="00D42DA6" w14:paraId="3A683344" w14:textId="77777777" w:rsidTr="00D42DA6">
        <w:trPr>
          <w:tblHeader/>
        </w:trPr>
        <w:tc>
          <w:tcPr>
            <w:tcW w:w="851" w:type="dxa"/>
            <w:tcBorders>
              <w:top w:val="single" w:sz="4" w:space="0" w:color="auto"/>
              <w:bottom w:val="single" w:sz="4" w:space="0" w:color="auto"/>
            </w:tcBorders>
          </w:tcPr>
          <w:p w14:paraId="50CF7A10"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lastRenderedPageBreak/>
              <w:t>Variables</w:t>
            </w:r>
          </w:p>
        </w:tc>
        <w:tc>
          <w:tcPr>
            <w:tcW w:w="1276" w:type="dxa"/>
            <w:tcBorders>
              <w:top w:val="single" w:sz="4" w:space="0" w:color="auto"/>
              <w:bottom w:val="single" w:sz="4" w:space="0" w:color="auto"/>
            </w:tcBorders>
          </w:tcPr>
          <w:p w14:paraId="428A9B9F" w14:textId="77777777" w:rsidR="00D42DA6" w:rsidRPr="00D42DA6" w:rsidRDefault="00D42DA6" w:rsidP="00F86C44">
            <w:pPr>
              <w:pStyle w:val="TableCell"/>
              <w:ind w:firstLine="0"/>
              <w:jc w:val="center"/>
              <w:rPr>
                <w:rFonts w:ascii="Times New Roman" w:hAnsi="Times New Roman" w:cs="Times New Roman"/>
                <w:sz w:val="18"/>
                <w:szCs w:val="18"/>
              </w:rPr>
            </w:pPr>
            <w:r w:rsidRPr="00D42DA6">
              <w:rPr>
                <w:rFonts w:ascii="Times New Roman" w:hAnsi="Times New Roman" w:cs="Times New Roman"/>
                <w:sz w:val="18"/>
                <w:szCs w:val="18"/>
              </w:rPr>
              <w:t>Fixed Effects</w:t>
            </w:r>
          </w:p>
        </w:tc>
        <w:tc>
          <w:tcPr>
            <w:tcW w:w="1233" w:type="dxa"/>
            <w:tcBorders>
              <w:top w:val="single" w:sz="4" w:space="0" w:color="auto"/>
              <w:bottom w:val="single" w:sz="4" w:space="0" w:color="auto"/>
            </w:tcBorders>
          </w:tcPr>
          <w:p w14:paraId="5A80EB24" w14:textId="77777777" w:rsidR="00D42DA6" w:rsidRPr="00D42DA6" w:rsidRDefault="00D42DA6" w:rsidP="00F86C44">
            <w:pPr>
              <w:pStyle w:val="TableCell"/>
              <w:ind w:firstLine="0"/>
              <w:jc w:val="center"/>
              <w:rPr>
                <w:rFonts w:ascii="Times New Roman" w:hAnsi="Times New Roman" w:cs="Times New Roman"/>
                <w:sz w:val="18"/>
                <w:szCs w:val="18"/>
              </w:rPr>
            </w:pPr>
            <w:r w:rsidRPr="00D42DA6">
              <w:rPr>
                <w:rFonts w:ascii="Times New Roman" w:hAnsi="Times New Roman" w:cs="Times New Roman"/>
                <w:sz w:val="18"/>
                <w:szCs w:val="18"/>
              </w:rPr>
              <w:t>Random Effects</w:t>
            </w:r>
          </w:p>
        </w:tc>
        <w:tc>
          <w:tcPr>
            <w:tcW w:w="1460" w:type="dxa"/>
            <w:tcBorders>
              <w:top w:val="single" w:sz="4" w:space="0" w:color="auto"/>
              <w:bottom w:val="single" w:sz="4" w:space="0" w:color="auto"/>
            </w:tcBorders>
          </w:tcPr>
          <w:p w14:paraId="1EC9AFC1" w14:textId="77777777" w:rsidR="00D42DA6" w:rsidRPr="00D42DA6" w:rsidRDefault="00D42DA6" w:rsidP="00F86C44">
            <w:pPr>
              <w:pStyle w:val="TableCell"/>
              <w:ind w:firstLine="0"/>
              <w:jc w:val="center"/>
              <w:rPr>
                <w:rFonts w:ascii="Times New Roman" w:hAnsi="Times New Roman" w:cs="Times New Roman"/>
                <w:sz w:val="18"/>
                <w:szCs w:val="18"/>
              </w:rPr>
            </w:pPr>
            <w:r w:rsidRPr="00D42DA6">
              <w:rPr>
                <w:rFonts w:ascii="Times New Roman" w:hAnsi="Times New Roman" w:cs="Times New Roman"/>
                <w:sz w:val="18"/>
                <w:szCs w:val="18"/>
              </w:rPr>
              <w:t>Difference</w:t>
            </w:r>
          </w:p>
        </w:tc>
      </w:tr>
      <w:tr w:rsidR="00D42DA6" w:rsidRPr="00D42DA6" w14:paraId="3A3408F5" w14:textId="77777777" w:rsidTr="00D42DA6">
        <w:tc>
          <w:tcPr>
            <w:tcW w:w="851" w:type="dxa"/>
          </w:tcPr>
          <w:p w14:paraId="4A837B5D"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RQ</w:t>
            </w:r>
          </w:p>
        </w:tc>
        <w:tc>
          <w:tcPr>
            <w:tcW w:w="1276" w:type="dxa"/>
          </w:tcPr>
          <w:p w14:paraId="31207973" w14:textId="77777777" w:rsidR="00D42DA6" w:rsidRPr="00D42DA6" w:rsidRDefault="00D42DA6" w:rsidP="00F86C44">
            <w:pPr>
              <w:pStyle w:val="TableCell"/>
              <w:ind w:firstLine="0"/>
              <w:jc w:val="center"/>
              <w:rPr>
                <w:rFonts w:ascii="Times New Roman" w:hAnsi="Times New Roman" w:cs="Times New Roman"/>
                <w:sz w:val="18"/>
                <w:szCs w:val="18"/>
              </w:rPr>
            </w:pPr>
            <w:r w:rsidRPr="00D42DA6">
              <w:rPr>
                <w:rFonts w:ascii="Times New Roman" w:hAnsi="Times New Roman" w:cs="Times New Roman"/>
                <w:sz w:val="18"/>
                <w:szCs w:val="18"/>
              </w:rPr>
              <w:t>-0.5072416</w:t>
            </w:r>
          </w:p>
        </w:tc>
        <w:tc>
          <w:tcPr>
            <w:tcW w:w="1233" w:type="dxa"/>
          </w:tcPr>
          <w:p w14:paraId="45E00260" w14:textId="77777777" w:rsidR="00D42DA6" w:rsidRPr="00D42DA6" w:rsidRDefault="00D42DA6" w:rsidP="00F86C44">
            <w:pPr>
              <w:pStyle w:val="TableCell"/>
              <w:ind w:firstLine="0"/>
              <w:jc w:val="center"/>
              <w:rPr>
                <w:rFonts w:ascii="Times New Roman" w:hAnsi="Times New Roman" w:cs="Times New Roman"/>
                <w:sz w:val="18"/>
                <w:szCs w:val="18"/>
              </w:rPr>
            </w:pPr>
            <w:r w:rsidRPr="00D42DA6">
              <w:rPr>
                <w:rFonts w:ascii="Times New Roman" w:hAnsi="Times New Roman" w:cs="Times New Roman"/>
                <w:sz w:val="18"/>
                <w:szCs w:val="18"/>
              </w:rPr>
              <w:t>-1.699474996</w:t>
            </w:r>
          </w:p>
        </w:tc>
        <w:tc>
          <w:tcPr>
            <w:tcW w:w="1460" w:type="dxa"/>
          </w:tcPr>
          <w:p w14:paraId="3DC7EF4C" w14:textId="77777777" w:rsidR="00D42DA6" w:rsidRPr="00D42DA6" w:rsidRDefault="00D42DA6" w:rsidP="00F86C44">
            <w:pPr>
              <w:pStyle w:val="TableCell"/>
              <w:ind w:firstLine="0"/>
              <w:jc w:val="center"/>
              <w:rPr>
                <w:rFonts w:ascii="Times New Roman" w:hAnsi="Times New Roman" w:cs="Times New Roman"/>
                <w:sz w:val="18"/>
                <w:szCs w:val="18"/>
              </w:rPr>
            </w:pPr>
            <w:r w:rsidRPr="00D42DA6">
              <w:rPr>
                <w:rFonts w:ascii="Times New Roman" w:hAnsi="Times New Roman" w:cs="Times New Roman"/>
                <w:sz w:val="18"/>
                <w:szCs w:val="18"/>
              </w:rPr>
              <w:t>1.192233944</w:t>
            </w:r>
          </w:p>
        </w:tc>
      </w:tr>
      <w:tr w:rsidR="00D42DA6" w:rsidRPr="00D42DA6" w14:paraId="0321EAB8" w14:textId="77777777" w:rsidTr="00D42DA6">
        <w:tc>
          <w:tcPr>
            <w:tcW w:w="851" w:type="dxa"/>
          </w:tcPr>
          <w:p w14:paraId="79486A61" w14:textId="77777777" w:rsidR="00D42DA6" w:rsidRPr="00D42DA6" w:rsidRDefault="00D42DA6" w:rsidP="00F86C44">
            <w:pPr>
              <w:pStyle w:val="TableCell"/>
              <w:ind w:firstLine="0"/>
              <w:rPr>
                <w:rFonts w:ascii="Times New Roman" w:hAnsi="Times New Roman" w:cs="Times New Roman"/>
                <w:sz w:val="18"/>
                <w:szCs w:val="18"/>
              </w:rPr>
            </w:pPr>
            <w:r w:rsidRPr="00D42DA6">
              <w:rPr>
                <w:rFonts w:ascii="Times New Roman" w:hAnsi="Times New Roman" w:cs="Times New Roman"/>
                <w:sz w:val="18"/>
                <w:szCs w:val="18"/>
              </w:rPr>
              <w:t>ODIN</w:t>
            </w:r>
          </w:p>
        </w:tc>
        <w:tc>
          <w:tcPr>
            <w:tcW w:w="1276" w:type="dxa"/>
          </w:tcPr>
          <w:p w14:paraId="6A260119" w14:textId="77777777" w:rsidR="00D42DA6" w:rsidRPr="00D42DA6" w:rsidRDefault="00D42DA6" w:rsidP="00F86C44">
            <w:pPr>
              <w:pStyle w:val="TableCell"/>
              <w:ind w:firstLine="0"/>
              <w:jc w:val="center"/>
              <w:rPr>
                <w:rFonts w:ascii="Times New Roman" w:hAnsi="Times New Roman" w:cs="Times New Roman"/>
                <w:sz w:val="18"/>
                <w:szCs w:val="18"/>
              </w:rPr>
            </w:pPr>
            <w:r w:rsidRPr="00D42DA6">
              <w:rPr>
                <w:rFonts w:ascii="Times New Roman" w:hAnsi="Times New Roman" w:cs="Times New Roman"/>
                <w:sz w:val="18"/>
                <w:szCs w:val="18"/>
              </w:rPr>
              <w:t>-0.52389876</w:t>
            </w:r>
          </w:p>
        </w:tc>
        <w:tc>
          <w:tcPr>
            <w:tcW w:w="1233" w:type="dxa"/>
          </w:tcPr>
          <w:p w14:paraId="4F0511A5" w14:textId="77777777" w:rsidR="00D42DA6" w:rsidRPr="00D42DA6" w:rsidRDefault="00D42DA6" w:rsidP="00F86C44">
            <w:pPr>
              <w:pStyle w:val="TableCell"/>
              <w:ind w:firstLine="0"/>
              <w:jc w:val="center"/>
              <w:rPr>
                <w:rFonts w:ascii="Times New Roman" w:hAnsi="Times New Roman" w:cs="Times New Roman"/>
                <w:sz w:val="18"/>
                <w:szCs w:val="18"/>
              </w:rPr>
            </w:pPr>
            <w:r w:rsidRPr="00D42DA6">
              <w:rPr>
                <w:rFonts w:ascii="Times New Roman" w:hAnsi="Times New Roman" w:cs="Times New Roman"/>
                <w:sz w:val="18"/>
                <w:szCs w:val="18"/>
              </w:rPr>
              <w:t>-0.926282394</w:t>
            </w:r>
          </w:p>
        </w:tc>
        <w:tc>
          <w:tcPr>
            <w:tcW w:w="1460" w:type="dxa"/>
          </w:tcPr>
          <w:p w14:paraId="1082C08F" w14:textId="77777777" w:rsidR="00D42DA6" w:rsidRPr="00D42DA6" w:rsidRDefault="00D42DA6" w:rsidP="00F86C44">
            <w:pPr>
              <w:pStyle w:val="TableCell"/>
              <w:ind w:firstLine="0"/>
              <w:jc w:val="center"/>
              <w:rPr>
                <w:rFonts w:ascii="Times New Roman" w:hAnsi="Times New Roman" w:cs="Times New Roman"/>
                <w:sz w:val="18"/>
                <w:szCs w:val="18"/>
              </w:rPr>
            </w:pPr>
            <w:r w:rsidRPr="00D42DA6">
              <w:rPr>
                <w:rFonts w:ascii="Times New Roman" w:hAnsi="Times New Roman" w:cs="Times New Roman"/>
                <w:sz w:val="18"/>
                <w:szCs w:val="18"/>
              </w:rPr>
              <w:t>0.402383635</w:t>
            </w:r>
          </w:p>
        </w:tc>
      </w:tr>
      <w:tr w:rsidR="00D42DA6" w:rsidRPr="00D42DA6" w14:paraId="5A5517BF" w14:textId="77777777" w:rsidTr="00D42DA6">
        <w:tc>
          <w:tcPr>
            <w:tcW w:w="4820" w:type="dxa"/>
            <w:gridSpan w:val="4"/>
          </w:tcPr>
          <w:p w14:paraId="4736543C" w14:textId="77777777" w:rsidR="00D42DA6" w:rsidRPr="00D42DA6" w:rsidRDefault="00D42DA6" w:rsidP="00F86C44">
            <w:pPr>
              <w:pStyle w:val="TableCell"/>
              <w:ind w:firstLine="0"/>
              <w:jc w:val="center"/>
              <w:rPr>
                <w:rFonts w:ascii="Times New Roman" w:hAnsi="Times New Roman" w:cs="Times New Roman"/>
                <w:sz w:val="18"/>
                <w:szCs w:val="18"/>
              </w:rPr>
            </w:pPr>
            <w:r w:rsidRPr="00D42DA6">
              <w:rPr>
                <w:rFonts w:ascii="Times New Roman" w:hAnsi="Times New Roman" w:cs="Times New Roman"/>
                <w:sz w:val="18"/>
                <w:szCs w:val="18"/>
              </w:rPr>
              <w:t>H0: Differences in coefficients not systematic.</w:t>
            </w:r>
          </w:p>
          <w:p w14:paraId="0A4A4EE7" w14:textId="77777777" w:rsidR="00D42DA6" w:rsidRPr="00D42DA6" w:rsidRDefault="00D42DA6" w:rsidP="00F86C44">
            <w:pPr>
              <w:pStyle w:val="TableCell"/>
              <w:ind w:firstLine="0"/>
              <w:jc w:val="center"/>
              <w:rPr>
                <w:rFonts w:ascii="Times New Roman" w:hAnsi="Times New Roman" w:cs="Times New Roman"/>
                <w:sz w:val="18"/>
                <w:szCs w:val="18"/>
              </w:rPr>
            </w:pPr>
            <w:r w:rsidRPr="00D42DA6">
              <w:rPr>
                <w:rFonts w:ascii="Times New Roman" w:hAnsi="Times New Roman" w:cs="Times New Roman"/>
                <w:sz w:val="18"/>
                <w:szCs w:val="18"/>
              </w:rPr>
              <w:t>(RE estimator is consistent)</w:t>
            </w:r>
          </w:p>
          <w:p w14:paraId="5FC1BAE0" w14:textId="77777777" w:rsidR="00D42DA6" w:rsidRPr="00D42DA6" w:rsidRDefault="00D42DA6" w:rsidP="00F86C44">
            <w:pPr>
              <w:pStyle w:val="TableCell"/>
              <w:ind w:firstLine="0"/>
              <w:jc w:val="center"/>
              <w:rPr>
                <w:rFonts w:ascii="Times New Roman" w:hAnsi="Times New Roman" w:cs="Times New Roman"/>
                <w:sz w:val="18"/>
                <w:szCs w:val="18"/>
              </w:rPr>
            </w:pPr>
            <w:r w:rsidRPr="00D42DA6">
              <w:rPr>
                <w:rFonts w:ascii="Times New Roman" w:hAnsi="Times New Roman" w:cs="Times New Roman"/>
                <w:sz w:val="18"/>
                <w:szCs w:val="18"/>
              </w:rPr>
              <w:t>Chi2(4) = (b-B)'[(V_b-V_B)^(-1)](b-B) = 10.35</w:t>
            </w:r>
          </w:p>
          <w:p w14:paraId="262AFDBE" w14:textId="77777777" w:rsidR="00D42DA6" w:rsidRPr="00D42DA6" w:rsidRDefault="00D42DA6" w:rsidP="00F86C44">
            <w:pPr>
              <w:pStyle w:val="TableCell"/>
              <w:ind w:firstLine="0"/>
              <w:jc w:val="center"/>
              <w:rPr>
                <w:rFonts w:ascii="Times New Roman" w:hAnsi="Times New Roman" w:cs="Times New Roman"/>
                <w:sz w:val="18"/>
                <w:szCs w:val="18"/>
              </w:rPr>
            </w:pPr>
            <w:r w:rsidRPr="00D42DA6">
              <w:rPr>
                <w:rFonts w:ascii="Times New Roman" w:hAnsi="Times New Roman" w:cs="Times New Roman"/>
                <w:sz w:val="18"/>
                <w:szCs w:val="18"/>
              </w:rPr>
              <w:t>Prob. &gt;chi2 =0.0043</w:t>
            </w:r>
          </w:p>
        </w:tc>
      </w:tr>
    </w:tbl>
    <w:p w14:paraId="5565813A" w14:textId="77777777" w:rsidR="00D42DA6" w:rsidRPr="00D42DA6" w:rsidRDefault="00D42DA6" w:rsidP="00D42DA6">
      <w:pPr>
        <w:rPr>
          <w:rFonts w:ascii="Times New Roman" w:hAnsi="Times New Roman" w:cs="Times New Roman"/>
          <w:lang w:val="en-US"/>
        </w:rPr>
      </w:pPr>
    </w:p>
    <w:p w14:paraId="46C9C773" w14:textId="77777777" w:rsidR="00D42DA6" w:rsidRDefault="00D42DA6" w:rsidP="00104204">
      <w:pPr>
        <w:pStyle w:val="heading1"/>
        <w:numPr>
          <w:ilvl w:val="0"/>
          <w:numId w:val="0"/>
        </w:numPr>
        <w:ind w:left="567" w:hanging="567"/>
        <w:jc w:val="both"/>
      </w:pPr>
    </w:p>
    <w:p w14:paraId="6F26FA7C" w14:textId="77777777" w:rsidR="00D42DA6" w:rsidRDefault="00D42DA6" w:rsidP="00104204">
      <w:pPr>
        <w:pStyle w:val="heading1"/>
        <w:numPr>
          <w:ilvl w:val="0"/>
          <w:numId w:val="0"/>
        </w:numPr>
        <w:ind w:left="567" w:hanging="567"/>
        <w:jc w:val="both"/>
      </w:pPr>
    </w:p>
    <w:p w14:paraId="4A80C798" w14:textId="77777777" w:rsidR="00D42DA6" w:rsidRDefault="00D42DA6" w:rsidP="00D42DA6">
      <w:pPr>
        <w:jc w:val="center"/>
        <w:rPr>
          <w:rFonts w:ascii="Times New Roman" w:hAnsi="Times New Roman" w:cs="Times New Roman"/>
          <w:b/>
          <w:bCs/>
          <w:lang w:val="en-US"/>
        </w:rPr>
      </w:pPr>
    </w:p>
    <w:p w14:paraId="31B4F48F" w14:textId="678DEB17" w:rsidR="00D42DA6" w:rsidRPr="00D42DA6" w:rsidRDefault="00D42DA6" w:rsidP="00D42DA6">
      <w:pPr>
        <w:jc w:val="center"/>
        <w:rPr>
          <w:rFonts w:ascii="Times New Roman" w:hAnsi="Times New Roman" w:cs="Times New Roman"/>
          <w:lang w:val="en-US"/>
        </w:rPr>
      </w:pPr>
      <w:r w:rsidRPr="00D42DA6">
        <w:rPr>
          <w:rFonts w:ascii="Times New Roman" w:hAnsi="Times New Roman" w:cs="Times New Roman"/>
          <w:b/>
          <w:bCs/>
          <w:lang w:val="en-US"/>
        </w:rPr>
        <w:t>Table 4:</w:t>
      </w:r>
      <w:r w:rsidRPr="00D42DA6">
        <w:rPr>
          <w:rFonts w:ascii="Times New Roman" w:hAnsi="Times New Roman" w:cs="Times New Roman"/>
          <w:lang w:val="en-US"/>
        </w:rPr>
        <w:t xml:space="preserve"> Hausman Specification Test</w:t>
      </w:r>
    </w:p>
    <w:p w14:paraId="3E734477" w14:textId="77777777" w:rsidR="00D42DA6" w:rsidRPr="00D42DA6" w:rsidRDefault="00D42DA6" w:rsidP="00D42DA6">
      <w:pPr>
        <w:rPr>
          <w:rFonts w:ascii="Times New Roman" w:hAnsi="Times New Roman" w:cs="Times New Roman"/>
          <w:lang w:val="en-US"/>
        </w:rPr>
      </w:pPr>
      <w:r w:rsidRPr="00D42DA6">
        <w:rPr>
          <w:rFonts w:ascii="Times New Roman" w:hAnsi="Times New Roman" w:cs="Times New Roman"/>
          <w:lang w:val="en-US"/>
        </w:rPr>
        <w:t xml:space="preserve">Table 5 demonstrates that the null hypothesis of homoscedasticity is rejected and it is determined that there is a heteroscedasticity problem in the model. As there is not enough observation, Durbin Watson test results cannot be checked. </w:t>
      </w:r>
    </w:p>
    <w:p w14:paraId="37C25D2B" w14:textId="67166265" w:rsidR="00D42DA6" w:rsidRDefault="00D42DA6" w:rsidP="00D42DA6">
      <w:pPr>
        <w:rPr>
          <w:rFonts w:ascii="Times New Roman" w:hAnsi="Times New Roman" w:cs="Times New Roman"/>
          <w:lang w:val="en-US"/>
        </w:rPr>
      </w:pPr>
      <w:r w:rsidRPr="00D42DA6">
        <w:rPr>
          <w:rFonts w:ascii="Times New Roman" w:hAnsi="Times New Roman" w:cs="Times New Roman"/>
          <w:lang w:val="en-US"/>
        </w:rPr>
        <w:t xml:space="preserve"> However, ALM and LM test results demonstrate the presence of first-degree autocorrelation in the random effect model.</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D42DA6" w:rsidRPr="00847515" w14:paraId="639569B2" w14:textId="77777777" w:rsidTr="00F86C44">
        <w:trPr>
          <w:tblHeader/>
        </w:trPr>
        <w:tc>
          <w:tcPr>
            <w:tcW w:w="5000" w:type="pct"/>
            <w:tcBorders>
              <w:top w:val="single" w:sz="4" w:space="0" w:color="auto"/>
              <w:bottom w:val="single" w:sz="4" w:space="0" w:color="auto"/>
            </w:tcBorders>
          </w:tcPr>
          <w:p w14:paraId="4A06025C"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Levene, Brown and Forsythe Heteroscedasticity Test</w:t>
            </w:r>
          </w:p>
        </w:tc>
      </w:tr>
      <w:tr w:rsidR="00D42DA6" w:rsidRPr="00D42DA6" w14:paraId="319AE755" w14:textId="77777777" w:rsidTr="00F86C44">
        <w:tc>
          <w:tcPr>
            <w:tcW w:w="5000" w:type="pct"/>
          </w:tcPr>
          <w:p w14:paraId="7604CF8A"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W0 = 2.2803179</w:t>
            </w:r>
            <w:r w:rsidRPr="00D42DA6">
              <w:rPr>
                <w:rFonts w:ascii="Times New Roman" w:hAnsi="Times New Roman" w:cs="Times New Roman"/>
                <w:sz w:val="18"/>
                <w:szCs w:val="18"/>
              </w:rPr>
              <w:tab/>
              <w:t>df (45.103)</w:t>
            </w:r>
            <w:r w:rsidRPr="00D42DA6">
              <w:rPr>
                <w:rFonts w:ascii="Times New Roman" w:hAnsi="Times New Roman" w:cs="Times New Roman"/>
                <w:sz w:val="18"/>
                <w:szCs w:val="18"/>
              </w:rPr>
              <w:tab/>
              <w:t>Pr &gt; F = 0.00010208</w:t>
            </w:r>
          </w:p>
        </w:tc>
      </w:tr>
      <w:tr w:rsidR="00D42DA6" w:rsidRPr="00D42DA6" w14:paraId="63F9EE85" w14:textId="77777777" w:rsidTr="00F86C44">
        <w:tc>
          <w:tcPr>
            <w:tcW w:w="5000" w:type="pct"/>
          </w:tcPr>
          <w:p w14:paraId="1EA967A5"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W50 = 0.9664029 df (45.103)</w:t>
            </w:r>
            <w:r w:rsidRPr="00D42DA6">
              <w:rPr>
                <w:rFonts w:ascii="Times New Roman" w:hAnsi="Times New Roman" w:cs="Times New Roman"/>
                <w:sz w:val="18"/>
                <w:szCs w:val="18"/>
              </w:rPr>
              <w:tab/>
              <w:t>Pr &gt; F = 0.45164099</w:t>
            </w:r>
          </w:p>
        </w:tc>
      </w:tr>
      <w:tr w:rsidR="00D42DA6" w:rsidRPr="00D42DA6" w14:paraId="6BBF7DA1" w14:textId="77777777" w:rsidTr="00F86C44">
        <w:tc>
          <w:tcPr>
            <w:tcW w:w="5000" w:type="pct"/>
          </w:tcPr>
          <w:p w14:paraId="06404C65"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W10 = 2.2803179   df (45.103)</w:t>
            </w:r>
            <w:r w:rsidRPr="00D42DA6">
              <w:rPr>
                <w:rFonts w:ascii="Times New Roman" w:hAnsi="Times New Roman" w:cs="Times New Roman"/>
                <w:sz w:val="18"/>
                <w:szCs w:val="18"/>
              </w:rPr>
              <w:tab/>
              <w:t>Pr &gt; F = 0.00010208</w:t>
            </w:r>
          </w:p>
        </w:tc>
      </w:tr>
      <w:tr w:rsidR="00D42DA6" w:rsidRPr="00D42DA6" w14:paraId="339938FC" w14:textId="77777777" w:rsidTr="00F86C44">
        <w:tc>
          <w:tcPr>
            <w:tcW w:w="5000" w:type="pct"/>
          </w:tcPr>
          <w:p w14:paraId="2C437982" w14:textId="77777777" w:rsidR="00D42DA6" w:rsidRPr="00D42DA6" w:rsidRDefault="00D42DA6" w:rsidP="00F86C44">
            <w:pPr>
              <w:pStyle w:val="TableCell"/>
              <w:rPr>
                <w:rFonts w:ascii="Times New Roman" w:hAnsi="Times New Roman" w:cs="Times New Roman"/>
                <w:sz w:val="18"/>
                <w:szCs w:val="18"/>
              </w:rPr>
            </w:pPr>
          </w:p>
        </w:tc>
      </w:tr>
      <w:tr w:rsidR="00D42DA6" w:rsidRPr="00D42DA6" w14:paraId="65D6F226" w14:textId="77777777" w:rsidTr="00F86C44">
        <w:tc>
          <w:tcPr>
            <w:tcW w:w="5000" w:type="pct"/>
          </w:tcPr>
          <w:p w14:paraId="182BDD56" w14:textId="77777777" w:rsidR="00D42DA6" w:rsidRPr="00D42DA6" w:rsidRDefault="00D42DA6" w:rsidP="00F86C44">
            <w:pPr>
              <w:pStyle w:val="TableCell"/>
              <w:ind w:firstLine="0"/>
              <w:jc w:val="left"/>
              <w:rPr>
                <w:rFonts w:ascii="Times New Roman" w:hAnsi="Times New Roman" w:cs="Times New Roman"/>
                <w:sz w:val="18"/>
                <w:szCs w:val="18"/>
              </w:rPr>
            </w:pPr>
            <w:r w:rsidRPr="00D42DA6">
              <w:rPr>
                <w:rFonts w:ascii="Times New Roman" w:hAnsi="Times New Roman" w:cs="Times New Roman"/>
                <w:sz w:val="18"/>
                <w:szCs w:val="18"/>
              </w:rPr>
              <w:t>Auto-correlation test</w:t>
            </w:r>
          </w:p>
        </w:tc>
      </w:tr>
      <w:tr w:rsidR="00D42DA6" w:rsidRPr="00847515" w14:paraId="68A6CD72" w14:textId="77777777" w:rsidTr="00F86C44">
        <w:tc>
          <w:tcPr>
            <w:tcW w:w="5000" w:type="pct"/>
          </w:tcPr>
          <w:p w14:paraId="021487B5" w14:textId="77777777" w:rsidR="00D42DA6" w:rsidRPr="00D42DA6" w:rsidRDefault="00D42DA6" w:rsidP="00F86C44">
            <w:pPr>
              <w:pStyle w:val="TableCell"/>
              <w:ind w:firstLine="0"/>
              <w:jc w:val="left"/>
              <w:rPr>
                <w:rFonts w:ascii="Times New Roman" w:hAnsi="Times New Roman" w:cs="Times New Roman"/>
                <w:sz w:val="18"/>
                <w:szCs w:val="18"/>
              </w:rPr>
            </w:pPr>
            <w:r w:rsidRPr="00D42DA6">
              <w:rPr>
                <w:rFonts w:ascii="Times New Roman" w:hAnsi="Times New Roman" w:cs="Times New Roman"/>
                <w:sz w:val="18"/>
                <w:szCs w:val="18"/>
              </w:rPr>
              <w:t>Serial Correlation: LM (lambda=0)= 0.00 Pr&gt;chi2(1) = 1.000 ALM (lambda=0)= 130.90 Pr&gt;chi2(1) = 0.000</w:t>
            </w:r>
          </w:p>
        </w:tc>
      </w:tr>
    </w:tbl>
    <w:p w14:paraId="62246C13" w14:textId="77777777" w:rsidR="00D42DA6" w:rsidRPr="00D42DA6" w:rsidRDefault="00D42DA6" w:rsidP="00D42DA6">
      <w:pPr>
        <w:pStyle w:val="TableCell"/>
        <w:ind w:firstLine="0"/>
        <w:jc w:val="left"/>
        <w:rPr>
          <w:rFonts w:ascii="Times New Roman" w:hAnsi="Times New Roman" w:cs="Times New Roman"/>
          <w:sz w:val="18"/>
          <w:szCs w:val="18"/>
        </w:rPr>
      </w:pPr>
      <w:r w:rsidRPr="00D42DA6">
        <w:rPr>
          <w:rFonts w:ascii="Times New Roman" w:hAnsi="Times New Roman" w:cs="Times New Roman"/>
          <w:sz w:val="18"/>
          <w:szCs w:val="18"/>
        </w:rPr>
        <w:t>Joint Test: LM (Var(u)=0), lambda=0) = 232.06 Pr&gt;chi2 (2) = 0.000</w:t>
      </w:r>
    </w:p>
    <w:p w14:paraId="57E384E6" w14:textId="77777777" w:rsidR="00D42DA6" w:rsidRDefault="00D42DA6" w:rsidP="00D42DA6">
      <w:pPr>
        <w:rPr>
          <w:rFonts w:ascii="Times New Roman" w:hAnsi="Times New Roman" w:cs="Times New Roman"/>
          <w:lang w:val="en-US"/>
        </w:rPr>
      </w:pPr>
    </w:p>
    <w:p w14:paraId="49CBA5B1" w14:textId="3A315AD7" w:rsidR="00D42DA6" w:rsidRDefault="00D42DA6" w:rsidP="00D42DA6">
      <w:pPr>
        <w:jc w:val="center"/>
        <w:rPr>
          <w:rFonts w:ascii="Times New Roman" w:hAnsi="Times New Roman" w:cs="Times New Roman"/>
          <w:lang w:val="en-US"/>
        </w:rPr>
      </w:pPr>
      <w:r w:rsidRPr="00D42DA6">
        <w:rPr>
          <w:rFonts w:ascii="Times New Roman" w:hAnsi="Times New Roman" w:cs="Times New Roman"/>
          <w:b/>
          <w:bCs/>
          <w:lang w:val="en-US"/>
        </w:rPr>
        <w:t>Table 5:</w:t>
      </w:r>
      <w:r w:rsidRPr="00D42DA6">
        <w:rPr>
          <w:rFonts w:ascii="Times New Roman" w:hAnsi="Times New Roman" w:cs="Times New Roman"/>
          <w:lang w:val="en-US"/>
        </w:rPr>
        <w:t xml:space="preserve"> Levene, Brown and Forsythe Heteroscedasticity Test and Auto-correlation Test</w:t>
      </w:r>
    </w:p>
    <w:p w14:paraId="2D748DB4" w14:textId="77777777" w:rsidR="00D42DA6" w:rsidRPr="00D42DA6" w:rsidRDefault="00D42DA6" w:rsidP="00D42DA6">
      <w:pPr>
        <w:rPr>
          <w:rFonts w:ascii="Times New Roman" w:hAnsi="Times New Roman" w:cs="Times New Roman"/>
          <w:lang w:val="en-US"/>
        </w:rPr>
      </w:pPr>
      <w:r w:rsidRPr="00D42DA6">
        <w:rPr>
          <w:rFonts w:ascii="Times New Roman" w:hAnsi="Times New Roman" w:cs="Times New Roman"/>
          <w:lang w:val="en-US"/>
        </w:rPr>
        <w:t>In the model there are heteroscedasticity and auto-correlation problems. That’s why we assess estimators that are robust to heteroscedasticity and auto-correlation problems (see Table 6).</w:t>
      </w:r>
    </w:p>
    <w:p w14:paraId="72F9F90E" w14:textId="6B6D06D5" w:rsidR="00D42DA6" w:rsidRDefault="00D42DA6" w:rsidP="00D42DA6">
      <w:pPr>
        <w:rPr>
          <w:rFonts w:ascii="Times New Roman" w:hAnsi="Times New Roman" w:cs="Times New Roman"/>
          <w:lang w:val="en-US"/>
        </w:rPr>
      </w:pPr>
      <w:r w:rsidRPr="00D42DA6">
        <w:rPr>
          <w:rFonts w:ascii="Times New Roman" w:hAnsi="Times New Roman" w:cs="Times New Roman"/>
          <w:lang w:val="en-US"/>
        </w:rPr>
        <w:t>The Corruption Perception Index evaluates the perceived level of corruption in the public sector on a scale from 0 (highly corrupt) to 10 (very clean). This index was changed from 0 (very clean) to 10 (badly damaged) in order to avoid confusion in the interpretation of the signs of the score coefficients.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087"/>
        <w:gridCol w:w="3046"/>
        <w:gridCol w:w="3222"/>
      </w:tblGrid>
      <w:tr w:rsidR="00D42DA6" w:rsidRPr="00847515" w14:paraId="79A3B012" w14:textId="77777777" w:rsidTr="00F86C44">
        <w:trPr>
          <w:tblHeader/>
        </w:trPr>
        <w:tc>
          <w:tcPr>
            <w:tcW w:w="5000" w:type="pct"/>
            <w:gridSpan w:val="3"/>
            <w:tcBorders>
              <w:top w:val="single" w:sz="4" w:space="0" w:color="auto"/>
              <w:bottom w:val="single" w:sz="4" w:space="0" w:color="auto"/>
            </w:tcBorders>
          </w:tcPr>
          <w:p w14:paraId="4952696F"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Dependent Variable: CPI (INVERSED CPI)</w:t>
            </w:r>
          </w:p>
        </w:tc>
      </w:tr>
      <w:tr w:rsidR="00D42DA6" w:rsidRPr="00D42DA6" w14:paraId="04509C50" w14:textId="77777777" w:rsidTr="00F86C44">
        <w:tc>
          <w:tcPr>
            <w:tcW w:w="1650" w:type="pct"/>
          </w:tcPr>
          <w:p w14:paraId="17A6A032"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Variables</w:t>
            </w:r>
          </w:p>
        </w:tc>
        <w:tc>
          <w:tcPr>
            <w:tcW w:w="1628" w:type="pct"/>
          </w:tcPr>
          <w:p w14:paraId="6E5C692A"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RE</w:t>
            </w:r>
          </w:p>
        </w:tc>
        <w:tc>
          <w:tcPr>
            <w:tcW w:w="1722" w:type="pct"/>
          </w:tcPr>
          <w:p w14:paraId="6A3B69A4"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 xml:space="preserve">RE_ROBUST </w:t>
            </w:r>
          </w:p>
        </w:tc>
      </w:tr>
      <w:tr w:rsidR="00D42DA6" w:rsidRPr="00D42DA6" w14:paraId="06D3F1C4" w14:textId="77777777" w:rsidTr="00F86C44">
        <w:tc>
          <w:tcPr>
            <w:tcW w:w="1650" w:type="pct"/>
          </w:tcPr>
          <w:p w14:paraId="23895379"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RQ</w:t>
            </w:r>
          </w:p>
        </w:tc>
        <w:tc>
          <w:tcPr>
            <w:tcW w:w="1628" w:type="pct"/>
          </w:tcPr>
          <w:p w14:paraId="66541B73"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-1.6994</w:t>
            </w:r>
          </w:p>
        </w:tc>
        <w:tc>
          <w:tcPr>
            <w:tcW w:w="1722" w:type="pct"/>
          </w:tcPr>
          <w:p w14:paraId="43AE0A75"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-1.6994 (-7.39)</w:t>
            </w:r>
          </w:p>
        </w:tc>
      </w:tr>
      <w:tr w:rsidR="00D42DA6" w:rsidRPr="00D42DA6" w14:paraId="0C5A9F09" w14:textId="77777777" w:rsidTr="00F86C44">
        <w:tc>
          <w:tcPr>
            <w:tcW w:w="1650" w:type="pct"/>
          </w:tcPr>
          <w:p w14:paraId="0BEE95B8"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ODIN</w:t>
            </w:r>
          </w:p>
        </w:tc>
        <w:tc>
          <w:tcPr>
            <w:tcW w:w="1628" w:type="pct"/>
          </w:tcPr>
          <w:p w14:paraId="5AF25915"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-0,9262 (-8.71)</w:t>
            </w:r>
          </w:p>
        </w:tc>
        <w:tc>
          <w:tcPr>
            <w:tcW w:w="1722" w:type="pct"/>
          </w:tcPr>
          <w:p w14:paraId="1E505F09"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-0,9262 (-1.92)</w:t>
            </w:r>
          </w:p>
        </w:tc>
      </w:tr>
      <w:tr w:rsidR="00D42DA6" w:rsidRPr="00D42DA6" w14:paraId="2DA521E8" w14:textId="77777777" w:rsidTr="00F86C44">
        <w:tc>
          <w:tcPr>
            <w:tcW w:w="1650" w:type="pct"/>
          </w:tcPr>
          <w:p w14:paraId="0B93C9AE"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R</w:t>
            </w:r>
            <w:r w:rsidRPr="00D42DA6">
              <w:rPr>
                <w:rFonts w:ascii="Times New Roman" w:hAnsi="Times New Roman" w:cs="Times New Roman"/>
                <w:sz w:val="18"/>
                <w:szCs w:val="18"/>
                <w:vertAlign w:val="superscript"/>
              </w:rPr>
              <w:t>2</w:t>
            </w:r>
          </w:p>
        </w:tc>
        <w:tc>
          <w:tcPr>
            <w:tcW w:w="1628" w:type="pct"/>
          </w:tcPr>
          <w:p w14:paraId="3FACCE89"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0,7379</w:t>
            </w:r>
          </w:p>
        </w:tc>
        <w:tc>
          <w:tcPr>
            <w:tcW w:w="1722" w:type="pct"/>
          </w:tcPr>
          <w:p w14:paraId="637C2BB1"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0,7379</w:t>
            </w:r>
          </w:p>
        </w:tc>
      </w:tr>
      <w:tr w:rsidR="00D42DA6" w:rsidRPr="00D42DA6" w14:paraId="20B6724E" w14:textId="77777777" w:rsidTr="00F86C44">
        <w:tc>
          <w:tcPr>
            <w:tcW w:w="1650" w:type="pct"/>
          </w:tcPr>
          <w:p w14:paraId="33129DBE"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Wald Chi2 (Prob.)</w:t>
            </w:r>
          </w:p>
        </w:tc>
        <w:tc>
          <w:tcPr>
            <w:tcW w:w="1628" w:type="pct"/>
          </w:tcPr>
          <w:p w14:paraId="6C3A6168"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150,29 (0.00)</w:t>
            </w:r>
          </w:p>
        </w:tc>
        <w:tc>
          <w:tcPr>
            <w:tcW w:w="1722" w:type="pct"/>
          </w:tcPr>
          <w:p w14:paraId="16B7B564"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124,59 (0.00)</w:t>
            </w:r>
          </w:p>
        </w:tc>
      </w:tr>
      <w:tr w:rsidR="00D42DA6" w:rsidRPr="00D42DA6" w14:paraId="11FA1C43" w14:textId="77777777" w:rsidTr="00F86C44">
        <w:tc>
          <w:tcPr>
            <w:tcW w:w="1650" w:type="pct"/>
          </w:tcPr>
          <w:p w14:paraId="124BDDED"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Obs.</w:t>
            </w:r>
          </w:p>
        </w:tc>
        <w:tc>
          <w:tcPr>
            <w:tcW w:w="1628" w:type="pct"/>
          </w:tcPr>
          <w:p w14:paraId="038D7A6F"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151</w:t>
            </w:r>
          </w:p>
        </w:tc>
        <w:tc>
          <w:tcPr>
            <w:tcW w:w="1722" w:type="pct"/>
          </w:tcPr>
          <w:p w14:paraId="659EA3AD" w14:textId="77777777" w:rsidR="00D42DA6" w:rsidRPr="00D42DA6" w:rsidRDefault="00D42DA6" w:rsidP="00F86C44">
            <w:pPr>
              <w:pStyle w:val="TableCell"/>
              <w:rPr>
                <w:rFonts w:ascii="Times New Roman" w:hAnsi="Times New Roman" w:cs="Times New Roman"/>
                <w:sz w:val="18"/>
                <w:szCs w:val="18"/>
              </w:rPr>
            </w:pPr>
            <w:r w:rsidRPr="00D42DA6">
              <w:rPr>
                <w:rFonts w:ascii="Times New Roman" w:hAnsi="Times New Roman" w:cs="Times New Roman"/>
                <w:sz w:val="18"/>
                <w:szCs w:val="18"/>
              </w:rPr>
              <w:t>151</w:t>
            </w:r>
          </w:p>
        </w:tc>
      </w:tr>
    </w:tbl>
    <w:p w14:paraId="73B1EE38" w14:textId="77777777" w:rsidR="00D42DA6" w:rsidRDefault="00D42DA6" w:rsidP="00D42DA6">
      <w:pPr>
        <w:rPr>
          <w:rFonts w:ascii="Times New Roman" w:hAnsi="Times New Roman" w:cs="Times New Roman"/>
          <w:lang w:val="en-US"/>
        </w:rPr>
      </w:pPr>
    </w:p>
    <w:p w14:paraId="2E1E9987" w14:textId="72DAD243" w:rsidR="00D42DA6" w:rsidRDefault="00D42DA6" w:rsidP="00D42DA6">
      <w:pPr>
        <w:jc w:val="center"/>
        <w:rPr>
          <w:rFonts w:ascii="Times New Roman" w:hAnsi="Times New Roman" w:cs="Times New Roman"/>
          <w:lang w:val="en-US"/>
        </w:rPr>
      </w:pPr>
      <w:r w:rsidRPr="00D42DA6">
        <w:rPr>
          <w:rFonts w:ascii="Times New Roman" w:hAnsi="Times New Roman" w:cs="Times New Roman"/>
          <w:b/>
          <w:bCs/>
          <w:lang w:val="en-US"/>
        </w:rPr>
        <w:t xml:space="preserve">Table 6: </w:t>
      </w:r>
      <w:r w:rsidRPr="00D42DA6">
        <w:rPr>
          <w:rFonts w:ascii="Times New Roman" w:hAnsi="Times New Roman" w:cs="Times New Roman"/>
          <w:lang w:val="en-US"/>
        </w:rPr>
        <w:t>Panel Regression Results</w:t>
      </w:r>
    </w:p>
    <w:p w14:paraId="530722FA" w14:textId="49053110" w:rsidR="00D42DA6" w:rsidRPr="00D42DA6" w:rsidRDefault="00D42DA6" w:rsidP="00D42DA6">
      <w:pPr>
        <w:rPr>
          <w:rFonts w:ascii="Times New Roman" w:hAnsi="Times New Roman" w:cs="Times New Roman"/>
          <w:lang w:val="en-US"/>
        </w:rPr>
      </w:pPr>
      <w:r w:rsidRPr="00D42DA6">
        <w:rPr>
          <w:rFonts w:ascii="Times New Roman" w:hAnsi="Times New Roman" w:cs="Times New Roman"/>
          <w:lang w:val="en-US"/>
        </w:rPr>
        <w:t>The explanatory variable (open government finance data, ODIN) has the expected sign and statistically significant. The control variable (Regulatory Quality, RQ) has a positive and statistically significant effect on corruption. There is a positive (CPI inversed) and statistically significant relationship between Open data inventory (category “Government Finance”) and the corruption (CPI). In other words, open government finance data can make corruption lower.</w:t>
      </w:r>
    </w:p>
    <w:p w14:paraId="6EEC6322" w14:textId="30F16F4C" w:rsidR="00B86F47" w:rsidRDefault="00D42DA6" w:rsidP="00104204">
      <w:pPr>
        <w:pStyle w:val="heading1"/>
        <w:numPr>
          <w:ilvl w:val="0"/>
          <w:numId w:val="0"/>
        </w:numPr>
        <w:ind w:left="567" w:hanging="567"/>
        <w:jc w:val="both"/>
      </w:pPr>
      <w:r w:rsidRPr="00D42DA6">
        <w:lastRenderedPageBreak/>
        <w:t>Conclusion</w:t>
      </w:r>
    </w:p>
    <w:p w14:paraId="0C560424" w14:textId="77777777" w:rsidR="00D42DA6" w:rsidRPr="00D42DA6" w:rsidRDefault="00D42DA6" w:rsidP="00D42DA6">
      <w:pPr>
        <w:jc w:val="both"/>
        <w:rPr>
          <w:rFonts w:ascii="Times New Roman" w:hAnsi="Times New Roman" w:cs="Times New Roman"/>
          <w:lang w:val="en-US"/>
        </w:rPr>
      </w:pPr>
      <w:r w:rsidRPr="00D42DA6">
        <w:rPr>
          <w:rFonts w:ascii="Times New Roman" w:hAnsi="Times New Roman" w:cs="Times New Roman"/>
          <w:lang w:val="en-US"/>
        </w:rPr>
        <w:t xml:space="preserve">We analyzed the effect of open budget (according to Open data inventory, ODIN, produced by Open Data Watch) on corruption for five EAEU countries covering the period between 2015 and 2020. Our hypothesis about positive open budget effect on corruption in EAEU countries was confirmed. We found out that regulatory quality and open budget can effect on decreasing the corruption level. </w:t>
      </w:r>
    </w:p>
    <w:p w14:paraId="5AE98C2E" w14:textId="77777777" w:rsidR="00D42DA6" w:rsidRPr="00D42DA6" w:rsidRDefault="00D42DA6" w:rsidP="00D42DA6">
      <w:pPr>
        <w:jc w:val="both"/>
        <w:rPr>
          <w:rFonts w:ascii="Times New Roman" w:hAnsi="Times New Roman" w:cs="Times New Roman"/>
          <w:lang w:val="en-US"/>
        </w:rPr>
      </w:pPr>
      <w:r w:rsidRPr="00D42DA6">
        <w:rPr>
          <w:rFonts w:ascii="Times New Roman" w:hAnsi="Times New Roman" w:cs="Times New Roman"/>
          <w:lang w:val="en-US"/>
        </w:rPr>
        <w:t xml:space="preserve">Disclosure of budgets data on the national, regional and municipal level may have the following opportunities for struggle against corruption. First of all, citizens and private sector can analyze open budget data, and this is followed by campaigns against corruption. Secondly, an open budget helps to see which budget programs are not being fulfilled. </w:t>
      </w:r>
    </w:p>
    <w:p w14:paraId="4CB395E7" w14:textId="77777777" w:rsidR="00D42DA6" w:rsidRPr="00D42DA6" w:rsidRDefault="00D42DA6" w:rsidP="00D42DA6">
      <w:pPr>
        <w:jc w:val="both"/>
        <w:rPr>
          <w:rFonts w:ascii="Times New Roman" w:hAnsi="Times New Roman" w:cs="Times New Roman"/>
          <w:lang w:val="en-US"/>
        </w:rPr>
      </w:pPr>
      <w:r w:rsidRPr="00D42DA6">
        <w:rPr>
          <w:rFonts w:ascii="Times New Roman" w:hAnsi="Times New Roman" w:cs="Times New Roman"/>
          <w:lang w:val="en-US"/>
        </w:rPr>
        <w:t>We can conclude that the EAEU countries significantly differ in anti-corruption and open budget policies and practices, as well as in rankings of international organizations.</w:t>
      </w:r>
    </w:p>
    <w:p w14:paraId="208AACEA" w14:textId="77777777" w:rsidR="00D42DA6" w:rsidRPr="00D42DA6" w:rsidRDefault="00D42DA6" w:rsidP="00D42DA6">
      <w:pPr>
        <w:jc w:val="both"/>
        <w:rPr>
          <w:rFonts w:ascii="Times New Roman" w:hAnsi="Times New Roman" w:cs="Times New Roman"/>
          <w:lang w:val="en-US"/>
        </w:rPr>
      </w:pPr>
      <w:r w:rsidRPr="00D42DA6">
        <w:rPr>
          <w:rFonts w:ascii="Times New Roman" w:hAnsi="Times New Roman" w:cs="Times New Roman"/>
          <w:lang w:val="en-US"/>
        </w:rPr>
        <w:t>At the same time, the similar problems in the EAEU countries should be noted:</w:t>
      </w:r>
    </w:p>
    <w:p w14:paraId="0318595D" w14:textId="77777777" w:rsidR="00D42DA6" w:rsidRPr="00D42DA6" w:rsidRDefault="00D42DA6" w:rsidP="00D42DA6">
      <w:pPr>
        <w:jc w:val="both"/>
        <w:rPr>
          <w:rFonts w:ascii="Times New Roman" w:hAnsi="Times New Roman" w:cs="Times New Roman"/>
          <w:lang w:val="en-US"/>
        </w:rPr>
      </w:pPr>
      <w:r w:rsidRPr="00D42DA6">
        <w:rPr>
          <w:rFonts w:ascii="Times New Roman" w:hAnsi="Times New Roman" w:cs="Times New Roman"/>
          <w:lang w:val="en-US"/>
        </w:rPr>
        <w:t>- With the launch of open budget projects, the involvement of citizens and experts in the process of formulating goals was not clarified of the authorities and from citizens.</w:t>
      </w:r>
    </w:p>
    <w:p w14:paraId="5828FBC8" w14:textId="77777777" w:rsidR="00D42DA6" w:rsidRPr="00D42DA6" w:rsidRDefault="00D42DA6" w:rsidP="00D42DA6">
      <w:pPr>
        <w:jc w:val="both"/>
        <w:rPr>
          <w:rFonts w:ascii="Times New Roman" w:hAnsi="Times New Roman" w:cs="Times New Roman"/>
          <w:lang w:val="en-US"/>
        </w:rPr>
      </w:pPr>
      <w:r w:rsidRPr="00D42DA6">
        <w:rPr>
          <w:rFonts w:ascii="Times New Roman" w:hAnsi="Times New Roman" w:cs="Times New Roman"/>
          <w:lang w:val="en-US"/>
        </w:rPr>
        <w:t>- It is necessary to provide additional initiatives in the form of support for civil and expert initiatives in the field of open budget, transparency and reporting; implement projects in the field of secondary processing of budget information.</w:t>
      </w:r>
    </w:p>
    <w:p w14:paraId="1965D2CD" w14:textId="37500DF0" w:rsidR="00B86F47" w:rsidRPr="00B17C56" w:rsidRDefault="00D42DA6" w:rsidP="00D42DA6">
      <w:pPr>
        <w:jc w:val="both"/>
        <w:rPr>
          <w:rFonts w:ascii="Times New Roman" w:hAnsi="Times New Roman" w:cs="Times New Roman"/>
          <w:lang w:val="en-US"/>
        </w:rPr>
      </w:pPr>
      <w:r w:rsidRPr="00D42DA6">
        <w:rPr>
          <w:rFonts w:ascii="Times New Roman" w:hAnsi="Times New Roman" w:cs="Times New Roman"/>
          <w:lang w:val="en-US"/>
        </w:rPr>
        <w:t>- According to Gaidar Institute of Economic Policy, in the draft Russian federal budget, the government classified almost 25% of expenses (compared to 8% in the United States, while the share of security costs is much higher than in Russia). Similar problems are typical for Belarus and Kazakhstan. In addition, experts of Gaidar Institute of Economic Policy noted an increase in security costs. In their opinion, only citizens with special knowledge can deal with the open budget of Russia [32].</w:t>
      </w:r>
    </w:p>
    <w:p w14:paraId="586852B3" w14:textId="5B75EBFB" w:rsidR="00AA4FE2" w:rsidRPr="00AA4FE2" w:rsidRDefault="00AA4FE2" w:rsidP="00104204">
      <w:pPr>
        <w:jc w:val="both"/>
        <w:rPr>
          <w:rFonts w:ascii="Times New Roman" w:hAnsi="Times New Roman" w:cs="Times New Roman"/>
          <w:b/>
          <w:bCs/>
          <w:lang w:val="en-US"/>
        </w:rPr>
      </w:pPr>
      <w:r w:rsidRPr="00AA4FE2">
        <w:rPr>
          <w:rFonts w:ascii="Times New Roman" w:hAnsi="Times New Roman" w:cs="Times New Roman"/>
          <w:b/>
          <w:bCs/>
          <w:lang w:val="en-US"/>
        </w:rPr>
        <w:t>References</w:t>
      </w:r>
    </w:p>
    <w:p w14:paraId="149F2239" w14:textId="594403D2"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ADB. Technical assistance for support for implementation of the second governance and anticorruption action plan. Manila</w:t>
      </w:r>
      <w:r w:rsidR="009F1F24">
        <w:rPr>
          <w:rFonts w:ascii="Times New Roman" w:hAnsi="Times New Roman" w:cs="Times New Roman"/>
          <w:lang w:val="en-US"/>
        </w:rPr>
        <w:t xml:space="preserve"> (</w:t>
      </w:r>
      <w:r w:rsidRPr="00D42DA6">
        <w:rPr>
          <w:rFonts w:ascii="Times New Roman" w:hAnsi="Times New Roman" w:cs="Times New Roman"/>
          <w:lang w:val="en-US"/>
        </w:rPr>
        <w:t>2008</w:t>
      </w:r>
      <w:r w:rsidR="009F1F24">
        <w:rPr>
          <w:rFonts w:ascii="Times New Roman" w:hAnsi="Times New Roman" w:cs="Times New Roman"/>
          <w:lang w:val="en-US"/>
        </w:rPr>
        <w:t>)</w:t>
      </w:r>
      <w:r w:rsidRPr="00D42DA6">
        <w:rPr>
          <w:rFonts w:ascii="Times New Roman" w:hAnsi="Times New Roman" w:cs="Times New Roman"/>
          <w:lang w:val="en-US"/>
        </w:rPr>
        <w:t>.</w:t>
      </w:r>
    </w:p>
    <w:p w14:paraId="37F0A140" w14:textId="14029201"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Andreula</w:t>
      </w:r>
      <w:r w:rsidR="009F1F24">
        <w:rPr>
          <w:rFonts w:ascii="Times New Roman" w:hAnsi="Times New Roman" w:cs="Times New Roman"/>
          <w:lang w:val="en-US"/>
        </w:rPr>
        <w:t>, N.</w:t>
      </w:r>
      <w:r w:rsidRPr="00D42DA6">
        <w:rPr>
          <w:rFonts w:ascii="Times New Roman" w:hAnsi="Times New Roman" w:cs="Times New Roman"/>
          <w:lang w:val="en-US"/>
        </w:rPr>
        <w:t>, Chong,</w:t>
      </w:r>
      <w:r w:rsidR="009F1F24">
        <w:rPr>
          <w:rFonts w:ascii="Times New Roman" w:hAnsi="Times New Roman" w:cs="Times New Roman"/>
          <w:lang w:val="en-US"/>
        </w:rPr>
        <w:t xml:space="preserve"> A.,</w:t>
      </w:r>
      <w:r w:rsidRPr="00D42DA6">
        <w:rPr>
          <w:rFonts w:ascii="Times New Roman" w:hAnsi="Times New Roman" w:cs="Times New Roman"/>
          <w:lang w:val="en-US"/>
        </w:rPr>
        <w:t xml:space="preserve"> Guillen</w:t>
      </w:r>
      <w:r w:rsidR="009F1F24">
        <w:rPr>
          <w:rFonts w:ascii="Times New Roman" w:hAnsi="Times New Roman" w:cs="Times New Roman"/>
          <w:lang w:val="en-US"/>
        </w:rPr>
        <w:t>, J</w:t>
      </w:r>
      <w:r w:rsidRPr="00D42DA6">
        <w:rPr>
          <w:rFonts w:ascii="Times New Roman" w:hAnsi="Times New Roman" w:cs="Times New Roman"/>
          <w:lang w:val="en-US"/>
        </w:rPr>
        <w:t>.</w:t>
      </w:r>
      <w:r w:rsidR="009F1F24">
        <w:rPr>
          <w:rFonts w:ascii="Times New Roman" w:hAnsi="Times New Roman" w:cs="Times New Roman"/>
          <w:lang w:val="en-US"/>
        </w:rPr>
        <w:t>:</w:t>
      </w:r>
      <w:r w:rsidRPr="00D42DA6">
        <w:rPr>
          <w:rFonts w:ascii="Times New Roman" w:hAnsi="Times New Roman" w:cs="Times New Roman"/>
          <w:lang w:val="en-US"/>
        </w:rPr>
        <w:t xml:space="preserve"> Institutional Quality and Fiscal Transparency. IDB Working Paper Series (IDB-WP-125)</w:t>
      </w:r>
      <w:r w:rsidR="009F1F24">
        <w:rPr>
          <w:rFonts w:ascii="Times New Roman" w:hAnsi="Times New Roman" w:cs="Times New Roman"/>
          <w:lang w:val="en-US"/>
        </w:rPr>
        <w:t xml:space="preserve"> (2009)</w:t>
      </w:r>
      <w:r w:rsidRPr="00D42DA6">
        <w:rPr>
          <w:rFonts w:ascii="Times New Roman" w:hAnsi="Times New Roman" w:cs="Times New Roman"/>
          <w:lang w:val="en-US"/>
        </w:rPr>
        <w:t>.</w:t>
      </w:r>
    </w:p>
    <w:p w14:paraId="2566E519" w14:textId="789C1111"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Bastida</w:t>
      </w:r>
      <w:r w:rsidR="009F1F24">
        <w:rPr>
          <w:rFonts w:ascii="Times New Roman" w:hAnsi="Times New Roman" w:cs="Times New Roman"/>
          <w:lang w:val="en-US"/>
        </w:rPr>
        <w:t>, F.</w:t>
      </w:r>
      <w:r w:rsidRPr="00D42DA6">
        <w:rPr>
          <w:rFonts w:ascii="Times New Roman" w:hAnsi="Times New Roman" w:cs="Times New Roman"/>
          <w:lang w:val="en-US"/>
        </w:rPr>
        <w:t>, Benito</w:t>
      </w:r>
      <w:r w:rsidR="009F1F24">
        <w:rPr>
          <w:rFonts w:ascii="Times New Roman" w:hAnsi="Times New Roman" w:cs="Times New Roman"/>
          <w:lang w:val="en-US"/>
        </w:rPr>
        <w:t>, B</w:t>
      </w:r>
      <w:r w:rsidRPr="00D42DA6">
        <w:rPr>
          <w:rFonts w:ascii="Times New Roman" w:hAnsi="Times New Roman" w:cs="Times New Roman"/>
          <w:lang w:val="en-US"/>
        </w:rPr>
        <w:t>.</w:t>
      </w:r>
      <w:r w:rsidR="009F1F24">
        <w:rPr>
          <w:rFonts w:ascii="Times New Roman" w:hAnsi="Times New Roman" w:cs="Times New Roman"/>
          <w:lang w:val="en-US"/>
        </w:rPr>
        <w:t>:</w:t>
      </w:r>
      <w:r w:rsidRPr="00D42DA6">
        <w:rPr>
          <w:rFonts w:ascii="Times New Roman" w:hAnsi="Times New Roman" w:cs="Times New Roman"/>
          <w:lang w:val="en-US"/>
        </w:rPr>
        <w:t xml:space="preserve"> Central government budget practices and transparency: an international comparison, Public Administration, 85 (3)</w:t>
      </w:r>
      <w:r w:rsidR="009F1F24">
        <w:rPr>
          <w:rFonts w:ascii="Times New Roman" w:hAnsi="Times New Roman" w:cs="Times New Roman"/>
          <w:lang w:val="en-US"/>
        </w:rPr>
        <w:t>,</w:t>
      </w:r>
      <w:r w:rsidRPr="00D42DA6">
        <w:rPr>
          <w:rFonts w:ascii="Times New Roman" w:hAnsi="Times New Roman" w:cs="Times New Roman"/>
          <w:lang w:val="en-US"/>
        </w:rPr>
        <w:t xml:space="preserve"> 667-716</w:t>
      </w:r>
      <w:r w:rsidR="009F1F24">
        <w:rPr>
          <w:rFonts w:ascii="Times New Roman" w:hAnsi="Times New Roman" w:cs="Times New Roman"/>
          <w:lang w:val="en-US"/>
        </w:rPr>
        <w:t xml:space="preserve"> (2007)</w:t>
      </w:r>
      <w:r w:rsidRPr="00D42DA6">
        <w:rPr>
          <w:rFonts w:ascii="Times New Roman" w:hAnsi="Times New Roman" w:cs="Times New Roman"/>
          <w:lang w:val="en-US"/>
        </w:rPr>
        <w:t>.</w:t>
      </w:r>
    </w:p>
    <w:p w14:paraId="776FC98B" w14:textId="2F4AFFC1"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Ali,</w:t>
      </w:r>
      <w:r w:rsidR="009F1F24">
        <w:rPr>
          <w:rFonts w:ascii="Times New Roman" w:hAnsi="Times New Roman" w:cs="Times New Roman"/>
          <w:lang w:val="en-US"/>
        </w:rPr>
        <w:t xml:space="preserve"> M.S.B.,</w:t>
      </w:r>
      <w:r w:rsidRPr="00D42DA6">
        <w:rPr>
          <w:rFonts w:ascii="Times New Roman" w:hAnsi="Times New Roman" w:cs="Times New Roman"/>
          <w:lang w:val="en-US"/>
        </w:rPr>
        <w:t xml:space="preserve"> Sassi</w:t>
      </w:r>
      <w:r w:rsidR="009F1F24">
        <w:rPr>
          <w:rFonts w:ascii="Times New Roman" w:hAnsi="Times New Roman" w:cs="Times New Roman"/>
          <w:lang w:val="en-US"/>
        </w:rPr>
        <w:t>, S</w:t>
      </w:r>
      <w:r w:rsidRPr="00D42DA6">
        <w:rPr>
          <w:rFonts w:ascii="Times New Roman" w:hAnsi="Times New Roman" w:cs="Times New Roman"/>
          <w:lang w:val="en-US"/>
        </w:rPr>
        <w:t>.</w:t>
      </w:r>
      <w:r w:rsidR="009F1F24">
        <w:rPr>
          <w:rFonts w:ascii="Times New Roman" w:hAnsi="Times New Roman" w:cs="Times New Roman"/>
          <w:lang w:val="en-US"/>
        </w:rPr>
        <w:t>:</w:t>
      </w:r>
      <w:r w:rsidRPr="00D42DA6">
        <w:rPr>
          <w:rFonts w:ascii="Times New Roman" w:hAnsi="Times New Roman" w:cs="Times New Roman"/>
          <w:lang w:val="en-US"/>
        </w:rPr>
        <w:t xml:space="preserve"> The Role of ICT Adoption in Curbing Corruption in Developing Countries. </w:t>
      </w:r>
      <w:r w:rsidR="009F1F24" w:rsidRPr="009F1F24">
        <w:rPr>
          <w:rFonts w:ascii="Times New Roman" w:hAnsi="Times New Roman" w:cs="Times New Roman"/>
          <w:lang w:val="en-US"/>
        </w:rPr>
        <w:t>Catalyzing Development through ICT Adoption</w:t>
      </w:r>
      <w:r w:rsidR="009F1F24">
        <w:rPr>
          <w:rFonts w:ascii="Times New Roman" w:hAnsi="Times New Roman" w:cs="Times New Roman"/>
          <w:lang w:val="en-US"/>
        </w:rPr>
        <w:t xml:space="preserve">. </w:t>
      </w:r>
      <w:r w:rsidR="009F1F24" w:rsidRPr="009F1F24">
        <w:rPr>
          <w:rFonts w:ascii="Times New Roman" w:hAnsi="Times New Roman" w:cs="Times New Roman"/>
          <w:lang w:val="en-US"/>
        </w:rPr>
        <w:t>Kaur, H., Lechman, E., Marszk, A. (eds)</w:t>
      </w:r>
      <w:r w:rsidR="009F1F24">
        <w:rPr>
          <w:rFonts w:ascii="Times New Roman" w:hAnsi="Times New Roman" w:cs="Times New Roman"/>
          <w:lang w:val="en-US"/>
        </w:rPr>
        <w:t xml:space="preserve">. </w:t>
      </w:r>
      <w:r w:rsidR="009F1F24" w:rsidRPr="009F1F24">
        <w:rPr>
          <w:rFonts w:ascii="Times New Roman" w:hAnsi="Times New Roman" w:cs="Times New Roman"/>
          <w:lang w:val="en-US"/>
        </w:rPr>
        <w:t>Springer, Cham</w:t>
      </w:r>
      <w:r w:rsidR="009F1F24">
        <w:rPr>
          <w:rFonts w:ascii="Times New Roman" w:hAnsi="Times New Roman" w:cs="Times New Roman"/>
          <w:lang w:val="en-US"/>
        </w:rPr>
        <w:t>,</w:t>
      </w:r>
      <w:r w:rsidR="009F1F24" w:rsidRPr="009F1F24">
        <w:rPr>
          <w:rFonts w:ascii="Times New Roman" w:hAnsi="Times New Roman" w:cs="Times New Roman"/>
          <w:lang w:val="en-US"/>
        </w:rPr>
        <w:t xml:space="preserve"> 37-50</w:t>
      </w:r>
      <w:r w:rsidR="009F1F24">
        <w:rPr>
          <w:rFonts w:ascii="Times New Roman" w:hAnsi="Times New Roman" w:cs="Times New Roman"/>
          <w:lang w:val="en-US"/>
        </w:rPr>
        <w:t xml:space="preserve"> (2017).</w:t>
      </w:r>
      <w:r w:rsidR="009F1F24" w:rsidRPr="009F1F24">
        <w:rPr>
          <w:lang w:val="en-US"/>
        </w:rPr>
        <w:t xml:space="preserve"> </w:t>
      </w:r>
      <w:r w:rsidR="009F1F24" w:rsidRPr="009F1F24">
        <w:rPr>
          <w:rFonts w:ascii="Times New Roman" w:hAnsi="Times New Roman" w:cs="Times New Roman"/>
          <w:lang w:val="en-US"/>
        </w:rPr>
        <w:t>https://doi.org/10.1007/978-3-319-56523-1_4</w:t>
      </w:r>
    </w:p>
    <w:p w14:paraId="1693D50E" w14:textId="52DD4C6D"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 xml:space="preserve">Bertot, </w:t>
      </w:r>
      <w:r w:rsidR="001A572F">
        <w:rPr>
          <w:rFonts w:ascii="Times New Roman" w:hAnsi="Times New Roman" w:cs="Times New Roman"/>
          <w:lang w:val="en-US"/>
        </w:rPr>
        <w:t xml:space="preserve">J.C., </w:t>
      </w:r>
      <w:r w:rsidRPr="00D42DA6">
        <w:rPr>
          <w:rFonts w:ascii="Times New Roman" w:hAnsi="Times New Roman" w:cs="Times New Roman"/>
          <w:lang w:val="en-US"/>
        </w:rPr>
        <w:t>Jaeger</w:t>
      </w:r>
      <w:r w:rsidR="001A572F">
        <w:rPr>
          <w:rFonts w:ascii="Times New Roman" w:hAnsi="Times New Roman" w:cs="Times New Roman"/>
          <w:lang w:val="en-US"/>
        </w:rPr>
        <w:t xml:space="preserve">, P.T., </w:t>
      </w:r>
      <w:r w:rsidRPr="00D42DA6">
        <w:rPr>
          <w:rFonts w:ascii="Times New Roman" w:hAnsi="Times New Roman" w:cs="Times New Roman"/>
          <w:lang w:val="en-US"/>
        </w:rPr>
        <w:t>Grimes</w:t>
      </w:r>
      <w:r w:rsidR="001A572F">
        <w:rPr>
          <w:rFonts w:ascii="Times New Roman" w:hAnsi="Times New Roman" w:cs="Times New Roman"/>
          <w:lang w:val="en-US"/>
        </w:rPr>
        <w:t>, J.M.:</w:t>
      </w:r>
      <w:r w:rsidRPr="00D42DA6">
        <w:rPr>
          <w:rFonts w:ascii="Times New Roman" w:hAnsi="Times New Roman" w:cs="Times New Roman"/>
          <w:lang w:val="en-US"/>
        </w:rPr>
        <w:t xml:space="preserve"> Using ICTs to create a culture of transparency: E-government and social media as openness and anti-corruption tools for societies, Government Information Quarterly, 27</w:t>
      </w:r>
      <w:r w:rsidR="009F1F24">
        <w:rPr>
          <w:rFonts w:ascii="Times New Roman" w:hAnsi="Times New Roman" w:cs="Times New Roman"/>
          <w:lang w:val="en-US"/>
        </w:rPr>
        <w:t>,</w:t>
      </w:r>
      <w:r w:rsidRPr="00D42DA6">
        <w:rPr>
          <w:rFonts w:ascii="Times New Roman" w:hAnsi="Times New Roman" w:cs="Times New Roman"/>
          <w:lang w:val="en-US"/>
        </w:rPr>
        <w:t xml:space="preserve"> 264-271</w:t>
      </w:r>
      <w:r w:rsidR="009F1F24">
        <w:rPr>
          <w:rFonts w:ascii="Times New Roman" w:hAnsi="Times New Roman" w:cs="Times New Roman"/>
          <w:lang w:val="en-US"/>
        </w:rPr>
        <w:t xml:space="preserve"> (2010)</w:t>
      </w:r>
      <w:r w:rsidRPr="00D42DA6">
        <w:rPr>
          <w:rFonts w:ascii="Times New Roman" w:hAnsi="Times New Roman" w:cs="Times New Roman"/>
          <w:lang w:val="en-US"/>
        </w:rPr>
        <w:t>.</w:t>
      </w:r>
    </w:p>
    <w:p w14:paraId="406141CB" w14:textId="6642745C"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 xml:space="preserve">Bhattacherjee, </w:t>
      </w:r>
      <w:r w:rsidR="001A572F">
        <w:rPr>
          <w:rFonts w:ascii="Times New Roman" w:hAnsi="Times New Roman" w:cs="Times New Roman"/>
          <w:lang w:val="en-US"/>
        </w:rPr>
        <w:t xml:space="preserve">A., </w:t>
      </w:r>
      <w:r w:rsidRPr="00D42DA6">
        <w:rPr>
          <w:rFonts w:ascii="Times New Roman" w:hAnsi="Times New Roman" w:cs="Times New Roman"/>
          <w:lang w:val="en-US"/>
        </w:rPr>
        <w:t>Shrivastava</w:t>
      </w:r>
      <w:r w:rsidR="001A572F">
        <w:rPr>
          <w:rFonts w:ascii="Times New Roman" w:hAnsi="Times New Roman" w:cs="Times New Roman"/>
          <w:lang w:val="en-US"/>
        </w:rPr>
        <w:t>, U.:</w:t>
      </w:r>
      <w:r w:rsidRPr="00D42DA6">
        <w:rPr>
          <w:rFonts w:ascii="Times New Roman" w:hAnsi="Times New Roman" w:cs="Times New Roman"/>
          <w:lang w:val="en-US"/>
        </w:rPr>
        <w:t xml:space="preserve"> The effects of ICT use and ICT Laws on corruption: a general deterrence theory perspective. Government Information Quarterly, 35(4)</w:t>
      </w:r>
      <w:r w:rsidR="001A572F">
        <w:rPr>
          <w:rFonts w:ascii="Times New Roman" w:hAnsi="Times New Roman" w:cs="Times New Roman"/>
          <w:lang w:val="en-US"/>
        </w:rPr>
        <w:t>,</w:t>
      </w:r>
      <w:r w:rsidR="009F1F24">
        <w:rPr>
          <w:rFonts w:ascii="Times New Roman" w:hAnsi="Times New Roman" w:cs="Times New Roman"/>
          <w:lang w:val="en-US"/>
        </w:rPr>
        <w:t xml:space="preserve"> </w:t>
      </w:r>
      <w:r w:rsidR="009F1F24" w:rsidRPr="009F1F24">
        <w:rPr>
          <w:rFonts w:ascii="Times New Roman" w:hAnsi="Times New Roman" w:cs="Times New Roman"/>
          <w:lang w:val="en-US"/>
        </w:rPr>
        <w:t>703-712</w:t>
      </w:r>
      <w:r w:rsidR="001A572F">
        <w:rPr>
          <w:rFonts w:ascii="Times New Roman" w:hAnsi="Times New Roman" w:cs="Times New Roman"/>
          <w:lang w:val="en-US"/>
        </w:rPr>
        <w:t xml:space="preserve"> (2018)</w:t>
      </w:r>
      <w:r w:rsidRPr="00D42DA6">
        <w:rPr>
          <w:rFonts w:ascii="Times New Roman" w:hAnsi="Times New Roman" w:cs="Times New Roman"/>
          <w:lang w:val="en-US"/>
        </w:rPr>
        <w:t xml:space="preserve">. </w:t>
      </w:r>
    </w:p>
    <w:p w14:paraId="6E25DC10" w14:textId="7E95B6F9"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Bolgov,</w:t>
      </w:r>
      <w:r w:rsidR="001A572F">
        <w:rPr>
          <w:rFonts w:ascii="Times New Roman" w:hAnsi="Times New Roman" w:cs="Times New Roman"/>
          <w:lang w:val="en-US"/>
        </w:rPr>
        <w:t xml:space="preserve"> R.,</w:t>
      </w:r>
      <w:r w:rsidRPr="00D42DA6">
        <w:rPr>
          <w:rFonts w:ascii="Times New Roman" w:hAnsi="Times New Roman" w:cs="Times New Roman"/>
          <w:lang w:val="en-US"/>
        </w:rPr>
        <w:t xml:space="preserve"> Karachay</w:t>
      </w:r>
      <w:r w:rsidR="001A572F">
        <w:rPr>
          <w:rFonts w:ascii="Times New Roman" w:hAnsi="Times New Roman" w:cs="Times New Roman"/>
          <w:lang w:val="en-US"/>
        </w:rPr>
        <w:t>, V.:</w:t>
      </w:r>
      <w:r w:rsidRPr="00D42DA6">
        <w:rPr>
          <w:rFonts w:ascii="Times New Roman" w:hAnsi="Times New Roman" w:cs="Times New Roman"/>
          <w:lang w:val="en-US"/>
        </w:rPr>
        <w:t xml:space="preserve"> E-Governance Institutions Development in the Eurasian Economic Union: Case of the Russian Federation. In ACM International Conference Proceeding Series. 9th International Conference on Theory and Practice of Electronic Governance, ICEGOV 2016, 374-375</w:t>
      </w:r>
      <w:r w:rsidR="001A572F">
        <w:rPr>
          <w:rFonts w:ascii="Times New Roman" w:hAnsi="Times New Roman" w:cs="Times New Roman"/>
          <w:lang w:val="en-US"/>
        </w:rPr>
        <w:t xml:space="preserve"> (2016)</w:t>
      </w:r>
      <w:r w:rsidRPr="00D42DA6">
        <w:rPr>
          <w:rFonts w:ascii="Times New Roman" w:hAnsi="Times New Roman" w:cs="Times New Roman"/>
          <w:lang w:val="en-US"/>
        </w:rPr>
        <w:t xml:space="preserve">. </w:t>
      </w:r>
      <w:r w:rsidR="001A572F" w:rsidRPr="00D42DA6">
        <w:rPr>
          <w:rFonts w:ascii="Times New Roman" w:hAnsi="Times New Roman" w:cs="Times New Roman"/>
          <w:lang w:val="en-US"/>
        </w:rPr>
        <w:t>https://doi.org/</w:t>
      </w:r>
      <w:r w:rsidRPr="00D42DA6">
        <w:rPr>
          <w:rFonts w:ascii="Times New Roman" w:hAnsi="Times New Roman" w:cs="Times New Roman"/>
          <w:lang w:val="en-US"/>
        </w:rPr>
        <w:t>10.1145/2910019.2910044</w:t>
      </w:r>
    </w:p>
    <w:p w14:paraId="3D78516A" w14:textId="58246B54"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lastRenderedPageBreak/>
        <w:t>Brusca,</w:t>
      </w:r>
      <w:r w:rsidR="001A572F">
        <w:rPr>
          <w:rFonts w:ascii="Times New Roman" w:hAnsi="Times New Roman" w:cs="Times New Roman"/>
          <w:lang w:val="en-US"/>
        </w:rPr>
        <w:t xml:space="preserve"> I.,</w:t>
      </w:r>
      <w:r w:rsidRPr="00D42DA6">
        <w:rPr>
          <w:rFonts w:ascii="Times New Roman" w:hAnsi="Times New Roman" w:cs="Times New Roman"/>
          <w:lang w:val="en-US"/>
        </w:rPr>
        <w:t xml:space="preserve"> Manes Rossi, </w:t>
      </w:r>
      <w:r w:rsidR="001A572F">
        <w:rPr>
          <w:rFonts w:ascii="Times New Roman" w:hAnsi="Times New Roman" w:cs="Times New Roman"/>
          <w:lang w:val="en-US"/>
        </w:rPr>
        <w:t xml:space="preserve">F., </w:t>
      </w:r>
      <w:r w:rsidRPr="00D42DA6">
        <w:rPr>
          <w:rFonts w:ascii="Times New Roman" w:hAnsi="Times New Roman" w:cs="Times New Roman"/>
          <w:lang w:val="en-US"/>
        </w:rPr>
        <w:t>Aversano</w:t>
      </w:r>
      <w:r w:rsidR="001A572F">
        <w:rPr>
          <w:rFonts w:ascii="Times New Roman" w:hAnsi="Times New Roman" w:cs="Times New Roman"/>
          <w:lang w:val="en-US"/>
        </w:rPr>
        <w:t>, N</w:t>
      </w:r>
      <w:r w:rsidRPr="00D42DA6">
        <w:rPr>
          <w:rFonts w:ascii="Times New Roman" w:hAnsi="Times New Roman" w:cs="Times New Roman"/>
          <w:lang w:val="en-US"/>
        </w:rPr>
        <w:t>.</w:t>
      </w:r>
      <w:r w:rsidR="001A572F">
        <w:rPr>
          <w:rFonts w:ascii="Times New Roman" w:hAnsi="Times New Roman" w:cs="Times New Roman"/>
          <w:lang w:val="en-US"/>
        </w:rPr>
        <w:t>:</w:t>
      </w:r>
      <w:r w:rsidRPr="00D42DA6">
        <w:rPr>
          <w:rFonts w:ascii="Times New Roman" w:hAnsi="Times New Roman" w:cs="Times New Roman"/>
          <w:lang w:val="en-US"/>
        </w:rPr>
        <w:t xml:space="preserve"> Accountability and Transparency to Fight against Corruption: An International Comparative Analysis. Journal of Comparative Policy Analysis: Research and Practice, 20(5), 486-504</w:t>
      </w:r>
      <w:r w:rsidR="001A572F">
        <w:rPr>
          <w:rFonts w:ascii="Times New Roman" w:hAnsi="Times New Roman" w:cs="Times New Roman"/>
          <w:lang w:val="en-US"/>
        </w:rPr>
        <w:t xml:space="preserve"> (2018)</w:t>
      </w:r>
      <w:r w:rsidRPr="00D42DA6">
        <w:rPr>
          <w:rFonts w:ascii="Times New Roman" w:hAnsi="Times New Roman" w:cs="Times New Roman"/>
          <w:lang w:val="en-US"/>
        </w:rPr>
        <w:t>. https://doi.org/10.1080/13876988.2017.1393951</w:t>
      </w:r>
    </w:p>
    <w:p w14:paraId="4BD8363C" w14:textId="4B8EBC61"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 xml:space="preserve">Chugunov, </w:t>
      </w:r>
      <w:r w:rsidR="001A572F">
        <w:rPr>
          <w:rFonts w:ascii="Times New Roman" w:hAnsi="Times New Roman" w:cs="Times New Roman"/>
          <w:lang w:val="en-US"/>
        </w:rPr>
        <w:t xml:space="preserve">A., </w:t>
      </w:r>
      <w:r w:rsidRPr="00D42DA6">
        <w:rPr>
          <w:rFonts w:ascii="Times New Roman" w:hAnsi="Times New Roman" w:cs="Times New Roman"/>
          <w:lang w:val="en-US"/>
        </w:rPr>
        <w:t>Bolgov,</w:t>
      </w:r>
      <w:r w:rsidR="001A572F">
        <w:rPr>
          <w:rFonts w:ascii="Times New Roman" w:hAnsi="Times New Roman" w:cs="Times New Roman"/>
          <w:lang w:val="en-US"/>
        </w:rPr>
        <w:t xml:space="preserve"> R.,</w:t>
      </w:r>
      <w:r w:rsidRPr="00D42DA6">
        <w:rPr>
          <w:rFonts w:ascii="Times New Roman" w:hAnsi="Times New Roman" w:cs="Times New Roman"/>
          <w:lang w:val="en-US"/>
        </w:rPr>
        <w:t xml:space="preserve"> Kabanov,</w:t>
      </w:r>
      <w:r w:rsidR="001A572F">
        <w:rPr>
          <w:rFonts w:ascii="Times New Roman" w:hAnsi="Times New Roman" w:cs="Times New Roman"/>
          <w:lang w:val="en-US"/>
        </w:rPr>
        <w:t xml:space="preserve"> Y.,</w:t>
      </w:r>
      <w:r w:rsidRPr="00D42DA6">
        <w:rPr>
          <w:rFonts w:ascii="Times New Roman" w:hAnsi="Times New Roman" w:cs="Times New Roman"/>
          <w:lang w:val="en-US"/>
        </w:rPr>
        <w:t xml:space="preserve"> Kampis, </w:t>
      </w:r>
      <w:r w:rsidR="001A572F">
        <w:rPr>
          <w:rFonts w:ascii="Times New Roman" w:hAnsi="Times New Roman" w:cs="Times New Roman"/>
          <w:lang w:val="en-US"/>
        </w:rPr>
        <w:t xml:space="preserve">G., </w:t>
      </w:r>
      <w:r w:rsidRPr="00D42DA6">
        <w:rPr>
          <w:rFonts w:ascii="Times New Roman" w:hAnsi="Times New Roman" w:cs="Times New Roman"/>
          <w:lang w:val="en-US"/>
        </w:rPr>
        <w:t>Wimmer,</w:t>
      </w:r>
      <w:r w:rsidR="001A572F">
        <w:rPr>
          <w:rFonts w:ascii="Times New Roman" w:hAnsi="Times New Roman" w:cs="Times New Roman"/>
          <w:lang w:val="en-US"/>
        </w:rPr>
        <w:t xml:space="preserve"> M.,</w:t>
      </w:r>
      <w:r w:rsidRPr="00D42DA6">
        <w:rPr>
          <w:rFonts w:ascii="Times New Roman" w:hAnsi="Times New Roman" w:cs="Times New Roman"/>
          <w:lang w:val="en-US"/>
        </w:rPr>
        <w:t xml:space="preserve"> et al.: Preface. 1st International Conference on Digital Transformation and Global Society, DTGS 2016. Communications in Computer and Information Science (CCIS), 674, III-VI (2016). https://doi.org/10.1007/978-3-319-49700-6</w:t>
      </w:r>
    </w:p>
    <w:p w14:paraId="40A576C3" w14:textId="27678989"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Cimpoeru</w:t>
      </w:r>
      <w:r w:rsidR="001A572F">
        <w:rPr>
          <w:rFonts w:ascii="Times New Roman" w:hAnsi="Times New Roman" w:cs="Times New Roman"/>
          <w:lang w:val="en-US"/>
        </w:rPr>
        <w:t>, V.M.:</w:t>
      </w:r>
      <w:r w:rsidRPr="00D42DA6">
        <w:rPr>
          <w:rFonts w:ascii="Times New Roman" w:hAnsi="Times New Roman" w:cs="Times New Roman"/>
          <w:lang w:val="en-US"/>
        </w:rPr>
        <w:t xml:space="preserve"> Budget Transparency - Supporting Factor in the Causal Relationship between Global Competitiveness and Control of Corruption. Ecoforum, 4(1), 180-186</w:t>
      </w:r>
      <w:r w:rsidR="001A572F">
        <w:rPr>
          <w:rFonts w:ascii="Times New Roman" w:hAnsi="Times New Roman" w:cs="Times New Roman"/>
          <w:lang w:val="en-US"/>
        </w:rPr>
        <w:t xml:space="preserve"> (2015)</w:t>
      </w:r>
      <w:r w:rsidRPr="00D42DA6">
        <w:rPr>
          <w:rFonts w:ascii="Times New Roman" w:hAnsi="Times New Roman" w:cs="Times New Roman"/>
          <w:lang w:val="en-US"/>
        </w:rPr>
        <w:t>.</w:t>
      </w:r>
    </w:p>
    <w:p w14:paraId="26C9DDF3" w14:textId="2BFFAFDE"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Cohen</w:t>
      </w:r>
      <w:r w:rsidR="001A572F">
        <w:rPr>
          <w:rFonts w:ascii="Times New Roman" w:hAnsi="Times New Roman" w:cs="Times New Roman"/>
          <w:lang w:val="en-US"/>
        </w:rPr>
        <w:t>, N</w:t>
      </w:r>
      <w:r w:rsidRPr="00D42DA6">
        <w:rPr>
          <w:rFonts w:ascii="Times New Roman" w:hAnsi="Times New Roman" w:cs="Times New Roman"/>
          <w:lang w:val="en-US"/>
        </w:rPr>
        <w:t>.</w:t>
      </w:r>
      <w:r w:rsidR="001A572F">
        <w:rPr>
          <w:rFonts w:ascii="Times New Roman" w:hAnsi="Times New Roman" w:cs="Times New Roman"/>
          <w:lang w:val="en-US"/>
        </w:rPr>
        <w:t>:</w:t>
      </w:r>
      <w:r w:rsidRPr="00D42DA6">
        <w:rPr>
          <w:rFonts w:ascii="Times New Roman" w:hAnsi="Times New Roman" w:cs="Times New Roman"/>
          <w:lang w:val="en-US"/>
        </w:rPr>
        <w:t xml:space="preserve"> The power of expertise? Politician-bureaucrat interactions, national budget transparency and the Israeli health care policy. Policy Studies, 34 (5-6)</w:t>
      </w:r>
      <w:r w:rsidR="001A572F">
        <w:rPr>
          <w:rFonts w:ascii="Times New Roman" w:hAnsi="Times New Roman" w:cs="Times New Roman"/>
          <w:lang w:val="en-US"/>
        </w:rPr>
        <w:t>,</w:t>
      </w:r>
      <w:r w:rsidRPr="00D42DA6">
        <w:rPr>
          <w:rFonts w:ascii="Times New Roman" w:hAnsi="Times New Roman" w:cs="Times New Roman"/>
          <w:lang w:val="en-US"/>
        </w:rPr>
        <w:t xml:space="preserve"> 638-654</w:t>
      </w:r>
      <w:r w:rsidR="001A572F">
        <w:rPr>
          <w:rFonts w:ascii="Times New Roman" w:hAnsi="Times New Roman" w:cs="Times New Roman"/>
          <w:lang w:val="en-US"/>
        </w:rPr>
        <w:t xml:space="preserve"> (2013)</w:t>
      </w:r>
      <w:r w:rsidRPr="00D42DA6">
        <w:rPr>
          <w:rFonts w:ascii="Times New Roman" w:hAnsi="Times New Roman" w:cs="Times New Roman"/>
          <w:lang w:val="en-US"/>
        </w:rPr>
        <w:t>.</w:t>
      </w:r>
    </w:p>
    <w:p w14:paraId="29547537" w14:textId="123BCAA0"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 xml:space="preserve">Corruption Perception Index </w:t>
      </w:r>
      <w:r w:rsidR="001A572F">
        <w:rPr>
          <w:rFonts w:ascii="Times New Roman" w:hAnsi="Times New Roman" w:cs="Times New Roman"/>
          <w:lang w:val="en-US"/>
        </w:rPr>
        <w:t>(</w:t>
      </w:r>
      <w:r w:rsidRPr="00D42DA6">
        <w:rPr>
          <w:rFonts w:ascii="Times New Roman" w:hAnsi="Times New Roman" w:cs="Times New Roman"/>
          <w:lang w:val="en-US"/>
        </w:rPr>
        <w:t>2020</w:t>
      </w:r>
      <w:r w:rsidR="001A572F">
        <w:rPr>
          <w:rFonts w:ascii="Times New Roman" w:hAnsi="Times New Roman" w:cs="Times New Roman"/>
          <w:lang w:val="en-US"/>
        </w:rPr>
        <w:t>)</w:t>
      </w:r>
      <w:r w:rsidRPr="00D42DA6">
        <w:rPr>
          <w:rFonts w:ascii="Times New Roman" w:hAnsi="Times New Roman" w:cs="Times New Roman"/>
          <w:lang w:val="en-US"/>
        </w:rPr>
        <w:t>. https://www.transparency.org/en/cpi/2020</w:t>
      </w:r>
    </w:p>
    <w:p w14:paraId="282192D4" w14:textId="3171B978"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 xml:space="preserve">Corruption Perception Index </w:t>
      </w:r>
      <w:r w:rsidR="001A572F">
        <w:rPr>
          <w:rFonts w:ascii="Times New Roman" w:hAnsi="Times New Roman" w:cs="Times New Roman"/>
          <w:lang w:val="en-US"/>
        </w:rPr>
        <w:t>(</w:t>
      </w:r>
      <w:r w:rsidRPr="00D42DA6">
        <w:rPr>
          <w:rFonts w:ascii="Times New Roman" w:hAnsi="Times New Roman" w:cs="Times New Roman"/>
          <w:lang w:val="en-US"/>
        </w:rPr>
        <w:t>2017</w:t>
      </w:r>
      <w:r w:rsidR="001A572F">
        <w:rPr>
          <w:rFonts w:ascii="Times New Roman" w:hAnsi="Times New Roman" w:cs="Times New Roman"/>
          <w:lang w:val="en-US"/>
        </w:rPr>
        <w:t>)</w:t>
      </w:r>
      <w:r w:rsidRPr="00D42DA6">
        <w:rPr>
          <w:rFonts w:ascii="Times New Roman" w:hAnsi="Times New Roman" w:cs="Times New Roman"/>
          <w:lang w:val="en-US"/>
        </w:rPr>
        <w:t>. https://www.transparency.org/news/feature/corruption_perceptions_index_2017</w:t>
      </w:r>
    </w:p>
    <w:p w14:paraId="2B0A8C4F" w14:textId="10EBBC7F"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 xml:space="preserve">Davis, </w:t>
      </w:r>
      <w:r w:rsidR="001A572F">
        <w:rPr>
          <w:rFonts w:ascii="Times New Roman" w:hAnsi="Times New Roman" w:cs="Times New Roman"/>
          <w:lang w:val="en-US"/>
        </w:rPr>
        <w:t xml:space="preserve">T., </w:t>
      </w:r>
      <w:r w:rsidRPr="00D42DA6">
        <w:rPr>
          <w:rFonts w:ascii="Times New Roman" w:hAnsi="Times New Roman" w:cs="Times New Roman"/>
          <w:lang w:val="en-US"/>
        </w:rPr>
        <w:t>Fumega</w:t>
      </w:r>
      <w:r w:rsidR="001A572F">
        <w:rPr>
          <w:rFonts w:ascii="Times New Roman" w:hAnsi="Times New Roman" w:cs="Times New Roman"/>
          <w:lang w:val="en-US"/>
        </w:rPr>
        <w:t xml:space="preserve">, S.: </w:t>
      </w:r>
      <w:r w:rsidRPr="00D42DA6">
        <w:rPr>
          <w:rFonts w:ascii="Times New Roman" w:hAnsi="Times New Roman" w:cs="Times New Roman"/>
          <w:lang w:val="en-US"/>
        </w:rPr>
        <w:t>Mixed incentives: adopting ICT innovation in the fight against corruption. Practical participation. Draft working paper for U4 Anti-corruption resource centre</w:t>
      </w:r>
      <w:r w:rsidR="001A572F">
        <w:rPr>
          <w:rFonts w:ascii="Times New Roman" w:hAnsi="Times New Roman" w:cs="Times New Roman"/>
          <w:lang w:val="en-US"/>
        </w:rPr>
        <w:t xml:space="preserve"> (2013)</w:t>
      </w:r>
      <w:r w:rsidRPr="00D42DA6">
        <w:rPr>
          <w:rFonts w:ascii="Times New Roman" w:hAnsi="Times New Roman" w:cs="Times New Roman"/>
          <w:lang w:val="en-US"/>
        </w:rPr>
        <w:t>.</w:t>
      </w:r>
    </w:p>
    <w:p w14:paraId="4EB57C81" w14:textId="62F440B1"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Grimmelikhuijsen</w:t>
      </w:r>
      <w:r w:rsidR="001A572F">
        <w:rPr>
          <w:rFonts w:ascii="Times New Roman" w:hAnsi="Times New Roman" w:cs="Times New Roman"/>
          <w:lang w:val="en-US"/>
        </w:rPr>
        <w:t>, S.G.,</w:t>
      </w:r>
      <w:r w:rsidRPr="00D42DA6">
        <w:rPr>
          <w:rFonts w:ascii="Times New Roman" w:hAnsi="Times New Roman" w:cs="Times New Roman"/>
          <w:lang w:val="en-US"/>
        </w:rPr>
        <w:t xml:space="preserve"> Meijer</w:t>
      </w:r>
      <w:r w:rsidR="001A572F">
        <w:rPr>
          <w:rFonts w:ascii="Times New Roman" w:hAnsi="Times New Roman" w:cs="Times New Roman"/>
          <w:lang w:val="en-US"/>
        </w:rPr>
        <w:t>, A.J</w:t>
      </w:r>
      <w:r w:rsidRPr="00D42DA6">
        <w:rPr>
          <w:rFonts w:ascii="Times New Roman" w:hAnsi="Times New Roman" w:cs="Times New Roman"/>
          <w:lang w:val="en-US"/>
        </w:rPr>
        <w:t>.</w:t>
      </w:r>
      <w:r w:rsidR="001A572F">
        <w:rPr>
          <w:rFonts w:ascii="Times New Roman" w:hAnsi="Times New Roman" w:cs="Times New Roman"/>
          <w:lang w:val="en-US"/>
        </w:rPr>
        <w:t>:</w:t>
      </w:r>
      <w:r w:rsidRPr="00D42DA6">
        <w:rPr>
          <w:rFonts w:ascii="Times New Roman" w:hAnsi="Times New Roman" w:cs="Times New Roman"/>
          <w:lang w:val="en-US"/>
        </w:rPr>
        <w:t xml:space="preserve"> The effects of transparency on the perceived trustworthiness of a government organization: Evidence from an online experiment. Journal of Public Administration Research and Theory, 24 (1), 137-157</w:t>
      </w:r>
      <w:r w:rsidR="001A572F">
        <w:rPr>
          <w:rFonts w:ascii="Times New Roman" w:hAnsi="Times New Roman" w:cs="Times New Roman"/>
          <w:lang w:val="en-US"/>
        </w:rPr>
        <w:t xml:space="preserve"> (2014)</w:t>
      </w:r>
      <w:r w:rsidRPr="00D42DA6">
        <w:rPr>
          <w:rFonts w:ascii="Times New Roman" w:hAnsi="Times New Roman" w:cs="Times New Roman"/>
          <w:lang w:val="en-US"/>
        </w:rPr>
        <w:t>.</w:t>
      </w:r>
    </w:p>
    <w:p w14:paraId="2376377C" w14:textId="791C7E3D"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Gronlund</w:t>
      </w:r>
      <w:r w:rsidR="001A572F">
        <w:rPr>
          <w:rFonts w:ascii="Times New Roman" w:hAnsi="Times New Roman" w:cs="Times New Roman"/>
          <w:lang w:val="en-US"/>
        </w:rPr>
        <w:t>, A.:</w:t>
      </w:r>
      <w:r w:rsidRPr="00D42DA6">
        <w:rPr>
          <w:rFonts w:ascii="Times New Roman" w:hAnsi="Times New Roman" w:cs="Times New Roman"/>
          <w:lang w:val="en-US"/>
        </w:rPr>
        <w:t xml:space="preserve"> Using ICT to combat corruption. Increasing transparency and fighting corruption through ICT: empowering people and communities. SPIDER ICT 4D Series 3</w:t>
      </w:r>
      <w:r w:rsidR="001A572F">
        <w:rPr>
          <w:rFonts w:ascii="Times New Roman" w:hAnsi="Times New Roman" w:cs="Times New Roman"/>
          <w:lang w:val="en-US"/>
        </w:rPr>
        <w:t xml:space="preserve"> (2010)</w:t>
      </w:r>
      <w:r w:rsidRPr="00D42DA6">
        <w:rPr>
          <w:rFonts w:ascii="Times New Roman" w:hAnsi="Times New Roman" w:cs="Times New Roman"/>
          <w:lang w:val="en-US"/>
        </w:rPr>
        <w:t>.</w:t>
      </w:r>
    </w:p>
    <w:p w14:paraId="093B42A1" w14:textId="39BE6A67"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 xml:space="preserve">Guidelines for transparency in fiscal, International Monetary Fund </w:t>
      </w:r>
      <w:r w:rsidR="001A572F">
        <w:rPr>
          <w:rFonts w:ascii="Times New Roman" w:hAnsi="Times New Roman" w:cs="Times New Roman"/>
          <w:lang w:val="en-US"/>
        </w:rPr>
        <w:t>(</w:t>
      </w:r>
      <w:r w:rsidRPr="00D42DA6">
        <w:rPr>
          <w:rFonts w:ascii="Times New Roman" w:hAnsi="Times New Roman" w:cs="Times New Roman"/>
          <w:lang w:val="en-US"/>
        </w:rPr>
        <w:t>2007</w:t>
      </w:r>
      <w:r w:rsidR="001A572F">
        <w:rPr>
          <w:rFonts w:ascii="Times New Roman" w:hAnsi="Times New Roman" w:cs="Times New Roman"/>
          <w:lang w:val="en-US"/>
        </w:rPr>
        <w:t>)</w:t>
      </w:r>
      <w:r w:rsidRPr="00D42DA6">
        <w:rPr>
          <w:rFonts w:ascii="Times New Roman" w:hAnsi="Times New Roman" w:cs="Times New Roman"/>
          <w:lang w:val="en-US"/>
        </w:rPr>
        <w:t>. http://www.imf.org/external/np/fad/trans/rus/manualr.pdf</w:t>
      </w:r>
    </w:p>
    <w:p w14:paraId="4177BEE7" w14:textId="13041A74"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Harrison</w:t>
      </w:r>
      <w:r w:rsidR="001A572F">
        <w:rPr>
          <w:rFonts w:ascii="Times New Roman" w:hAnsi="Times New Roman" w:cs="Times New Roman"/>
          <w:lang w:val="en-US"/>
        </w:rPr>
        <w:t>, T.M.</w:t>
      </w:r>
      <w:r w:rsidRPr="00D42DA6">
        <w:rPr>
          <w:rFonts w:ascii="Times New Roman" w:hAnsi="Times New Roman" w:cs="Times New Roman"/>
          <w:lang w:val="en-US"/>
        </w:rPr>
        <w:t>, Sayogo</w:t>
      </w:r>
      <w:r w:rsidR="001A572F">
        <w:rPr>
          <w:rFonts w:ascii="Times New Roman" w:hAnsi="Times New Roman" w:cs="Times New Roman"/>
          <w:lang w:val="en-US"/>
        </w:rPr>
        <w:t>, D.S.:</w:t>
      </w:r>
      <w:r w:rsidRPr="00D42DA6">
        <w:rPr>
          <w:rFonts w:ascii="Times New Roman" w:hAnsi="Times New Roman" w:cs="Times New Roman"/>
          <w:lang w:val="en-US"/>
        </w:rPr>
        <w:t xml:space="preserve"> Open budgets and open government: Beyond disclosure in pursuit of transparency, participation and accountability</w:t>
      </w:r>
      <w:r w:rsidR="001A572F">
        <w:rPr>
          <w:rFonts w:ascii="Times New Roman" w:hAnsi="Times New Roman" w:cs="Times New Roman"/>
          <w:lang w:val="en-US"/>
        </w:rPr>
        <w:t xml:space="preserve">. </w:t>
      </w:r>
      <w:r w:rsidR="001A572F" w:rsidRPr="001A572F">
        <w:rPr>
          <w:rFonts w:ascii="Times New Roman" w:hAnsi="Times New Roman" w:cs="Times New Roman"/>
          <w:lang w:val="en-US"/>
        </w:rPr>
        <w:t>dg.o '13: Proceedings of the 14th Annual International Conference on Digital Government Research</w:t>
      </w:r>
      <w:r w:rsidRPr="00D42DA6">
        <w:rPr>
          <w:rFonts w:ascii="Times New Roman" w:hAnsi="Times New Roman" w:cs="Times New Roman"/>
          <w:lang w:val="en-US"/>
        </w:rPr>
        <w:t>, 235-244</w:t>
      </w:r>
      <w:r w:rsidR="001A572F">
        <w:rPr>
          <w:rFonts w:ascii="Times New Roman" w:hAnsi="Times New Roman" w:cs="Times New Roman"/>
          <w:lang w:val="en-US"/>
        </w:rPr>
        <w:t xml:space="preserve"> (2013)</w:t>
      </w:r>
      <w:r w:rsidRPr="00D42DA6">
        <w:rPr>
          <w:rFonts w:ascii="Times New Roman" w:hAnsi="Times New Roman" w:cs="Times New Roman"/>
          <w:lang w:val="en-US"/>
        </w:rPr>
        <w:t>.</w:t>
      </w:r>
    </w:p>
    <w:p w14:paraId="29E38866" w14:textId="50089076"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Hulstijn</w:t>
      </w:r>
      <w:r w:rsidR="001A572F">
        <w:rPr>
          <w:rFonts w:ascii="Times New Roman" w:hAnsi="Times New Roman" w:cs="Times New Roman"/>
          <w:lang w:val="en-US"/>
        </w:rPr>
        <w:t>, J.,</w:t>
      </w:r>
      <w:r w:rsidRPr="00D42DA6">
        <w:rPr>
          <w:rFonts w:ascii="Times New Roman" w:hAnsi="Times New Roman" w:cs="Times New Roman"/>
          <w:lang w:val="en-US"/>
        </w:rPr>
        <w:t xml:space="preserve"> Darusalam,</w:t>
      </w:r>
      <w:r w:rsidR="001A572F">
        <w:rPr>
          <w:rFonts w:ascii="Times New Roman" w:hAnsi="Times New Roman" w:cs="Times New Roman"/>
          <w:lang w:val="en-US"/>
        </w:rPr>
        <w:t xml:space="preserve"> D.,</w:t>
      </w:r>
      <w:r w:rsidRPr="00D42DA6">
        <w:rPr>
          <w:rFonts w:ascii="Times New Roman" w:hAnsi="Times New Roman" w:cs="Times New Roman"/>
          <w:lang w:val="en-US"/>
        </w:rPr>
        <w:t xml:space="preserve"> Janssen</w:t>
      </w:r>
      <w:r w:rsidR="001A572F">
        <w:rPr>
          <w:rFonts w:ascii="Times New Roman" w:hAnsi="Times New Roman" w:cs="Times New Roman"/>
          <w:lang w:val="en-US"/>
        </w:rPr>
        <w:t>, M</w:t>
      </w:r>
      <w:r w:rsidRPr="00D42DA6">
        <w:rPr>
          <w:rFonts w:ascii="Times New Roman" w:hAnsi="Times New Roman" w:cs="Times New Roman"/>
          <w:lang w:val="en-US"/>
        </w:rPr>
        <w:t>.</w:t>
      </w:r>
      <w:r w:rsidR="001A572F">
        <w:rPr>
          <w:rFonts w:ascii="Times New Roman" w:hAnsi="Times New Roman" w:cs="Times New Roman"/>
          <w:lang w:val="en-US"/>
        </w:rPr>
        <w:t>:</w:t>
      </w:r>
      <w:r w:rsidRPr="00D42DA6">
        <w:rPr>
          <w:rFonts w:ascii="Times New Roman" w:hAnsi="Times New Roman" w:cs="Times New Roman"/>
          <w:lang w:val="en-US"/>
        </w:rPr>
        <w:t xml:space="preserve"> Open data for accountability in the fight against corruption. CEUR Workshop Proceedings, 2051, 52-66</w:t>
      </w:r>
      <w:r w:rsidR="001A572F">
        <w:rPr>
          <w:rFonts w:ascii="Times New Roman" w:hAnsi="Times New Roman" w:cs="Times New Roman"/>
          <w:lang w:val="en-US"/>
        </w:rPr>
        <w:t xml:space="preserve"> (2018)</w:t>
      </w:r>
      <w:r w:rsidRPr="00D42DA6">
        <w:rPr>
          <w:rFonts w:ascii="Times New Roman" w:hAnsi="Times New Roman" w:cs="Times New Roman"/>
          <w:lang w:val="en-US"/>
        </w:rPr>
        <w:t>.</w:t>
      </w:r>
    </w:p>
    <w:p w14:paraId="18F47AC9" w14:textId="7D84E180"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Ivanov</w:t>
      </w:r>
      <w:r w:rsidR="001A572F">
        <w:rPr>
          <w:rFonts w:ascii="Times New Roman" w:hAnsi="Times New Roman" w:cs="Times New Roman"/>
          <w:lang w:val="en-US"/>
        </w:rPr>
        <w:t>, O</w:t>
      </w:r>
      <w:r w:rsidRPr="00D42DA6">
        <w:rPr>
          <w:rFonts w:ascii="Times New Roman" w:hAnsi="Times New Roman" w:cs="Times New Roman"/>
          <w:lang w:val="en-US"/>
        </w:rPr>
        <w:t>.</w:t>
      </w:r>
      <w:r w:rsidR="001A572F">
        <w:rPr>
          <w:rFonts w:ascii="Times New Roman" w:hAnsi="Times New Roman" w:cs="Times New Roman"/>
          <w:lang w:val="en-US"/>
        </w:rPr>
        <w:t>:</w:t>
      </w:r>
      <w:r w:rsidRPr="00D42DA6">
        <w:rPr>
          <w:rFonts w:ascii="Times New Roman" w:hAnsi="Times New Roman" w:cs="Times New Roman"/>
          <w:lang w:val="en-US"/>
        </w:rPr>
        <w:t xml:space="preserve"> Open municipal budget of Khanty-Ugra. Finansy, 12, 77-80</w:t>
      </w:r>
      <w:r w:rsidR="001A572F">
        <w:rPr>
          <w:rFonts w:ascii="Times New Roman" w:hAnsi="Times New Roman" w:cs="Times New Roman"/>
          <w:lang w:val="en-US"/>
        </w:rPr>
        <w:t xml:space="preserve"> (2012).</w:t>
      </w:r>
      <w:r w:rsidRPr="00D42DA6">
        <w:rPr>
          <w:rFonts w:ascii="Times New Roman" w:hAnsi="Times New Roman" w:cs="Times New Roman"/>
          <w:lang w:val="en-US"/>
        </w:rPr>
        <w:t xml:space="preserve"> </w:t>
      </w:r>
      <w:r w:rsidR="00996442">
        <w:rPr>
          <w:rFonts w:ascii="Times New Roman" w:hAnsi="Times New Roman" w:cs="Times New Roman"/>
          <w:lang w:val="en-US"/>
        </w:rPr>
        <w:t>(in Russian)</w:t>
      </w:r>
      <w:r w:rsidRPr="00D42DA6">
        <w:rPr>
          <w:rFonts w:ascii="Times New Roman" w:hAnsi="Times New Roman" w:cs="Times New Roman"/>
          <w:lang w:val="en-US"/>
        </w:rPr>
        <w:t>.</w:t>
      </w:r>
    </w:p>
    <w:p w14:paraId="761740AA" w14:textId="7137E74E"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Khagram,</w:t>
      </w:r>
      <w:r w:rsidR="00996442">
        <w:rPr>
          <w:rFonts w:ascii="Times New Roman" w:hAnsi="Times New Roman" w:cs="Times New Roman"/>
          <w:lang w:val="en-US"/>
        </w:rPr>
        <w:t xml:space="preserve"> S.,</w:t>
      </w:r>
      <w:r w:rsidRPr="00D42DA6">
        <w:rPr>
          <w:rFonts w:ascii="Times New Roman" w:hAnsi="Times New Roman" w:cs="Times New Roman"/>
          <w:lang w:val="en-US"/>
        </w:rPr>
        <w:t xml:space="preserve"> de Renzio</w:t>
      </w:r>
      <w:r w:rsidR="00996442">
        <w:rPr>
          <w:rFonts w:ascii="Times New Roman" w:hAnsi="Times New Roman" w:cs="Times New Roman"/>
          <w:lang w:val="en-US"/>
        </w:rPr>
        <w:t>, P.</w:t>
      </w:r>
      <w:r w:rsidRPr="00D42DA6">
        <w:rPr>
          <w:rFonts w:ascii="Times New Roman" w:hAnsi="Times New Roman" w:cs="Times New Roman"/>
          <w:lang w:val="en-US"/>
        </w:rPr>
        <w:t>, Fung</w:t>
      </w:r>
      <w:r w:rsidR="005416F0">
        <w:rPr>
          <w:rFonts w:ascii="Times New Roman" w:hAnsi="Times New Roman" w:cs="Times New Roman"/>
          <w:lang w:val="en-US"/>
        </w:rPr>
        <w:t>, A</w:t>
      </w:r>
      <w:r w:rsidRPr="00D42DA6">
        <w:rPr>
          <w:rFonts w:ascii="Times New Roman" w:hAnsi="Times New Roman" w:cs="Times New Roman"/>
          <w:lang w:val="en-US"/>
        </w:rPr>
        <w:t>.</w:t>
      </w:r>
      <w:r w:rsidR="005416F0">
        <w:rPr>
          <w:rFonts w:ascii="Times New Roman" w:hAnsi="Times New Roman" w:cs="Times New Roman"/>
          <w:lang w:val="en-US"/>
        </w:rPr>
        <w:t>:</w:t>
      </w:r>
      <w:r w:rsidRPr="00D42DA6">
        <w:rPr>
          <w:rFonts w:ascii="Times New Roman" w:hAnsi="Times New Roman" w:cs="Times New Roman"/>
          <w:lang w:val="en-US"/>
        </w:rPr>
        <w:t xml:space="preserve"> Overview and Synthesis: The Political Economy of Fiscal Transparency, Participation, and Accountability around the World</w:t>
      </w:r>
      <w:r w:rsidR="005416F0">
        <w:rPr>
          <w:rFonts w:ascii="Times New Roman" w:hAnsi="Times New Roman" w:cs="Times New Roman"/>
          <w:lang w:val="en-US"/>
        </w:rPr>
        <w:t xml:space="preserve"> (2012)</w:t>
      </w:r>
      <w:r w:rsidRPr="00D42DA6">
        <w:rPr>
          <w:rFonts w:ascii="Times New Roman" w:hAnsi="Times New Roman" w:cs="Times New Roman"/>
          <w:lang w:val="en-US"/>
        </w:rPr>
        <w:t>. http://www.brookings.edu/~/media/press/books/2012/openbudgets/openbudgets_chapter.pdf</w:t>
      </w:r>
    </w:p>
    <w:p w14:paraId="7518BD2E" w14:textId="284E4E2C"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Kolstad,</w:t>
      </w:r>
      <w:r w:rsidR="00996442">
        <w:rPr>
          <w:rFonts w:ascii="Times New Roman" w:hAnsi="Times New Roman" w:cs="Times New Roman"/>
          <w:lang w:val="en-US"/>
        </w:rPr>
        <w:t xml:space="preserve"> I.,</w:t>
      </w:r>
      <w:r w:rsidRPr="00D42DA6">
        <w:rPr>
          <w:rFonts w:ascii="Times New Roman" w:hAnsi="Times New Roman" w:cs="Times New Roman"/>
          <w:lang w:val="en-US"/>
        </w:rPr>
        <w:t xml:space="preserve"> Wiig</w:t>
      </w:r>
      <w:r w:rsidR="00996442">
        <w:rPr>
          <w:rFonts w:ascii="Times New Roman" w:hAnsi="Times New Roman" w:cs="Times New Roman"/>
          <w:lang w:val="en-US"/>
        </w:rPr>
        <w:t>, A</w:t>
      </w:r>
      <w:r w:rsidRPr="00D42DA6">
        <w:rPr>
          <w:rFonts w:ascii="Times New Roman" w:hAnsi="Times New Roman" w:cs="Times New Roman"/>
          <w:lang w:val="en-US"/>
        </w:rPr>
        <w:t>.</w:t>
      </w:r>
      <w:r w:rsidR="00996442">
        <w:rPr>
          <w:rFonts w:ascii="Times New Roman" w:hAnsi="Times New Roman" w:cs="Times New Roman"/>
          <w:lang w:val="en-US"/>
        </w:rPr>
        <w:t>:</w:t>
      </w:r>
      <w:r w:rsidRPr="00D42DA6">
        <w:rPr>
          <w:rFonts w:ascii="Times New Roman" w:hAnsi="Times New Roman" w:cs="Times New Roman"/>
          <w:lang w:val="en-US"/>
        </w:rPr>
        <w:t xml:space="preserve"> Is Transparency the Key to Reducing Corruption in Resource-Rich Countries? World Development, 37 (3)</w:t>
      </w:r>
      <w:r w:rsidR="00996442">
        <w:rPr>
          <w:rFonts w:ascii="Times New Roman" w:hAnsi="Times New Roman" w:cs="Times New Roman"/>
          <w:lang w:val="en-US"/>
        </w:rPr>
        <w:t>,</w:t>
      </w:r>
      <w:r w:rsidRPr="00D42DA6">
        <w:rPr>
          <w:rFonts w:ascii="Times New Roman" w:hAnsi="Times New Roman" w:cs="Times New Roman"/>
          <w:lang w:val="en-US"/>
        </w:rPr>
        <w:t xml:space="preserve"> 521-532</w:t>
      </w:r>
      <w:r w:rsidR="00996442">
        <w:rPr>
          <w:rFonts w:ascii="Times New Roman" w:hAnsi="Times New Roman" w:cs="Times New Roman"/>
          <w:lang w:val="en-US"/>
        </w:rPr>
        <w:t xml:space="preserve"> (2009)</w:t>
      </w:r>
      <w:r w:rsidRPr="00D42DA6">
        <w:rPr>
          <w:rFonts w:ascii="Times New Roman" w:hAnsi="Times New Roman" w:cs="Times New Roman"/>
          <w:lang w:val="en-US"/>
        </w:rPr>
        <w:t>.</w:t>
      </w:r>
    </w:p>
    <w:p w14:paraId="511E7EA1" w14:textId="2C6AFD09"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Kossow,</w:t>
      </w:r>
      <w:r w:rsidR="00996442">
        <w:rPr>
          <w:rFonts w:ascii="Times New Roman" w:hAnsi="Times New Roman" w:cs="Times New Roman"/>
          <w:lang w:val="en-US"/>
        </w:rPr>
        <w:t xml:space="preserve"> N.,</w:t>
      </w:r>
      <w:r w:rsidRPr="00D42DA6">
        <w:rPr>
          <w:rFonts w:ascii="Times New Roman" w:hAnsi="Times New Roman" w:cs="Times New Roman"/>
          <w:lang w:val="en-US"/>
        </w:rPr>
        <w:t xml:space="preserve"> Dykes</w:t>
      </w:r>
      <w:r w:rsidR="00996442">
        <w:rPr>
          <w:rFonts w:ascii="Times New Roman" w:hAnsi="Times New Roman" w:cs="Times New Roman"/>
          <w:lang w:val="en-US"/>
        </w:rPr>
        <w:t>, V</w:t>
      </w:r>
      <w:r w:rsidRPr="00D42DA6">
        <w:rPr>
          <w:rFonts w:ascii="Times New Roman" w:hAnsi="Times New Roman" w:cs="Times New Roman"/>
          <w:lang w:val="en-US"/>
        </w:rPr>
        <w:t>.</w:t>
      </w:r>
      <w:r w:rsidR="00996442">
        <w:rPr>
          <w:rFonts w:ascii="Times New Roman" w:hAnsi="Times New Roman" w:cs="Times New Roman"/>
          <w:lang w:val="en-US"/>
        </w:rPr>
        <w:t>:</w:t>
      </w:r>
      <w:r w:rsidRPr="00D42DA6">
        <w:rPr>
          <w:rFonts w:ascii="Times New Roman" w:hAnsi="Times New Roman" w:cs="Times New Roman"/>
          <w:lang w:val="en-US"/>
        </w:rPr>
        <w:t xml:space="preserve"> Embracing Digitalisation: How to use ICT to strengthen Anti-Corruption. Deutsche Gesellschaft fuer Internationale Zusammenarbeit (GIZ)</w:t>
      </w:r>
      <w:r w:rsidR="00996442">
        <w:rPr>
          <w:rFonts w:ascii="Times New Roman" w:hAnsi="Times New Roman" w:cs="Times New Roman"/>
          <w:lang w:val="en-US"/>
        </w:rPr>
        <w:t xml:space="preserve"> (2018)</w:t>
      </w:r>
      <w:r w:rsidRPr="00D42DA6">
        <w:rPr>
          <w:rFonts w:ascii="Times New Roman" w:hAnsi="Times New Roman" w:cs="Times New Roman"/>
          <w:lang w:val="en-US"/>
        </w:rPr>
        <w:t>.</w:t>
      </w:r>
    </w:p>
    <w:p w14:paraId="19ECB624" w14:textId="0B422D32"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Lindgren</w:t>
      </w:r>
      <w:r w:rsidR="00996442">
        <w:rPr>
          <w:rFonts w:ascii="Times New Roman" w:hAnsi="Times New Roman" w:cs="Times New Roman"/>
          <w:lang w:val="en-US"/>
        </w:rPr>
        <w:t>, T.</w:t>
      </w:r>
      <w:r w:rsidRPr="00D42DA6">
        <w:rPr>
          <w:rFonts w:ascii="Times New Roman" w:hAnsi="Times New Roman" w:cs="Times New Roman"/>
          <w:lang w:val="en-US"/>
        </w:rPr>
        <w:t>, Ekenberg</w:t>
      </w:r>
      <w:r w:rsidR="00996442">
        <w:rPr>
          <w:rFonts w:ascii="Times New Roman" w:hAnsi="Times New Roman" w:cs="Times New Roman"/>
          <w:lang w:val="en-US"/>
        </w:rPr>
        <w:t>, L.</w:t>
      </w:r>
      <w:r w:rsidRPr="00D42DA6">
        <w:rPr>
          <w:rFonts w:ascii="Times New Roman" w:hAnsi="Times New Roman" w:cs="Times New Roman"/>
          <w:lang w:val="en-US"/>
        </w:rPr>
        <w:t xml:space="preserve">, Nouri, </w:t>
      </w:r>
      <w:r w:rsidR="00996442">
        <w:rPr>
          <w:rFonts w:ascii="Times New Roman" w:hAnsi="Times New Roman" w:cs="Times New Roman"/>
          <w:lang w:val="en-US"/>
        </w:rPr>
        <w:t xml:space="preserve">J., </w:t>
      </w:r>
      <w:r w:rsidRPr="00D42DA6">
        <w:rPr>
          <w:rFonts w:ascii="Times New Roman" w:hAnsi="Times New Roman" w:cs="Times New Roman"/>
          <w:lang w:val="en-US"/>
        </w:rPr>
        <w:t>Talantsev,</w:t>
      </w:r>
      <w:r w:rsidR="00996442">
        <w:rPr>
          <w:rFonts w:ascii="Times New Roman" w:hAnsi="Times New Roman" w:cs="Times New Roman"/>
          <w:lang w:val="en-US"/>
        </w:rPr>
        <w:t xml:space="preserve"> A.,</w:t>
      </w:r>
      <w:r w:rsidRPr="00D42DA6">
        <w:rPr>
          <w:rFonts w:ascii="Times New Roman" w:hAnsi="Times New Roman" w:cs="Times New Roman"/>
          <w:lang w:val="en-US"/>
        </w:rPr>
        <w:t xml:space="preserve"> Hansson</w:t>
      </w:r>
      <w:r w:rsidR="00996442">
        <w:rPr>
          <w:rFonts w:ascii="Times New Roman" w:hAnsi="Times New Roman" w:cs="Times New Roman"/>
          <w:lang w:val="en-US"/>
        </w:rPr>
        <w:t>, K</w:t>
      </w:r>
      <w:r w:rsidRPr="00D42DA6">
        <w:rPr>
          <w:rFonts w:ascii="Times New Roman" w:hAnsi="Times New Roman" w:cs="Times New Roman"/>
          <w:lang w:val="en-US"/>
        </w:rPr>
        <w:t>.</w:t>
      </w:r>
      <w:r w:rsidR="00996442">
        <w:rPr>
          <w:rFonts w:ascii="Times New Roman" w:hAnsi="Times New Roman" w:cs="Times New Roman"/>
          <w:lang w:val="en-US"/>
        </w:rPr>
        <w:t>:</w:t>
      </w:r>
      <w:r w:rsidRPr="00D42DA6">
        <w:rPr>
          <w:rFonts w:ascii="Times New Roman" w:hAnsi="Times New Roman" w:cs="Times New Roman"/>
          <w:lang w:val="en-US"/>
        </w:rPr>
        <w:t xml:space="preserve"> Open government ideologies in post-soviet countries. International Journal of Electronic Governance, 8 (3), 256-272</w:t>
      </w:r>
      <w:r w:rsidR="00996442">
        <w:rPr>
          <w:rFonts w:ascii="Times New Roman" w:hAnsi="Times New Roman" w:cs="Times New Roman"/>
          <w:lang w:val="en-US"/>
        </w:rPr>
        <w:t xml:space="preserve"> (2016)</w:t>
      </w:r>
      <w:r w:rsidRPr="00D42DA6">
        <w:rPr>
          <w:rFonts w:ascii="Times New Roman" w:hAnsi="Times New Roman" w:cs="Times New Roman"/>
          <w:lang w:val="en-US"/>
        </w:rPr>
        <w:t>.</w:t>
      </w:r>
    </w:p>
    <w:p w14:paraId="291439C7" w14:textId="1EFFC4B2"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Machova</w:t>
      </w:r>
      <w:r w:rsidR="00996442">
        <w:rPr>
          <w:rFonts w:ascii="Times New Roman" w:hAnsi="Times New Roman" w:cs="Times New Roman"/>
          <w:lang w:val="en-US"/>
        </w:rPr>
        <w:t>, R</w:t>
      </w:r>
      <w:r w:rsidRPr="00D42DA6">
        <w:rPr>
          <w:rFonts w:ascii="Times New Roman" w:hAnsi="Times New Roman" w:cs="Times New Roman"/>
          <w:lang w:val="en-US"/>
        </w:rPr>
        <w:t>.</w:t>
      </w:r>
      <w:r w:rsidR="00996442">
        <w:rPr>
          <w:rFonts w:ascii="Times New Roman" w:hAnsi="Times New Roman" w:cs="Times New Roman"/>
          <w:lang w:val="en-US"/>
        </w:rPr>
        <w:t>:</w:t>
      </w:r>
      <w:r w:rsidRPr="00D42DA6">
        <w:rPr>
          <w:rFonts w:ascii="Times New Roman" w:hAnsi="Times New Roman" w:cs="Times New Roman"/>
          <w:lang w:val="en-US"/>
        </w:rPr>
        <w:t xml:space="preserve"> Measuring the Effects of Open Data on the Level of Corruption. Proceedings of the 21th International Conference "Current Trends in Public Sector Research"</w:t>
      </w:r>
      <w:r w:rsidR="00996442">
        <w:rPr>
          <w:rFonts w:ascii="Times New Roman" w:hAnsi="Times New Roman" w:cs="Times New Roman"/>
          <w:lang w:val="en-US"/>
        </w:rPr>
        <w:t xml:space="preserve"> (2017)</w:t>
      </w:r>
      <w:r w:rsidRPr="00D42DA6">
        <w:rPr>
          <w:rFonts w:ascii="Times New Roman" w:hAnsi="Times New Roman" w:cs="Times New Roman"/>
          <w:lang w:val="en-US"/>
        </w:rPr>
        <w:t>.</w:t>
      </w:r>
    </w:p>
    <w:p w14:paraId="07F951B3" w14:textId="1EDC984A"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ODDC conceptual framework. Researching the emerging impacts of open data</w:t>
      </w:r>
      <w:r w:rsidR="00996442">
        <w:rPr>
          <w:rFonts w:ascii="Times New Roman" w:hAnsi="Times New Roman" w:cs="Times New Roman"/>
          <w:lang w:val="en-US"/>
        </w:rPr>
        <w:t xml:space="preserve"> (2013).</w:t>
      </w:r>
      <w:r w:rsidRPr="00D42DA6">
        <w:rPr>
          <w:rFonts w:ascii="Times New Roman" w:hAnsi="Times New Roman" w:cs="Times New Roman"/>
          <w:lang w:val="en-US"/>
        </w:rPr>
        <w:t xml:space="preserve"> http://www.opendataresearch.org/sites/default/files/posts/Researching%20the%20emerging%20impacts%20of%20open%20data.pdf</w:t>
      </w:r>
    </w:p>
    <w:p w14:paraId="02C001AB" w14:textId="77777777"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OECD Best Practices for Budget Transparency. http://www.oecd.org/dataoecd/33/13/1905258.pdf</w:t>
      </w:r>
    </w:p>
    <w:p w14:paraId="1B0CB518" w14:textId="122EAE75"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Organization for economic cooperation and development. Fighting corruption: what role for civil society? The Experience of the OECD. Paris</w:t>
      </w:r>
      <w:r w:rsidR="00996442">
        <w:rPr>
          <w:rFonts w:ascii="Times New Roman" w:hAnsi="Times New Roman" w:cs="Times New Roman"/>
          <w:lang w:val="en-US"/>
        </w:rPr>
        <w:t xml:space="preserve"> (2003)</w:t>
      </w:r>
      <w:r w:rsidRPr="00D42DA6">
        <w:rPr>
          <w:rFonts w:ascii="Times New Roman" w:hAnsi="Times New Roman" w:cs="Times New Roman"/>
          <w:lang w:val="en-US"/>
        </w:rPr>
        <w:t>.</w:t>
      </w:r>
    </w:p>
    <w:p w14:paraId="518C277F" w14:textId="5DD1CEE2"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Parkhimovich,</w:t>
      </w:r>
      <w:r w:rsidR="00996442">
        <w:rPr>
          <w:rFonts w:ascii="Times New Roman" w:hAnsi="Times New Roman" w:cs="Times New Roman"/>
          <w:lang w:val="en-US"/>
        </w:rPr>
        <w:t xml:space="preserve"> O.,</w:t>
      </w:r>
      <w:r w:rsidRPr="00D42DA6">
        <w:rPr>
          <w:rFonts w:ascii="Times New Roman" w:hAnsi="Times New Roman" w:cs="Times New Roman"/>
          <w:lang w:val="en-US"/>
        </w:rPr>
        <w:t xml:space="preserve"> Vlasov, </w:t>
      </w:r>
      <w:r w:rsidR="00996442">
        <w:rPr>
          <w:rFonts w:ascii="Times New Roman" w:hAnsi="Times New Roman" w:cs="Times New Roman"/>
          <w:lang w:val="en-US"/>
        </w:rPr>
        <w:t xml:space="preserve">V., </w:t>
      </w:r>
      <w:r w:rsidRPr="00D42DA6">
        <w:rPr>
          <w:rFonts w:ascii="Times New Roman" w:hAnsi="Times New Roman" w:cs="Times New Roman"/>
          <w:lang w:val="en-US"/>
        </w:rPr>
        <w:t>Mouromtsev</w:t>
      </w:r>
      <w:r w:rsidR="00996442">
        <w:rPr>
          <w:rFonts w:ascii="Times New Roman" w:hAnsi="Times New Roman" w:cs="Times New Roman"/>
          <w:lang w:val="en-US"/>
        </w:rPr>
        <w:t>, D</w:t>
      </w:r>
      <w:r w:rsidRPr="00D42DA6">
        <w:rPr>
          <w:rFonts w:ascii="Times New Roman" w:hAnsi="Times New Roman" w:cs="Times New Roman"/>
          <w:lang w:val="en-US"/>
        </w:rPr>
        <w:t>.</w:t>
      </w:r>
      <w:r w:rsidR="00996442">
        <w:rPr>
          <w:rFonts w:ascii="Times New Roman" w:hAnsi="Times New Roman" w:cs="Times New Roman"/>
          <w:lang w:val="en-US"/>
        </w:rPr>
        <w:t>:</w:t>
      </w:r>
      <w:r w:rsidRPr="00D42DA6">
        <w:rPr>
          <w:rFonts w:ascii="Times New Roman" w:hAnsi="Times New Roman" w:cs="Times New Roman"/>
          <w:lang w:val="en-US"/>
        </w:rPr>
        <w:t xml:space="preserve"> Ontology development of open government data on example of St. Petersburg budget expenditures. Nauchno-tehnicheskij vestnik informacionnyh tehnologij, mehaniki i optiki, 6 (82), 141-146 </w:t>
      </w:r>
      <w:r w:rsidR="00996442">
        <w:rPr>
          <w:rFonts w:ascii="Times New Roman" w:hAnsi="Times New Roman" w:cs="Times New Roman"/>
          <w:lang w:val="en-US"/>
        </w:rPr>
        <w:t>(2012). (in Russian)</w:t>
      </w:r>
      <w:r w:rsidRPr="00D42DA6">
        <w:rPr>
          <w:rFonts w:ascii="Times New Roman" w:hAnsi="Times New Roman" w:cs="Times New Roman"/>
          <w:lang w:val="en-US"/>
        </w:rPr>
        <w:t>.</w:t>
      </w:r>
    </w:p>
    <w:p w14:paraId="08D41273" w14:textId="174A7951"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lastRenderedPageBreak/>
        <w:t>Rajshree</w:t>
      </w:r>
      <w:r w:rsidR="00996442">
        <w:rPr>
          <w:rFonts w:ascii="Times New Roman" w:hAnsi="Times New Roman" w:cs="Times New Roman"/>
          <w:lang w:val="en-US"/>
        </w:rPr>
        <w:t>, N.</w:t>
      </w:r>
      <w:r w:rsidRPr="00D42DA6">
        <w:rPr>
          <w:rFonts w:ascii="Times New Roman" w:hAnsi="Times New Roman" w:cs="Times New Roman"/>
          <w:lang w:val="en-US"/>
        </w:rPr>
        <w:t>, Srivastava</w:t>
      </w:r>
      <w:r w:rsidR="00996442">
        <w:rPr>
          <w:rFonts w:ascii="Times New Roman" w:hAnsi="Times New Roman" w:cs="Times New Roman"/>
          <w:lang w:val="en-US"/>
        </w:rPr>
        <w:t>, B.:</w:t>
      </w:r>
      <w:r w:rsidRPr="00D42DA6">
        <w:rPr>
          <w:rFonts w:ascii="Times New Roman" w:hAnsi="Times New Roman" w:cs="Times New Roman"/>
          <w:lang w:val="en-US"/>
        </w:rPr>
        <w:t xml:space="preserve"> Open Government Data for Tackling Corruption - A Perspective. Semantic Cities. AAAI Technical Report WS-12-13</w:t>
      </w:r>
      <w:r w:rsidR="00996442">
        <w:rPr>
          <w:rFonts w:ascii="Times New Roman" w:hAnsi="Times New Roman" w:cs="Times New Roman"/>
          <w:lang w:val="en-US"/>
        </w:rPr>
        <w:t xml:space="preserve"> (2012)</w:t>
      </w:r>
      <w:r w:rsidRPr="00D42DA6">
        <w:rPr>
          <w:rFonts w:ascii="Times New Roman" w:hAnsi="Times New Roman" w:cs="Times New Roman"/>
          <w:lang w:val="en-US"/>
        </w:rPr>
        <w:t>.</w:t>
      </w:r>
    </w:p>
    <w:p w14:paraId="4AD47B0D" w14:textId="0E151C55"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Ruijer,</w:t>
      </w:r>
      <w:r w:rsidR="00996442">
        <w:rPr>
          <w:rFonts w:ascii="Times New Roman" w:hAnsi="Times New Roman" w:cs="Times New Roman"/>
          <w:lang w:val="en-US"/>
        </w:rPr>
        <w:t xml:space="preserve"> E.,</w:t>
      </w:r>
      <w:r w:rsidRPr="00D42DA6">
        <w:rPr>
          <w:rFonts w:ascii="Times New Roman" w:hAnsi="Times New Roman" w:cs="Times New Roman"/>
          <w:lang w:val="en-US"/>
        </w:rPr>
        <w:t xml:space="preserve"> Grimmelikhuijsen</w:t>
      </w:r>
      <w:r w:rsidR="00996442">
        <w:rPr>
          <w:rFonts w:ascii="Times New Roman" w:hAnsi="Times New Roman" w:cs="Times New Roman"/>
          <w:lang w:val="en-US"/>
        </w:rPr>
        <w:t>, S.</w:t>
      </w:r>
      <w:r w:rsidRPr="00D42DA6">
        <w:rPr>
          <w:rFonts w:ascii="Times New Roman" w:hAnsi="Times New Roman" w:cs="Times New Roman"/>
          <w:lang w:val="en-US"/>
        </w:rPr>
        <w:t>, Meijer</w:t>
      </w:r>
      <w:r w:rsidR="00996442">
        <w:rPr>
          <w:rFonts w:ascii="Times New Roman" w:hAnsi="Times New Roman" w:cs="Times New Roman"/>
          <w:lang w:val="en-US"/>
        </w:rPr>
        <w:t>, A</w:t>
      </w:r>
      <w:r w:rsidRPr="00D42DA6">
        <w:rPr>
          <w:rFonts w:ascii="Times New Roman" w:hAnsi="Times New Roman" w:cs="Times New Roman"/>
          <w:lang w:val="en-US"/>
        </w:rPr>
        <w:t>.</w:t>
      </w:r>
      <w:r w:rsidR="00996442">
        <w:rPr>
          <w:rFonts w:ascii="Times New Roman" w:hAnsi="Times New Roman" w:cs="Times New Roman"/>
          <w:lang w:val="en-US"/>
        </w:rPr>
        <w:t>:</w:t>
      </w:r>
      <w:r w:rsidRPr="00D42DA6">
        <w:rPr>
          <w:rFonts w:ascii="Times New Roman" w:hAnsi="Times New Roman" w:cs="Times New Roman"/>
          <w:lang w:val="en-US"/>
        </w:rPr>
        <w:t xml:space="preserve"> Open data for democracy: Developing a theoretical framework for open data use. Government Information Quarterly, 34(1), 45-52</w:t>
      </w:r>
      <w:r w:rsidR="00996442">
        <w:rPr>
          <w:rFonts w:ascii="Times New Roman" w:hAnsi="Times New Roman" w:cs="Times New Roman"/>
          <w:lang w:val="en-US"/>
        </w:rPr>
        <w:t xml:space="preserve"> (2017)</w:t>
      </w:r>
      <w:r w:rsidRPr="00D42DA6">
        <w:rPr>
          <w:rFonts w:ascii="Times New Roman" w:hAnsi="Times New Roman" w:cs="Times New Roman"/>
          <w:lang w:val="en-US"/>
        </w:rPr>
        <w:t>.  https://doi.org/10.1016/j.giq.2017.01.001</w:t>
      </w:r>
    </w:p>
    <w:p w14:paraId="5481812E" w14:textId="2A5A9002"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Secret "stocking". Novye izvestiya, October 15</w:t>
      </w:r>
      <w:r w:rsidR="00996442">
        <w:rPr>
          <w:rFonts w:ascii="Times New Roman" w:hAnsi="Times New Roman" w:cs="Times New Roman"/>
          <w:lang w:val="en-US"/>
        </w:rPr>
        <w:t xml:space="preserve"> (2013).</w:t>
      </w:r>
      <w:r w:rsidRPr="00D42DA6">
        <w:rPr>
          <w:rFonts w:ascii="Times New Roman" w:hAnsi="Times New Roman" w:cs="Times New Roman"/>
          <w:lang w:val="en-US"/>
        </w:rPr>
        <w:t xml:space="preserve"> </w:t>
      </w:r>
      <w:r w:rsidR="00996442">
        <w:rPr>
          <w:rFonts w:ascii="Times New Roman" w:hAnsi="Times New Roman" w:cs="Times New Roman"/>
          <w:lang w:val="en-US"/>
        </w:rPr>
        <w:t>(in Russian)</w:t>
      </w:r>
    </w:p>
    <w:p w14:paraId="0745AB4A" w14:textId="58ECE4DC"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Seifert,</w:t>
      </w:r>
      <w:r w:rsidR="00996442">
        <w:rPr>
          <w:rFonts w:ascii="Times New Roman" w:hAnsi="Times New Roman" w:cs="Times New Roman"/>
          <w:lang w:val="en-US"/>
        </w:rPr>
        <w:t xml:space="preserve"> J.,</w:t>
      </w:r>
      <w:r w:rsidRPr="00D42DA6">
        <w:rPr>
          <w:rFonts w:ascii="Times New Roman" w:hAnsi="Times New Roman" w:cs="Times New Roman"/>
          <w:lang w:val="en-US"/>
        </w:rPr>
        <w:t xml:space="preserve"> Carlitz, </w:t>
      </w:r>
      <w:r w:rsidR="00996442">
        <w:rPr>
          <w:rFonts w:ascii="Times New Roman" w:hAnsi="Times New Roman" w:cs="Times New Roman"/>
          <w:lang w:val="en-US"/>
        </w:rPr>
        <w:t xml:space="preserve">R., </w:t>
      </w:r>
      <w:r w:rsidRPr="00D42DA6">
        <w:rPr>
          <w:rFonts w:ascii="Times New Roman" w:hAnsi="Times New Roman" w:cs="Times New Roman"/>
          <w:lang w:val="en-US"/>
        </w:rPr>
        <w:t>Mondo</w:t>
      </w:r>
      <w:r w:rsidR="00996442">
        <w:rPr>
          <w:rFonts w:ascii="Times New Roman" w:hAnsi="Times New Roman" w:cs="Times New Roman"/>
          <w:lang w:val="en-US"/>
        </w:rPr>
        <w:t>, E</w:t>
      </w:r>
      <w:r w:rsidRPr="00D42DA6">
        <w:rPr>
          <w:rFonts w:ascii="Times New Roman" w:hAnsi="Times New Roman" w:cs="Times New Roman"/>
          <w:lang w:val="en-US"/>
        </w:rPr>
        <w:t>.</w:t>
      </w:r>
      <w:r w:rsidR="00996442">
        <w:rPr>
          <w:rFonts w:ascii="Times New Roman" w:hAnsi="Times New Roman" w:cs="Times New Roman"/>
          <w:lang w:val="en-US"/>
        </w:rPr>
        <w:t>:</w:t>
      </w:r>
      <w:r w:rsidRPr="00D42DA6">
        <w:rPr>
          <w:rFonts w:ascii="Times New Roman" w:hAnsi="Times New Roman" w:cs="Times New Roman"/>
          <w:lang w:val="en-US"/>
        </w:rPr>
        <w:t xml:space="preserve"> The Open Budget Index (OBI) as a Comparative Statistical Tool. Journal of Comparative Policy Analysis: Research and Practice, 15 (1)</w:t>
      </w:r>
      <w:r w:rsidR="00996442">
        <w:rPr>
          <w:rFonts w:ascii="Times New Roman" w:hAnsi="Times New Roman" w:cs="Times New Roman"/>
          <w:lang w:val="en-US"/>
        </w:rPr>
        <w:t>,</w:t>
      </w:r>
      <w:r w:rsidRPr="00D42DA6">
        <w:rPr>
          <w:rFonts w:ascii="Times New Roman" w:hAnsi="Times New Roman" w:cs="Times New Roman"/>
          <w:lang w:val="en-US"/>
        </w:rPr>
        <w:t xml:space="preserve"> 87-101</w:t>
      </w:r>
      <w:r w:rsidR="00996442">
        <w:rPr>
          <w:rFonts w:ascii="Times New Roman" w:hAnsi="Times New Roman" w:cs="Times New Roman"/>
          <w:lang w:val="en-US"/>
        </w:rPr>
        <w:t xml:space="preserve"> (2013)</w:t>
      </w:r>
      <w:r w:rsidRPr="00D42DA6">
        <w:rPr>
          <w:rFonts w:ascii="Times New Roman" w:hAnsi="Times New Roman" w:cs="Times New Roman"/>
          <w:lang w:val="en-US"/>
        </w:rPr>
        <w:t>.</w:t>
      </w:r>
    </w:p>
    <w:p w14:paraId="16C8E6BD" w14:textId="092F0930"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Sedmihradska,</w:t>
      </w:r>
      <w:r w:rsidR="00996442">
        <w:rPr>
          <w:rFonts w:ascii="Times New Roman" w:hAnsi="Times New Roman" w:cs="Times New Roman"/>
          <w:lang w:val="en-US"/>
        </w:rPr>
        <w:t xml:space="preserve"> L.,</w:t>
      </w:r>
      <w:r w:rsidRPr="00D42DA6">
        <w:rPr>
          <w:rFonts w:ascii="Times New Roman" w:hAnsi="Times New Roman" w:cs="Times New Roman"/>
          <w:lang w:val="en-US"/>
        </w:rPr>
        <w:t xml:space="preserve"> Haas</w:t>
      </w:r>
      <w:r w:rsidR="00996442">
        <w:rPr>
          <w:rFonts w:ascii="Times New Roman" w:hAnsi="Times New Roman" w:cs="Times New Roman"/>
          <w:lang w:val="en-US"/>
        </w:rPr>
        <w:t>, J</w:t>
      </w:r>
      <w:r w:rsidRPr="00D42DA6">
        <w:rPr>
          <w:rFonts w:ascii="Times New Roman" w:hAnsi="Times New Roman" w:cs="Times New Roman"/>
          <w:lang w:val="en-US"/>
        </w:rPr>
        <w:t>.</w:t>
      </w:r>
      <w:r w:rsidR="00996442">
        <w:rPr>
          <w:rFonts w:ascii="Times New Roman" w:hAnsi="Times New Roman" w:cs="Times New Roman"/>
          <w:lang w:val="en-US"/>
        </w:rPr>
        <w:t>:</w:t>
      </w:r>
      <w:r w:rsidRPr="00D42DA6">
        <w:rPr>
          <w:rFonts w:ascii="Times New Roman" w:hAnsi="Times New Roman" w:cs="Times New Roman"/>
          <w:lang w:val="en-US"/>
        </w:rPr>
        <w:t xml:space="preserve"> Budget transparency and performance: Do open budgets matter? MPRA Paper No. 42260. Munich Personal RePEc Archive</w:t>
      </w:r>
      <w:r w:rsidR="00996442">
        <w:rPr>
          <w:rFonts w:ascii="Times New Roman" w:hAnsi="Times New Roman" w:cs="Times New Roman"/>
          <w:lang w:val="en-US"/>
        </w:rPr>
        <w:t xml:space="preserve"> (2012)</w:t>
      </w:r>
      <w:r w:rsidRPr="00D42DA6">
        <w:rPr>
          <w:rFonts w:ascii="Times New Roman" w:hAnsi="Times New Roman" w:cs="Times New Roman"/>
          <w:lang w:val="en-US"/>
        </w:rPr>
        <w:t>.</w:t>
      </w:r>
    </w:p>
    <w:p w14:paraId="3448A49F" w14:textId="40048D5D"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Ear-Dupuy</w:t>
      </w:r>
      <w:r w:rsidR="00996442">
        <w:rPr>
          <w:rFonts w:ascii="Times New Roman" w:hAnsi="Times New Roman" w:cs="Times New Roman"/>
          <w:lang w:val="en-US"/>
        </w:rPr>
        <w:t>, H.</w:t>
      </w:r>
      <w:r w:rsidRPr="00D42DA6">
        <w:rPr>
          <w:rFonts w:ascii="Times New Roman" w:hAnsi="Times New Roman" w:cs="Times New Roman"/>
          <w:lang w:val="en-US"/>
        </w:rPr>
        <w:t>, Serrat</w:t>
      </w:r>
      <w:r w:rsidR="00996442">
        <w:rPr>
          <w:rFonts w:ascii="Times New Roman" w:hAnsi="Times New Roman" w:cs="Times New Roman"/>
          <w:lang w:val="en-US"/>
        </w:rPr>
        <w:t>, O</w:t>
      </w:r>
      <w:r w:rsidRPr="00D42DA6">
        <w:rPr>
          <w:rFonts w:ascii="Times New Roman" w:hAnsi="Times New Roman" w:cs="Times New Roman"/>
          <w:lang w:val="en-US"/>
        </w:rPr>
        <w:t>.</w:t>
      </w:r>
      <w:r w:rsidR="00996442">
        <w:rPr>
          <w:rFonts w:ascii="Times New Roman" w:hAnsi="Times New Roman" w:cs="Times New Roman"/>
          <w:lang w:val="en-US"/>
        </w:rPr>
        <w:t>:</w:t>
      </w:r>
      <w:r w:rsidRPr="00D42DA6">
        <w:rPr>
          <w:rFonts w:ascii="Times New Roman" w:hAnsi="Times New Roman" w:cs="Times New Roman"/>
          <w:lang w:val="en-US"/>
        </w:rPr>
        <w:t xml:space="preserve"> Fighting corruption with ICT: strengthening civil society's role. Knowledge Solutions, 797-811</w:t>
      </w:r>
      <w:r w:rsidR="00996442">
        <w:rPr>
          <w:rFonts w:ascii="Times New Roman" w:hAnsi="Times New Roman" w:cs="Times New Roman"/>
          <w:lang w:val="en-US"/>
        </w:rPr>
        <w:t xml:space="preserve"> (2017)</w:t>
      </w:r>
      <w:r w:rsidRPr="00D42DA6">
        <w:rPr>
          <w:rFonts w:ascii="Times New Roman" w:hAnsi="Times New Roman" w:cs="Times New Roman"/>
          <w:lang w:val="en-US"/>
        </w:rPr>
        <w:t>. https://doi.org/10.1007/978-981-10-0983-9_86</w:t>
      </w:r>
    </w:p>
    <w:p w14:paraId="61E037EF" w14:textId="402306A0"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Styrin</w:t>
      </w:r>
      <w:r w:rsidR="00996442">
        <w:rPr>
          <w:rFonts w:ascii="Times New Roman" w:hAnsi="Times New Roman" w:cs="Times New Roman"/>
          <w:lang w:val="en-US"/>
        </w:rPr>
        <w:t>, E.</w:t>
      </w:r>
      <w:r w:rsidRPr="00D42DA6">
        <w:rPr>
          <w:rFonts w:ascii="Times New Roman" w:hAnsi="Times New Roman" w:cs="Times New Roman"/>
          <w:lang w:val="en-US"/>
        </w:rPr>
        <w:t>, Dmitrieva</w:t>
      </w:r>
      <w:r w:rsidR="00996442">
        <w:rPr>
          <w:rFonts w:ascii="Times New Roman" w:hAnsi="Times New Roman" w:cs="Times New Roman"/>
          <w:lang w:val="en-US"/>
        </w:rPr>
        <w:t>, N.</w:t>
      </w:r>
      <w:r w:rsidRPr="00D42DA6">
        <w:rPr>
          <w:rFonts w:ascii="Times New Roman" w:hAnsi="Times New Roman" w:cs="Times New Roman"/>
          <w:lang w:val="en-US"/>
        </w:rPr>
        <w:t>, Zhulin</w:t>
      </w:r>
      <w:r w:rsidR="00996442">
        <w:rPr>
          <w:rFonts w:ascii="Times New Roman" w:hAnsi="Times New Roman" w:cs="Times New Roman"/>
          <w:lang w:val="en-US"/>
        </w:rPr>
        <w:t>, A</w:t>
      </w:r>
      <w:r w:rsidRPr="00D42DA6">
        <w:rPr>
          <w:rFonts w:ascii="Times New Roman" w:hAnsi="Times New Roman" w:cs="Times New Roman"/>
          <w:lang w:val="en-US"/>
        </w:rPr>
        <w:t>.</w:t>
      </w:r>
      <w:r w:rsidR="00996442">
        <w:rPr>
          <w:rFonts w:ascii="Times New Roman" w:hAnsi="Times New Roman" w:cs="Times New Roman"/>
          <w:lang w:val="en-US"/>
        </w:rPr>
        <w:t>:</w:t>
      </w:r>
      <w:r w:rsidRPr="00D42DA6">
        <w:rPr>
          <w:rFonts w:ascii="Times New Roman" w:hAnsi="Times New Roman" w:cs="Times New Roman"/>
          <w:lang w:val="en-US"/>
        </w:rPr>
        <w:t xml:space="preserve"> Openness evaluation framework for public agencies. Proceedings of the 7th International Conference on Theory and Practice of Electronic Governance, ICEGOV 2013, 370-371</w:t>
      </w:r>
      <w:r w:rsidR="00996442">
        <w:rPr>
          <w:rFonts w:ascii="Times New Roman" w:hAnsi="Times New Roman" w:cs="Times New Roman"/>
          <w:lang w:val="en-US"/>
        </w:rPr>
        <w:t xml:space="preserve"> (2013)</w:t>
      </w:r>
      <w:r w:rsidRPr="00D42DA6">
        <w:rPr>
          <w:rFonts w:ascii="Times New Roman" w:hAnsi="Times New Roman" w:cs="Times New Roman"/>
          <w:lang w:val="en-US"/>
        </w:rPr>
        <w:t>.</w:t>
      </w:r>
    </w:p>
    <w:p w14:paraId="71CEB34C" w14:textId="19EA0BCA"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The Concise Oxford Dictionary of Current English. Seventh edition. Ed. by J.B. Sykes. Oxford</w:t>
      </w:r>
      <w:r w:rsidR="00996442">
        <w:rPr>
          <w:rFonts w:ascii="Times New Roman" w:hAnsi="Times New Roman" w:cs="Times New Roman"/>
          <w:lang w:val="en-US"/>
        </w:rPr>
        <w:t xml:space="preserve"> (1982)</w:t>
      </w:r>
      <w:r w:rsidRPr="00D42DA6">
        <w:rPr>
          <w:rFonts w:ascii="Times New Roman" w:hAnsi="Times New Roman" w:cs="Times New Roman"/>
          <w:lang w:val="en-US"/>
        </w:rPr>
        <w:t>.</w:t>
      </w:r>
    </w:p>
    <w:p w14:paraId="21C164E5" w14:textId="1B5E2C29"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Turgel</w:t>
      </w:r>
      <w:r w:rsidR="00996442">
        <w:rPr>
          <w:rFonts w:ascii="Times New Roman" w:hAnsi="Times New Roman" w:cs="Times New Roman"/>
          <w:lang w:val="en-US"/>
        </w:rPr>
        <w:t>, I.D.:</w:t>
      </w:r>
      <w:r w:rsidRPr="00D42DA6">
        <w:rPr>
          <w:rFonts w:ascii="Times New Roman" w:hAnsi="Times New Roman" w:cs="Times New Roman"/>
          <w:lang w:val="en-US"/>
        </w:rPr>
        <w:t xml:space="preserve"> Formation of the "the open budget" in the Russian Federation: long-term plans and first results. Voprosy upravlenija, 3, 22-30</w:t>
      </w:r>
      <w:r w:rsidR="00996442">
        <w:rPr>
          <w:rFonts w:ascii="Times New Roman" w:hAnsi="Times New Roman" w:cs="Times New Roman"/>
          <w:lang w:val="en-US"/>
        </w:rPr>
        <w:t xml:space="preserve"> (2014).</w:t>
      </w:r>
      <w:r w:rsidRPr="00D42DA6">
        <w:rPr>
          <w:rFonts w:ascii="Times New Roman" w:hAnsi="Times New Roman" w:cs="Times New Roman"/>
          <w:lang w:val="en-US"/>
        </w:rPr>
        <w:t xml:space="preserve"> </w:t>
      </w:r>
      <w:r w:rsidR="00996442">
        <w:rPr>
          <w:rFonts w:ascii="Times New Roman" w:hAnsi="Times New Roman" w:cs="Times New Roman"/>
          <w:lang w:val="en-US"/>
        </w:rPr>
        <w:t>(in Russian)</w:t>
      </w:r>
    </w:p>
    <w:p w14:paraId="13486974" w14:textId="1FD5AFF7" w:rsidR="00D42DA6" w:rsidRPr="00D42DA6" w:rsidRDefault="00D42DA6" w:rsidP="00D42DA6">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Twinomurinzi</w:t>
      </w:r>
      <w:r w:rsidR="00996442">
        <w:rPr>
          <w:rFonts w:ascii="Times New Roman" w:hAnsi="Times New Roman" w:cs="Times New Roman"/>
          <w:lang w:val="en-US"/>
        </w:rPr>
        <w:t>, H.</w:t>
      </w:r>
      <w:r w:rsidRPr="00D42DA6">
        <w:rPr>
          <w:rFonts w:ascii="Times New Roman" w:hAnsi="Times New Roman" w:cs="Times New Roman"/>
          <w:lang w:val="en-US"/>
        </w:rPr>
        <w:t>, Ghartey-Tagoe</w:t>
      </w:r>
      <w:r w:rsidR="00996442">
        <w:rPr>
          <w:rFonts w:ascii="Times New Roman" w:hAnsi="Times New Roman" w:cs="Times New Roman"/>
          <w:lang w:val="en-US"/>
        </w:rPr>
        <w:t>, K.B.:</w:t>
      </w:r>
      <w:r w:rsidRPr="00D42DA6">
        <w:rPr>
          <w:rFonts w:ascii="Times New Roman" w:hAnsi="Times New Roman" w:cs="Times New Roman"/>
          <w:lang w:val="en-US"/>
        </w:rPr>
        <w:t xml:space="preserve"> Corruption in developing countries and ICT: the urgent need for work systems to precede e-government. Proceedings of the 11th International Conference on Social Implications of Computers in Developing Countries, Kathmandu, Nepal (2011).</w:t>
      </w:r>
    </w:p>
    <w:p w14:paraId="4A8D7561" w14:textId="2F21A84D" w:rsidR="00747C03" w:rsidRPr="00996442" w:rsidRDefault="00D42DA6" w:rsidP="00996442">
      <w:pPr>
        <w:pStyle w:val="a5"/>
        <w:numPr>
          <w:ilvl w:val="0"/>
          <w:numId w:val="1"/>
        </w:numPr>
        <w:jc w:val="both"/>
        <w:rPr>
          <w:rFonts w:ascii="Times New Roman" w:hAnsi="Times New Roman" w:cs="Times New Roman"/>
          <w:lang w:val="en-US"/>
        </w:rPr>
      </w:pPr>
      <w:r w:rsidRPr="00D42DA6">
        <w:rPr>
          <w:rFonts w:ascii="Times New Roman" w:hAnsi="Times New Roman" w:cs="Times New Roman"/>
          <w:lang w:val="en-US"/>
        </w:rPr>
        <w:t>Williams</w:t>
      </w:r>
      <w:r w:rsidR="00996442">
        <w:rPr>
          <w:rFonts w:ascii="Times New Roman" w:hAnsi="Times New Roman" w:cs="Times New Roman"/>
          <w:lang w:val="en-US"/>
        </w:rPr>
        <w:t>, A</w:t>
      </w:r>
      <w:r w:rsidRPr="00D42DA6">
        <w:rPr>
          <w:rFonts w:ascii="Times New Roman" w:hAnsi="Times New Roman" w:cs="Times New Roman"/>
          <w:lang w:val="en-US"/>
        </w:rPr>
        <w:t>.</w:t>
      </w:r>
      <w:r w:rsidR="00996442">
        <w:rPr>
          <w:rFonts w:ascii="Times New Roman" w:hAnsi="Times New Roman" w:cs="Times New Roman"/>
          <w:lang w:val="en-US"/>
        </w:rPr>
        <w:t>:</w:t>
      </w:r>
      <w:r w:rsidRPr="00D42DA6">
        <w:rPr>
          <w:rFonts w:ascii="Times New Roman" w:hAnsi="Times New Roman" w:cs="Times New Roman"/>
          <w:lang w:val="en-US"/>
        </w:rPr>
        <w:t xml:space="preserve"> A Global Index of Information and Political Transparency. Discussion paper 14.07, Business School, University of Western Australia</w:t>
      </w:r>
      <w:r w:rsidR="00996442">
        <w:rPr>
          <w:rFonts w:ascii="Times New Roman" w:hAnsi="Times New Roman" w:cs="Times New Roman"/>
          <w:lang w:val="en-US"/>
        </w:rPr>
        <w:t xml:space="preserve"> (2014)</w:t>
      </w:r>
      <w:r w:rsidRPr="00D42DA6">
        <w:rPr>
          <w:rFonts w:ascii="Times New Roman" w:hAnsi="Times New Roman" w:cs="Times New Roman"/>
          <w:lang w:val="en-US"/>
        </w:rPr>
        <w:t>.</w:t>
      </w:r>
    </w:p>
    <w:sectPr w:rsidR="00747C03" w:rsidRPr="00996442" w:rsidSect="00B57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nux Libertine O">
    <w:altName w:val="Cambria"/>
    <w:panose1 w:val="00000000000000000000"/>
    <w:charset w:val="00"/>
    <w:family w:val="auto"/>
    <w:notTrueType/>
    <w:pitch w:val="variable"/>
    <w:sig w:usb0="E0000AFF" w:usb1="5200E5FB" w:usb2="02000020" w:usb3="00000000" w:csb0="000001BF" w:csb1="00000000"/>
  </w:font>
  <w:font w:name="Cambria">
    <w:panose1 w:val="02040503050406030204"/>
    <w:charset w:val="CC"/>
    <w:family w:val="roman"/>
    <w:pitch w:val="variable"/>
    <w:sig w:usb0="E00006FF" w:usb1="420024FF" w:usb2="02000000" w:usb3="00000000" w:csb0="0000019F" w:csb1="00000000"/>
  </w:font>
  <w:font w:name="Linux Libertine">
    <w:panose1 w:val="02000503000000000000"/>
    <w:charset w:val="CC"/>
    <w:family w:val="auto"/>
    <w:pitch w:val="variable"/>
    <w:sig w:usb0="E0000AFF" w:usb1="5200E5FB" w:usb2="0200002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F198D"/>
    <w:multiLevelType w:val="hybridMultilevel"/>
    <w:tmpl w:val="F58E1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6500F5"/>
    <w:multiLevelType w:val="hybridMultilevel"/>
    <w:tmpl w:val="1304CCDA"/>
    <w:lvl w:ilvl="0" w:tplc="708636A0">
      <w:start w:val="1"/>
      <w:numFmt w:val="bullet"/>
      <w:lvlText w:val=""/>
      <w:lvlJc w:val="left"/>
      <w:pPr>
        <w:tabs>
          <w:tab w:val="num" w:pos="1320"/>
        </w:tabs>
        <w:ind w:left="1320" w:hanging="360"/>
      </w:pPr>
      <w:rPr>
        <w:rFonts w:ascii="Symbol" w:hAnsi="Symbol" w:hint="default"/>
        <w:lang w:val="ru-RU"/>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861699202">
    <w:abstractNumId w:val="0"/>
  </w:num>
  <w:num w:numId="2" w16cid:durableId="985668778">
    <w:abstractNumId w:val="2"/>
  </w:num>
  <w:num w:numId="3" w16cid:durableId="145515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DC"/>
    <w:rsid w:val="000217C5"/>
    <w:rsid w:val="000331FE"/>
    <w:rsid w:val="00104204"/>
    <w:rsid w:val="001267F2"/>
    <w:rsid w:val="00132C46"/>
    <w:rsid w:val="0019599B"/>
    <w:rsid w:val="001A572F"/>
    <w:rsid w:val="001B26FA"/>
    <w:rsid w:val="002176DF"/>
    <w:rsid w:val="00263229"/>
    <w:rsid w:val="00284662"/>
    <w:rsid w:val="002942C3"/>
    <w:rsid w:val="002A309A"/>
    <w:rsid w:val="00311626"/>
    <w:rsid w:val="003727C8"/>
    <w:rsid w:val="00373C62"/>
    <w:rsid w:val="00380393"/>
    <w:rsid w:val="003A21D2"/>
    <w:rsid w:val="003C0D28"/>
    <w:rsid w:val="0040548F"/>
    <w:rsid w:val="0043589D"/>
    <w:rsid w:val="004A06CE"/>
    <w:rsid w:val="004A7E0A"/>
    <w:rsid w:val="004C1FC8"/>
    <w:rsid w:val="004C7FAD"/>
    <w:rsid w:val="00512660"/>
    <w:rsid w:val="005416F0"/>
    <w:rsid w:val="006012DA"/>
    <w:rsid w:val="0062017C"/>
    <w:rsid w:val="00650D06"/>
    <w:rsid w:val="006531DD"/>
    <w:rsid w:val="00687919"/>
    <w:rsid w:val="00690D18"/>
    <w:rsid w:val="006F179E"/>
    <w:rsid w:val="00707F1D"/>
    <w:rsid w:val="007152C5"/>
    <w:rsid w:val="00737315"/>
    <w:rsid w:val="00747C03"/>
    <w:rsid w:val="00756D4B"/>
    <w:rsid w:val="00805441"/>
    <w:rsid w:val="0081561E"/>
    <w:rsid w:val="00847515"/>
    <w:rsid w:val="00866596"/>
    <w:rsid w:val="00866ADF"/>
    <w:rsid w:val="00890C21"/>
    <w:rsid w:val="008D373B"/>
    <w:rsid w:val="008F560D"/>
    <w:rsid w:val="00967436"/>
    <w:rsid w:val="009718BC"/>
    <w:rsid w:val="00982480"/>
    <w:rsid w:val="00996442"/>
    <w:rsid w:val="009F1F24"/>
    <w:rsid w:val="00A22397"/>
    <w:rsid w:val="00A33B2B"/>
    <w:rsid w:val="00AA4FE2"/>
    <w:rsid w:val="00AB10DC"/>
    <w:rsid w:val="00AB2F03"/>
    <w:rsid w:val="00AC4BE6"/>
    <w:rsid w:val="00AE0E52"/>
    <w:rsid w:val="00AE3743"/>
    <w:rsid w:val="00AF0587"/>
    <w:rsid w:val="00B17C56"/>
    <w:rsid w:val="00B57B02"/>
    <w:rsid w:val="00B7663F"/>
    <w:rsid w:val="00B86F47"/>
    <w:rsid w:val="00C559E6"/>
    <w:rsid w:val="00D42DA6"/>
    <w:rsid w:val="00D5663C"/>
    <w:rsid w:val="00DC69E9"/>
    <w:rsid w:val="00DF6D60"/>
    <w:rsid w:val="00FC6847"/>
    <w:rsid w:val="00FE5741"/>
    <w:rsid w:val="00FF6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4D87"/>
  <w15:docId w15:val="{FEA42439-418E-44ED-B268-5DF24104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F1D"/>
    <w:rPr>
      <w:color w:val="0000FF" w:themeColor="hyperlink"/>
      <w:u w:val="single"/>
    </w:rPr>
  </w:style>
  <w:style w:type="character" w:styleId="a4">
    <w:name w:val="Unresolved Mention"/>
    <w:basedOn w:val="a0"/>
    <w:uiPriority w:val="99"/>
    <w:semiHidden/>
    <w:unhideWhenUsed/>
    <w:rsid w:val="00707F1D"/>
    <w:rPr>
      <w:color w:val="605E5C"/>
      <w:shd w:val="clear" w:color="auto" w:fill="E1DFDD"/>
    </w:rPr>
  </w:style>
  <w:style w:type="paragraph" w:styleId="a5">
    <w:name w:val="List Paragraph"/>
    <w:basedOn w:val="a"/>
    <w:uiPriority w:val="34"/>
    <w:qFormat/>
    <w:rsid w:val="0040548F"/>
    <w:pPr>
      <w:ind w:left="720"/>
      <w:contextualSpacing/>
    </w:pPr>
  </w:style>
  <w:style w:type="paragraph" w:customStyle="1" w:styleId="heading1">
    <w:name w:val="heading1"/>
    <w:basedOn w:val="a"/>
    <w:next w:val="p1a"/>
    <w:qFormat/>
    <w:rsid w:val="00B86F47"/>
    <w:pPr>
      <w:keepNext/>
      <w:keepLines/>
      <w:numPr>
        <w:numId w:val="2"/>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eastAsia="en-US"/>
    </w:rPr>
  </w:style>
  <w:style w:type="paragraph" w:customStyle="1" w:styleId="heading2">
    <w:name w:val="heading2"/>
    <w:basedOn w:val="a"/>
    <w:next w:val="p1a"/>
    <w:qFormat/>
    <w:rsid w:val="00B86F47"/>
    <w:pPr>
      <w:keepNext/>
      <w:keepLines/>
      <w:numPr>
        <w:ilvl w:val="1"/>
        <w:numId w:val="2"/>
      </w:numPr>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sz w:val="20"/>
      <w:szCs w:val="20"/>
      <w:lang w:val="en-US" w:eastAsia="en-US"/>
    </w:rPr>
  </w:style>
  <w:style w:type="numbering" w:customStyle="1" w:styleId="headings">
    <w:name w:val="headings"/>
    <w:basedOn w:val="a2"/>
    <w:rsid w:val="00B86F47"/>
    <w:pPr>
      <w:numPr>
        <w:numId w:val="2"/>
      </w:numPr>
    </w:pPr>
  </w:style>
  <w:style w:type="paragraph" w:customStyle="1" w:styleId="p1a">
    <w:name w:val="p1a"/>
    <w:basedOn w:val="a"/>
    <w:next w:val="a"/>
    <w:rsid w:val="00B86F4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en-US"/>
    </w:rPr>
  </w:style>
  <w:style w:type="paragraph" w:styleId="a6">
    <w:name w:val="Body Text"/>
    <w:basedOn w:val="a"/>
    <w:link w:val="a7"/>
    <w:rsid w:val="00747C03"/>
    <w:pPr>
      <w:spacing w:after="0" w:line="240" w:lineRule="auto"/>
    </w:pPr>
    <w:rPr>
      <w:rFonts w:ascii="Times New Roman" w:eastAsia="Times New Roman" w:hAnsi="Times New Roman" w:cs="Times New Roman"/>
      <w:sz w:val="24"/>
      <w:szCs w:val="20"/>
      <w:lang w:val="x-none" w:eastAsia="x-none"/>
    </w:rPr>
  </w:style>
  <w:style w:type="character" w:customStyle="1" w:styleId="a7">
    <w:name w:val="Основной текст Знак"/>
    <w:basedOn w:val="a0"/>
    <w:link w:val="a6"/>
    <w:rsid w:val="00747C03"/>
    <w:rPr>
      <w:rFonts w:ascii="Times New Roman" w:eastAsia="Times New Roman" w:hAnsi="Times New Roman" w:cs="Times New Roman"/>
      <w:sz w:val="24"/>
      <w:szCs w:val="20"/>
      <w:lang w:val="x-none" w:eastAsia="x-none"/>
    </w:rPr>
  </w:style>
  <w:style w:type="table" w:styleId="a8">
    <w:name w:val="Table Grid"/>
    <w:basedOn w:val="a1"/>
    <w:uiPriority w:val="59"/>
    <w:rsid w:val="003C0D28"/>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Cell"/>
    <w:basedOn w:val="a"/>
    <w:rsid w:val="003C0D28"/>
    <w:pPr>
      <w:spacing w:after="0" w:line="220" w:lineRule="atLeast"/>
      <w:ind w:firstLine="240"/>
      <w:jc w:val="both"/>
    </w:pPr>
    <w:rPr>
      <w:rFonts w:ascii="Linux Libertine O" w:eastAsia="Cambria" w:hAnsi="Linux Libertine O" w:cs="Linux Libertine O"/>
      <w:sz w:val="16"/>
      <w:szCs w:val="16"/>
      <w:lang w:val="en-US" w:eastAsia="en-US"/>
    </w:rPr>
  </w:style>
  <w:style w:type="paragraph" w:customStyle="1" w:styleId="Para">
    <w:name w:val="Para"/>
    <w:autoRedefine/>
    <w:qFormat/>
    <w:rsid w:val="003C0D28"/>
    <w:pPr>
      <w:spacing w:after="0" w:line="264" w:lineRule="auto"/>
      <w:ind w:firstLine="240"/>
      <w:jc w:val="both"/>
    </w:pPr>
    <w:rPr>
      <w:rFonts w:ascii="Linux Libertine" w:eastAsiaTheme="minorHAnsi" w:hAnsi="Linux Libertine"/>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8</Pages>
  <Words>3721</Words>
  <Characters>21214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spb</dc:creator>
  <cp:lastModifiedBy>Радомир Болгов</cp:lastModifiedBy>
  <cp:revision>8</cp:revision>
  <cp:lastPrinted>2023-07-03T09:52:00Z</cp:lastPrinted>
  <dcterms:created xsi:type="dcterms:W3CDTF">2023-07-02T18:28:00Z</dcterms:created>
  <dcterms:modified xsi:type="dcterms:W3CDTF">2023-07-03T09:54:00Z</dcterms:modified>
</cp:coreProperties>
</file>