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4235" w14:textId="6B2B870D" w:rsidR="00204966" w:rsidRPr="00092DEF" w:rsidRDefault="007708D9" w:rsidP="000E35D4">
      <w:pPr>
        <w:spacing w:before="1320" w:after="360"/>
        <w:jc w:val="both"/>
        <w:rPr>
          <w:rFonts w:ascii="Times New Roman" w:hAnsi="Times New Roman" w:cs="Times New Roman"/>
          <w:b/>
          <w:spacing w:val="-2"/>
          <w:sz w:val="32"/>
          <w:szCs w:val="32"/>
          <w:lang w:val="en-US"/>
        </w:rPr>
      </w:pPr>
      <w:r w:rsidRPr="00092DEF">
        <w:rPr>
          <w:rFonts w:ascii="Times New Roman" w:hAnsi="Times New Roman" w:cs="Times New Roman"/>
          <w:b/>
          <w:spacing w:val="-2"/>
          <w:sz w:val="32"/>
          <w:szCs w:val="32"/>
          <w:lang w:val="en-US"/>
        </w:rPr>
        <w:t xml:space="preserve">The financial condition of corporations of the </w:t>
      </w:r>
      <w:r w:rsidR="00092DEF" w:rsidRPr="00092DEF">
        <w:rPr>
          <w:rFonts w:ascii="Times New Roman" w:hAnsi="Times New Roman" w:cs="Times New Roman"/>
          <w:b/>
          <w:spacing w:val="-2"/>
          <w:sz w:val="32"/>
          <w:szCs w:val="32"/>
          <w:lang w:val="en-US"/>
        </w:rPr>
        <w:t>Russian defense-industrial complex</w:t>
      </w:r>
      <w:r w:rsidRPr="00092DEF">
        <w:rPr>
          <w:rFonts w:ascii="Times New Roman" w:hAnsi="Times New Roman" w:cs="Times New Roman"/>
          <w:b/>
          <w:spacing w:val="-2"/>
          <w:sz w:val="32"/>
          <w:szCs w:val="32"/>
          <w:lang w:val="en-US"/>
        </w:rPr>
        <w:t>, which are included in the TOP lists of the largest military companies in the world</w:t>
      </w:r>
    </w:p>
    <w:p w14:paraId="6CB99E9C" w14:textId="77777777" w:rsidR="00330767" w:rsidRPr="002B5EE3" w:rsidRDefault="00330767" w:rsidP="00330767">
      <w:pPr>
        <w:jc w:val="both"/>
        <w:rPr>
          <w:rFonts w:ascii="Times New Roman" w:hAnsi="Times New Roman" w:cs="Times New Roman"/>
          <w:bCs/>
          <w:sz w:val="20"/>
          <w:vertAlign w:val="superscript"/>
          <w:lang w:val="en-GB"/>
        </w:rPr>
      </w:pPr>
      <w:r w:rsidRPr="00E4028F">
        <w:rPr>
          <w:rFonts w:ascii="Times New Roman" w:hAnsi="Times New Roman" w:cs="Times New Roman"/>
          <w:bCs/>
          <w:i/>
          <w:iCs/>
          <w:sz w:val="20"/>
          <w:lang w:val="en-GB" w:eastAsia="zh-CN"/>
        </w:rPr>
        <w:t xml:space="preserve">Elena </w:t>
      </w:r>
      <w:r w:rsidRPr="00E4028F">
        <w:rPr>
          <w:rFonts w:ascii="Times New Roman" w:hAnsi="Times New Roman" w:cs="Times New Roman"/>
          <w:bCs/>
          <w:sz w:val="20"/>
          <w:lang w:val="en-GB" w:eastAsia="zh-CN"/>
        </w:rPr>
        <w:t>Gregova</w:t>
      </w:r>
      <w:r>
        <w:rPr>
          <w:rFonts w:ascii="Times New Roman" w:hAnsi="Times New Roman" w:cs="Times New Roman"/>
          <w:bCs/>
          <w:sz w:val="20"/>
          <w:lang w:val="en-GB" w:eastAsia="zh-CN"/>
        </w:rPr>
        <w:t>,</w:t>
      </w:r>
      <w:r>
        <w:rPr>
          <w:rFonts w:ascii="Times New Roman" w:hAnsi="Times New Roman" w:cs="Times New Roman"/>
          <w:bCs/>
          <w:sz w:val="20"/>
          <w:vertAlign w:val="superscript"/>
          <w:lang w:val="en-GB" w:eastAsia="zh-CN"/>
        </w:rPr>
        <w:t>1</w:t>
      </w:r>
      <w:r w:rsidRPr="00E4028F">
        <w:rPr>
          <w:rFonts w:ascii="Times New Roman" w:eastAsia="Calibri" w:hAnsi="Times New Roman" w:cs="Times New Roman"/>
          <w:bCs/>
          <w:i/>
          <w:sz w:val="20"/>
          <w:lang w:val="en-GB" w:eastAsia="en-US"/>
        </w:rPr>
        <w:t xml:space="preserve"> Irina</w:t>
      </w:r>
      <w:r w:rsidRPr="00E4028F">
        <w:rPr>
          <w:rFonts w:ascii="Times New Roman" w:eastAsia="Calibri" w:hAnsi="Times New Roman" w:cs="Times New Roman"/>
          <w:bCs/>
          <w:iCs/>
          <w:sz w:val="20"/>
          <w:lang w:val="en-GB" w:eastAsia="en-US"/>
        </w:rPr>
        <w:t xml:space="preserve"> </w:t>
      </w:r>
      <w:r w:rsidRPr="00E4028F">
        <w:rPr>
          <w:rFonts w:ascii="Times New Roman" w:eastAsia="Calibri" w:hAnsi="Times New Roman" w:cs="Times New Roman"/>
          <w:bCs/>
          <w:sz w:val="20"/>
          <w:lang w:val="en-GB" w:eastAsia="en-US"/>
        </w:rPr>
        <w:t>Tulyakova</w:t>
      </w:r>
      <w:r>
        <w:rPr>
          <w:rFonts w:ascii="Times New Roman" w:hAnsi="Times New Roman" w:cs="Times New Roman"/>
          <w:bCs/>
          <w:sz w:val="20"/>
          <w:vertAlign w:val="superscript"/>
          <w:lang w:val="en-GB" w:eastAsia="zh-CN"/>
        </w:rPr>
        <w:t>2</w:t>
      </w:r>
      <w:r w:rsidRPr="00E4028F">
        <w:rPr>
          <w:rFonts w:ascii="Times New Roman" w:hAnsi="Times New Roman" w:cs="Times New Roman"/>
          <w:bCs/>
          <w:sz w:val="20"/>
          <w:lang w:val="en-GB" w:eastAsia="zh-CN"/>
        </w:rPr>
        <w:t xml:space="preserve"> </w:t>
      </w:r>
      <w:r>
        <w:rPr>
          <w:rFonts w:ascii="Times New Roman" w:hAnsi="Times New Roman" w:cs="Times New Roman"/>
          <w:bCs/>
          <w:sz w:val="20"/>
          <w:lang w:val="en-GB" w:eastAsia="zh-CN"/>
        </w:rPr>
        <w:t>and</w:t>
      </w:r>
      <w:r w:rsidRPr="00E4028F">
        <w:rPr>
          <w:rFonts w:ascii="Times New Roman" w:hAnsi="Times New Roman" w:cs="Times New Roman"/>
          <w:bCs/>
          <w:i/>
          <w:sz w:val="20"/>
          <w:lang w:val="en-GB" w:eastAsia="zh-CN"/>
        </w:rPr>
        <w:t xml:space="preserve"> Victor</w:t>
      </w:r>
      <w:r w:rsidRPr="00E4028F">
        <w:rPr>
          <w:rFonts w:ascii="Times New Roman" w:hAnsi="Times New Roman" w:cs="Times New Roman"/>
          <w:bCs/>
          <w:sz w:val="20"/>
          <w:lang w:val="en-GB" w:eastAsia="zh-CN"/>
        </w:rPr>
        <w:t xml:space="preserve"> Dengov</w:t>
      </w:r>
      <w:r>
        <w:rPr>
          <w:rFonts w:ascii="Times New Roman" w:hAnsi="Times New Roman" w:cs="Times New Roman"/>
          <w:bCs/>
          <w:sz w:val="20"/>
          <w:vertAlign w:val="superscript"/>
          <w:lang w:val="en-GB" w:eastAsia="zh-CN"/>
        </w:rPr>
        <w:t>2</w:t>
      </w:r>
      <w:r w:rsidRPr="00E4028F">
        <w:rPr>
          <w:rFonts w:ascii="Times New Roman" w:hAnsi="Times New Roman" w:cs="Times New Roman"/>
          <w:bCs/>
          <w:sz w:val="20"/>
          <w:vertAlign w:val="superscript"/>
          <w:lang w:val="en-GB" w:eastAsia="zh-CN"/>
        </w:rPr>
        <w:t>,</w:t>
      </w:r>
      <w:r w:rsidRPr="00E4028F">
        <w:rPr>
          <w:rFonts w:ascii="Times New Roman" w:hAnsi="Times New Roman" w:cs="Times New Roman"/>
          <w:bCs/>
          <w:sz w:val="20"/>
          <w:vertAlign w:val="superscript"/>
          <w:lang w:val="en-GB" w:eastAsia="zh-CN"/>
        </w:rPr>
        <w:footnoteReference w:id="1"/>
      </w:r>
      <w:r w:rsidRPr="00E4028F">
        <w:rPr>
          <w:rFonts w:ascii="Times New Roman" w:hAnsi="Times New Roman" w:cs="Times New Roman"/>
          <w:bCs/>
          <w:sz w:val="20"/>
          <w:lang w:val="en-GB" w:eastAsia="zh-CN"/>
        </w:rPr>
        <w:t xml:space="preserve"> </w:t>
      </w:r>
    </w:p>
    <w:p w14:paraId="2806C7ED" w14:textId="77777777" w:rsidR="00330767" w:rsidRDefault="00330767" w:rsidP="0003300A">
      <w:pPr>
        <w:spacing w:before="120"/>
        <w:rPr>
          <w:rFonts w:ascii="Times New Roman" w:hAnsi="Times New Roman" w:cs="Times New Roman"/>
          <w:bCs/>
          <w:iCs/>
          <w:sz w:val="18"/>
          <w:szCs w:val="18"/>
          <w:lang w:val="en-GB"/>
        </w:rPr>
      </w:pPr>
      <w:r>
        <w:rPr>
          <w:rFonts w:ascii="Times New Roman" w:hAnsi="Times New Roman" w:cs="Times New Roman"/>
          <w:bCs/>
          <w:iCs/>
          <w:sz w:val="18"/>
          <w:szCs w:val="18"/>
          <w:vertAlign w:val="superscript"/>
          <w:lang w:val="en-GB"/>
        </w:rPr>
        <w:t>1</w:t>
      </w:r>
      <w:r w:rsidRPr="00E4028F">
        <w:rPr>
          <w:rFonts w:ascii="Times New Roman" w:hAnsi="Times New Roman" w:cs="Times New Roman"/>
          <w:bCs/>
          <w:iCs/>
          <w:sz w:val="18"/>
          <w:szCs w:val="18"/>
          <w:lang w:val="en-GB"/>
        </w:rPr>
        <w:t>University of Zilina, Faculty of Operation and Economics of Transport and Communications, Department of Economics, Univerzitna 1, 010 26 Zilina, Slovakia</w:t>
      </w:r>
    </w:p>
    <w:p w14:paraId="27308F50" w14:textId="77777777" w:rsidR="00330767" w:rsidRPr="00E4028F" w:rsidRDefault="00330767" w:rsidP="00330767">
      <w:pPr>
        <w:rPr>
          <w:rFonts w:ascii="Times New Roman" w:hAnsi="Times New Roman" w:cs="Times New Roman"/>
          <w:bCs/>
          <w:iCs/>
          <w:sz w:val="18"/>
          <w:szCs w:val="18"/>
          <w:vertAlign w:val="superscript"/>
          <w:lang w:val="en-GB"/>
        </w:rPr>
      </w:pPr>
      <w:r>
        <w:rPr>
          <w:rFonts w:ascii="Times New Roman" w:hAnsi="Times New Roman" w:cs="Times New Roman"/>
          <w:bCs/>
          <w:iCs/>
          <w:sz w:val="18"/>
          <w:szCs w:val="18"/>
          <w:vertAlign w:val="superscript"/>
          <w:lang w:val="en-GB"/>
        </w:rPr>
        <w:t>2</w:t>
      </w:r>
      <w:r w:rsidRPr="00E4028F">
        <w:rPr>
          <w:rFonts w:ascii="Times New Roman" w:hAnsi="Times New Roman" w:cs="Times New Roman"/>
          <w:bCs/>
          <w:iCs/>
          <w:sz w:val="18"/>
          <w:szCs w:val="18"/>
          <w:lang w:val="en-US"/>
        </w:rPr>
        <w:t>Saint Petersburg State University, Faculty of Economics, Department of Economics &amp; Economic Policy, University embankment 7–9, 199034, St Petersburg, Russia</w:t>
      </w:r>
      <w:r w:rsidRPr="00E4028F">
        <w:rPr>
          <w:rFonts w:ascii="Times New Roman" w:hAnsi="Times New Roman" w:cs="Times New Roman"/>
          <w:bCs/>
          <w:iCs/>
          <w:sz w:val="18"/>
          <w:szCs w:val="18"/>
          <w:vertAlign w:val="superscript"/>
          <w:lang w:val="en-GB"/>
        </w:rPr>
        <w:t xml:space="preserve"> </w:t>
      </w:r>
    </w:p>
    <w:p w14:paraId="504E923F" w14:textId="77777777" w:rsidR="00330767" w:rsidRPr="00404C70" w:rsidRDefault="00330767" w:rsidP="00330767">
      <w:pPr>
        <w:spacing w:before="360" w:after="120"/>
        <w:ind w:left="964" w:right="964"/>
        <w:jc w:val="both"/>
        <w:rPr>
          <w:rFonts w:ascii="Times New Roman" w:hAnsi="Times New Roman" w:cs="Times New Roman"/>
          <w:color w:val="FF0000"/>
          <w:sz w:val="18"/>
          <w:szCs w:val="18"/>
          <w:lang w:val="en-GB"/>
        </w:rPr>
      </w:pPr>
      <w:r w:rsidRPr="00404C70">
        <w:rPr>
          <w:rFonts w:ascii="Times New Roman" w:hAnsi="Times New Roman" w:cs="Times New Roman"/>
          <w:b/>
          <w:sz w:val="18"/>
          <w:szCs w:val="18"/>
          <w:lang w:val="en-GB"/>
        </w:rPr>
        <w:t>Abstract</w:t>
      </w:r>
    </w:p>
    <w:p w14:paraId="714D6116" w14:textId="77777777" w:rsidR="00330767" w:rsidRPr="000E35D4" w:rsidRDefault="00330767" w:rsidP="00330767">
      <w:pPr>
        <w:spacing w:before="160"/>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Research background:</w:t>
      </w:r>
      <w:r w:rsidRPr="00EA699B">
        <w:rPr>
          <w:rFonts w:ascii="Times New Roman" w:hAnsi="Times New Roman" w:cs="Times New Roman"/>
          <w:b/>
          <w:sz w:val="18"/>
          <w:szCs w:val="18"/>
          <w:lang w:val="en-US"/>
        </w:rPr>
        <w:t xml:space="preserve"> </w:t>
      </w:r>
      <w:r w:rsidRPr="00EA699B">
        <w:rPr>
          <w:rFonts w:ascii="Times New Roman" w:hAnsi="Times New Roman" w:cs="Times New Roman"/>
          <w:sz w:val="18"/>
          <w:szCs w:val="18"/>
          <w:lang w:val="en-US"/>
        </w:rPr>
        <w:t>Over the recent period, new “players” have appeared on the world arms and military equipment markets as large exporters, which were previously positioned as large importers of weapons. As international experience shows, in order to become a global exporter of weapons and military equipment, one needs to create powerful military companies. Russian defense companies occupy high places in various TOP lists, which provides the country with a stable position in the export markets. An analysis of the financial condition of these companies makes it possible to deepen the assessment of the prospects for Russian arms exports. The authors have repeatedly addressed the topic of Russian arms exports and the place of Russia in the global arms and military equipment trade markets.</w:t>
      </w:r>
    </w:p>
    <w:p w14:paraId="40927FE7" w14:textId="77777777" w:rsidR="00330767" w:rsidRPr="000E35D4" w:rsidRDefault="00330767" w:rsidP="00330767">
      <w:pPr>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Purpose of the article:</w:t>
      </w:r>
      <w:r w:rsidRPr="00EA699B">
        <w:rPr>
          <w:rFonts w:ascii="Times New Roman" w:hAnsi="Times New Roman" w:cs="Times New Roman"/>
          <w:sz w:val="18"/>
          <w:szCs w:val="18"/>
          <w:lang w:val="en-US"/>
        </w:rPr>
        <w:t xml:space="preserve"> The main goal of the study is to analyze the current financial standing of the leading Russian defense industry companies, which ensure the country's stable positions in global export markets.</w:t>
      </w:r>
    </w:p>
    <w:p w14:paraId="4F41A4F2" w14:textId="77777777" w:rsidR="00330767" w:rsidRPr="000E35D4" w:rsidRDefault="00330767" w:rsidP="00330767">
      <w:pPr>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Methods:</w:t>
      </w:r>
      <w:r w:rsidRPr="000E35D4">
        <w:rPr>
          <w:rFonts w:ascii="Times New Roman" w:hAnsi="Times New Roman" w:cs="Times New Roman"/>
          <w:sz w:val="18"/>
          <w:szCs w:val="18"/>
          <w:lang w:val="en-US"/>
        </w:rPr>
        <w:t xml:space="preserve"> </w:t>
      </w:r>
      <w:r w:rsidRPr="00AA699D">
        <w:rPr>
          <w:rFonts w:ascii="Times New Roman" w:hAnsi="Times New Roman" w:cs="Times New Roman"/>
          <w:sz w:val="18"/>
          <w:szCs w:val="18"/>
          <w:lang w:val="en-US"/>
        </w:rPr>
        <w:t>Generalizations of the research are based on the processing and systematization of data obtained from available information sources. By analyzing the statistics, the authors were able to deduce the trends of the current moment and determine the prospects.</w:t>
      </w:r>
    </w:p>
    <w:p w14:paraId="2461C490" w14:textId="77777777" w:rsidR="00330767" w:rsidRPr="000E35D4" w:rsidRDefault="00330767" w:rsidP="00330767">
      <w:pPr>
        <w:spacing w:after="200"/>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Findings &amp; Value added:</w:t>
      </w:r>
      <w:r w:rsidRPr="000E35D4">
        <w:rPr>
          <w:rFonts w:ascii="Times New Roman" w:hAnsi="Times New Roman" w:cs="Times New Roman"/>
          <w:sz w:val="18"/>
          <w:szCs w:val="18"/>
          <w:lang w:val="en-US"/>
        </w:rPr>
        <w:t xml:space="preserve"> </w:t>
      </w:r>
      <w:bookmarkStart w:id="0" w:name="_Hlk74346237"/>
      <w:r w:rsidRPr="00EA699B">
        <w:rPr>
          <w:rFonts w:ascii="Times New Roman" w:hAnsi="Times New Roman" w:cs="Times New Roman"/>
          <w:sz w:val="18"/>
          <w:szCs w:val="18"/>
          <w:lang w:val="en-US"/>
        </w:rPr>
        <w:t>Consideration of the financial condition of backbone enterprises of the Russian defense industry enabled the authors to make an educated guess about what the prospects for Russia hold high positions in the global markets of AME.</w:t>
      </w:r>
      <w:bookmarkEnd w:id="0"/>
    </w:p>
    <w:p w14:paraId="7BED1CF1" w14:textId="77777777" w:rsidR="00330767" w:rsidRPr="000E35D4" w:rsidRDefault="00330767" w:rsidP="00330767">
      <w:pPr>
        <w:spacing w:after="240"/>
        <w:ind w:left="964" w:right="964"/>
        <w:jc w:val="both"/>
        <w:rPr>
          <w:rFonts w:ascii="Times New Roman" w:hAnsi="Times New Roman" w:cs="Times New Roman"/>
          <w:b/>
          <w:sz w:val="18"/>
          <w:szCs w:val="18"/>
          <w:lang w:val="en-US"/>
        </w:rPr>
      </w:pPr>
      <w:r w:rsidRPr="000E35D4">
        <w:rPr>
          <w:rFonts w:ascii="Times New Roman" w:hAnsi="Times New Roman" w:cs="Times New Roman"/>
          <w:b/>
          <w:sz w:val="18"/>
          <w:szCs w:val="18"/>
          <w:lang w:val="en-US"/>
        </w:rPr>
        <w:t>Keywords:</w:t>
      </w:r>
      <w:r w:rsidRPr="000E35D4">
        <w:rPr>
          <w:rFonts w:ascii="Times New Roman" w:hAnsi="Times New Roman" w:cs="Times New Roman"/>
          <w:sz w:val="18"/>
          <w:szCs w:val="18"/>
          <w:lang w:val="en-US"/>
        </w:rPr>
        <w:t xml:space="preserve"> </w:t>
      </w:r>
      <w:r w:rsidRPr="00EA699B">
        <w:rPr>
          <w:rFonts w:ascii="Times New Roman" w:hAnsi="Times New Roman" w:cs="Times New Roman"/>
          <w:i/>
          <w:sz w:val="18"/>
          <w:szCs w:val="18"/>
          <w:lang w:val="en-US"/>
        </w:rPr>
        <w:t>military state corporations, the financial condition of defense companies, world exports and imports of weapons and military equipment.</w:t>
      </w:r>
    </w:p>
    <w:p w14:paraId="527C48B4" w14:textId="77777777" w:rsidR="00330767" w:rsidRPr="000E35D4" w:rsidRDefault="00330767" w:rsidP="00330767">
      <w:pPr>
        <w:spacing w:after="240"/>
        <w:ind w:left="964" w:right="964"/>
        <w:jc w:val="both"/>
        <w:rPr>
          <w:rFonts w:ascii="Times New Roman" w:hAnsi="Times New Roman" w:cs="Times New Roman"/>
          <w:b/>
          <w:szCs w:val="24"/>
        </w:rPr>
      </w:pPr>
      <w:r w:rsidRPr="000E35D4">
        <w:rPr>
          <w:rFonts w:ascii="Times New Roman" w:hAnsi="Times New Roman" w:cs="Times New Roman"/>
          <w:b/>
          <w:sz w:val="18"/>
          <w:szCs w:val="18"/>
          <w:lang w:val="en-US"/>
        </w:rPr>
        <w:t xml:space="preserve">JEL Classification: </w:t>
      </w:r>
      <w:r w:rsidRPr="002C269D">
        <w:rPr>
          <w:rFonts w:ascii="Times New Roman" w:hAnsi="Times New Roman" w:cs="Times New Roman"/>
          <w:i/>
          <w:iCs/>
          <w:sz w:val="18"/>
          <w:szCs w:val="18"/>
          <w:lang w:val="en-US"/>
        </w:rPr>
        <w:t xml:space="preserve">F14; L64; </w:t>
      </w:r>
      <w:r w:rsidRPr="002C269D">
        <w:rPr>
          <w:rFonts w:ascii="Times New Roman" w:hAnsi="Times New Roman" w:cs="Times New Roman" w:hint="eastAsia"/>
          <w:i/>
          <w:iCs/>
          <w:sz w:val="18"/>
          <w:szCs w:val="18"/>
          <w:lang w:val="ru-RU"/>
        </w:rPr>
        <w:t>О</w:t>
      </w:r>
      <w:r w:rsidRPr="002C269D">
        <w:rPr>
          <w:rFonts w:ascii="Times New Roman" w:hAnsi="Times New Roman" w:cs="Times New Roman"/>
          <w:i/>
          <w:iCs/>
          <w:sz w:val="18"/>
          <w:szCs w:val="18"/>
          <w:lang w:val="en-US"/>
        </w:rPr>
        <w:t>57</w:t>
      </w:r>
      <w:r w:rsidRPr="000E35D4">
        <w:rPr>
          <w:rFonts w:ascii="Times New Roman" w:hAnsi="Times New Roman" w:cs="Times New Roman"/>
          <w:b/>
          <w:sz w:val="18"/>
          <w:szCs w:val="18"/>
          <w:lang w:val="en-US"/>
        </w:rPr>
        <w:t xml:space="preserve"> </w:t>
      </w:r>
    </w:p>
    <w:p w14:paraId="1BECE511" w14:textId="77777777" w:rsidR="00204966" w:rsidRPr="000E35D4" w:rsidRDefault="00204966" w:rsidP="007069C9">
      <w:pPr>
        <w:ind w:right="964"/>
        <w:jc w:val="both"/>
        <w:rPr>
          <w:rFonts w:ascii="Times New Roman" w:hAnsi="Times New Roman" w:cs="Times New Roman"/>
          <w:color w:val="FF0000"/>
          <w:sz w:val="18"/>
          <w:szCs w:val="18"/>
          <w:lang w:val="en-GB"/>
        </w:rPr>
      </w:pPr>
    </w:p>
    <w:p w14:paraId="6A1C7B5D" w14:textId="0C5110DC" w:rsidR="00204966" w:rsidRDefault="00204966" w:rsidP="000E35D4">
      <w:pPr>
        <w:spacing w:before="360" w:after="120"/>
        <w:jc w:val="both"/>
        <w:rPr>
          <w:rFonts w:ascii="Times New Roman" w:hAnsi="Times New Roman" w:cs="Times New Roman"/>
          <w:b/>
          <w:szCs w:val="24"/>
          <w:lang w:val="en-GB"/>
        </w:rPr>
      </w:pPr>
      <w:r w:rsidRPr="000E35D4">
        <w:rPr>
          <w:rFonts w:ascii="Times New Roman" w:hAnsi="Times New Roman" w:cs="Times New Roman"/>
          <w:b/>
          <w:szCs w:val="24"/>
          <w:lang w:val="en-GB"/>
        </w:rPr>
        <w:lastRenderedPageBreak/>
        <w:t>1</w:t>
      </w:r>
      <w:r w:rsidRPr="000E35D4">
        <w:rPr>
          <w:rFonts w:ascii="Times New Roman" w:hAnsi="Times New Roman" w:cs="Times New Roman"/>
          <w:b/>
          <w:caps/>
          <w:szCs w:val="24"/>
          <w:lang w:val="en-GB"/>
        </w:rPr>
        <w:t xml:space="preserve"> </w:t>
      </w:r>
      <w:r w:rsidR="00330767" w:rsidRPr="00330767">
        <w:rPr>
          <w:rFonts w:ascii="Times New Roman" w:hAnsi="Times New Roman" w:cs="Times New Roman"/>
          <w:b/>
          <w:szCs w:val="24"/>
          <w:lang w:val="en-GB"/>
        </w:rPr>
        <w:t>Introduction</w:t>
      </w:r>
    </w:p>
    <w:p w14:paraId="063B397F" w14:textId="31AEA848" w:rsidR="00E45EE8" w:rsidRPr="00D66531" w:rsidRDefault="00E45EE8" w:rsidP="00651FBF">
      <w:pPr>
        <w:jc w:val="both"/>
        <w:rPr>
          <w:rFonts w:ascii="Times New Roman" w:hAnsi="Times New Roman" w:cs="Times New Roman"/>
          <w:bCs/>
          <w:sz w:val="20"/>
          <w:lang w:val="en-US"/>
        </w:rPr>
      </w:pPr>
      <w:r w:rsidRPr="00E45EE8">
        <w:rPr>
          <w:rFonts w:ascii="Times New Roman" w:hAnsi="Times New Roman" w:cs="Times New Roman"/>
          <w:bCs/>
          <w:sz w:val="20"/>
          <w:lang w:val="en-US"/>
        </w:rPr>
        <w:t>The global arms trade markets are highly competitive. Along with the military-political aspect, global players such as the United States, Russia, and the EU see them as a large and stable source of cash income (</w:t>
      </w:r>
      <w:r w:rsidRPr="00194286">
        <w:rPr>
          <w:rFonts w:ascii="Times New Roman" w:hAnsi="Times New Roman" w:cs="Times New Roman"/>
          <w:bCs/>
          <w:sz w:val="20"/>
          <w:lang w:val="en-US"/>
        </w:rPr>
        <w:t>Blum</w:t>
      </w:r>
      <w:r w:rsidRPr="00E45EE8">
        <w:rPr>
          <w:rFonts w:ascii="Times New Roman" w:hAnsi="Times New Roman" w:cs="Times New Roman"/>
          <w:bCs/>
          <w:sz w:val="20"/>
          <w:lang w:val="en-US"/>
        </w:rPr>
        <w:t xml:space="preserve">, 2019; </w:t>
      </w:r>
      <w:r>
        <w:rPr>
          <w:rFonts w:ascii="Times New Roman" w:hAnsi="Times New Roman" w:cs="Times New Roman"/>
          <w:bCs/>
          <w:sz w:val="20"/>
          <w:lang w:val="en-US"/>
        </w:rPr>
        <w:t>Tulyakova</w:t>
      </w:r>
      <w:r w:rsidRPr="00E45EE8">
        <w:rPr>
          <w:rFonts w:ascii="Times New Roman" w:hAnsi="Times New Roman" w:cs="Times New Roman"/>
          <w:bCs/>
          <w:sz w:val="20"/>
          <w:lang w:val="en-US"/>
        </w:rPr>
        <w:t xml:space="preserve"> </w:t>
      </w:r>
      <w:r>
        <w:rPr>
          <w:rFonts w:ascii="Times New Roman" w:hAnsi="Times New Roman" w:cs="Times New Roman"/>
          <w:sz w:val="20"/>
          <w:lang w:val="en-GB"/>
        </w:rPr>
        <w:t>et</w:t>
      </w:r>
      <w:r w:rsidRPr="00E45EE8">
        <w:rPr>
          <w:rFonts w:ascii="Times New Roman" w:hAnsi="Times New Roman" w:cs="Times New Roman"/>
          <w:sz w:val="20"/>
          <w:lang w:val="en-US"/>
        </w:rPr>
        <w:t xml:space="preserve"> </w:t>
      </w:r>
      <w:r>
        <w:rPr>
          <w:rFonts w:ascii="Times New Roman" w:hAnsi="Times New Roman" w:cs="Times New Roman"/>
          <w:sz w:val="20"/>
          <w:lang w:val="en-GB"/>
        </w:rPr>
        <w:t>al</w:t>
      </w:r>
      <w:r w:rsidRPr="00E45EE8">
        <w:rPr>
          <w:rFonts w:ascii="Times New Roman" w:hAnsi="Times New Roman" w:cs="Times New Roman"/>
          <w:sz w:val="20"/>
          <w:lang w:val="en-US"/>
        </w:rPr>
        <w:t>.,</w:t>
      </w:r>
      <w:r w:rsidRPr="00E45EE8">
        <w:rPr>
          <w:rFonts w:ascii="Times New Roman" w:hAnsi="Times New Roman" w:cs="Times New Roman"/>
          <w:bCs/>
          <w:sz w:val="20"/>
          <w:lang w:val="en-US"/>
        </w:rPr>
        <w:t xml:space="preserve"> 2017; </w:t>
      </w:r>
      <w:r w:rsidR="0036673D">
        <w:rPr>
          <w:rFonts w:ascii="Times New Roman" w:hAnsi="Times New Roman" w:cs="Times New Roman"/>
          <w:sz w:val="20"/>
          <w:lang w:val="en-US"/>
        </w:rPr>
        <w:t xml:space="preserve">Dengov et al., 2018; </w:t>
      </w:r>
      <w:r w:rsidR="0036673D" w:rsidRPr="00197272">
        <w:rPr>
          <w:rFonts w:ascii="Times New Roman" w:hAnsi="Times New Roman" w:cs="Times New Roman"/>
          <w:bCs/>
          <w:sz w:val="20"/>
          <w:lang w:val="en-US"/>
        </w:rPr>
        <w:t>Tulyakova</w:t>
      </w:r>
      <w:r w:rsidR="0036673D">
        <w:rPr>
          <w:rFonts w:ascii="Times New Roman" w:hAnsi="Times New Roman" w:cs="Times New Roman"/>
          <w:bCs/>
          <w:sz w:val="20"/>
          <w:lang w:val="en-US"/>
        </w:rPr>
        <w:t xml:space="preserve"> &amp; Dengov</w:t>
      </w:r>
      <w:r w:rsidR="0036673D" w:rsidRPr="00197272">
        <w:rPr>
          <w:rFonts w:ascii="Times New Roman" w:hAnsi="Times New Roman" w:cs="Times New Roman"/>
          <w:bCs/>
          <w:sz w:val="20"/>
          <w:lang w:val="en-US"/>
        </w:rPr>
        <w:t>, 201</w:t>
      </w:r>
      <w:r w:rsidR="0036673D">
        <w:rPr>
          <w:rFonts w:ascii="Times New Roman" w:hAnsi="Times New Roman" w:cs="Times New Roman"/>
          <w:bCs/>
          <w:sz w:val="20"/>
          <w:lang w:val="en-US"/>
        </w:rPr>
        <w:t>8</w:t>
      </w:r>
      <w:r w:rsidR="0036673D">
        <w:rPr>
          <w:rFonts w:ascii="Times New Roman" w:hAnsi="Times New Roman" w:cs="Times New Roman"/>
          <w:bCs/>
          <w:sz w:val="20"/>
          <w:lang w:val="en-US"/>
        </w:rPr>
        <w:t xml:space="preserve">; </w:t>
      </w:r>
      <w:r>
        <w:rPr>
          <w:rFonts w:ascii="Times New Roman" w:hAnsi="Times New Roman" w:cs="Times New Roman"/>
          <w:bCs/>
          <w:sz w:val="20"/>
          <w:lang w:val="en-US"/>
        </w:rPr>
        <w:t>Tulyakova</w:t>
      </w:r>
      <w:r w:rsidRPr="00E45EE8">
        <w:rPr>
          <w:rFonts w:ascii="Times New Roman" w:hAnsi="Times New Roman" w:cs="Times New Roman"/>
          <w:bCs/>
          <w:sz w:val="20"/>
          <w:lang w:val="en-US"/>
        </w:rPr>
        <w:t xml:space="preserve"> </w:t>
      </w:r>
      <w:r>
        <w:rPr>
          <w:rFonts w:ascii="Times New Roman" w:hAnsi="Times New Roman" w:cs="Times New Roman"/>
          <w:sz w:val="20"/>
          <w:lang w:val="en-GB"/>
        </w:rPr>
        <w:t>et</w:t>
      </w:r>
      <w:r w:rsidRPr="00E45EE8">
        <w:rPr>
          <w:rFonts w:ascii="Times New Roman" w:hAnsi="Times New Roman" w:cs="Times New Roman"/>
          <w:sz w:val="20"/>
          <w:lang w:val="en-US"/>
        </w:rPr>
        <w:t xml:space="preserve"> </w:t>
      </w:r>
      <w:r>
        <w:rPr>
          <w:rFonts w:ascii="Times New Roman" w:hAnsi="Times New Roman" w:cs="Times New Roman"/>
          <w:sz w:val="20"/>
          <w:lang w:val="en-GB"/>
        </w:rPr>
        <w:t>al</w:t>
      </w:r>
      <w:r w:rsidRPr="00E45EE8">
        <w:rPr>
          <w:rFonts w:ascii="Times New Roman" w:hAnsi="Times New Roman" w:cs="Times New Roman"/>
          <w:sz w:val="20"/>
          <w:lang w:val="en-US"/>
        </w:rPr>
        <w:t>.,</w:t>
      </w:r>
      <w:r w:rsidRPr="00E45EE8">
        <w:rPr>
          <w:rFonts w:ascii="Times New Roman" w:hAnsi="Times New Roman" w:cs="Times New Roman"/>
          <w:bCs/>
          <w:sz w:val="20"/>
          <w:lang w:val="en-US"/>
        </w:rPr>
        <w:t xml:space="preserve"> 2019). Although the positions of the top three players in these markets are still quite stable, new players, formerly large importers of weapons, are trying to win back a part of the arms export market. First of all, we are talking about such countries as China</w:t>
      </w:r>
      <w:r w:rsidR="005F2D4D" w:rsidRPr="005F2D4D">
        <w:rPr>
          <w:rFonts w:ascii="Times New Roman" w:hAnsi="Times New Roman" w:cs="Times New Roman"/>
          <w:bCs/>
          <w:sz w:val="20"/>
          <w:lang w:val="en-US"/>
        </w:rPr>
        <w:t xml:space="preserve"> (PRC)</w:t>
      </w:r>
      <w:r w:rsidRPr="00E45EE8">
        <w:rPr>
          <w:rFonts w:ascii="Times New Roman" w:hAnsi="Times New Roman" w:cs="Times New Roman"/>
          <w:bCs/>
          <w:sz w:val="20"/>
          <w:lang w:val="en-US"/>
        </w:rPr>
        <w:t xml:space="preserve">, Japan, </w:t>
      </w:r>
      <w:r w:rsidR="00D66531" w:rsidRPr="00D66531">
        <w:rPr>
          <w:rFonts w:ascii="Times New Roman" w:hAnsi="Times New Roman" w:cs="Times New Roman"/>
          <w:bCs/>
          <w:sz w:val="20"/>
          <w:lang w:val="en-US"/>
        </w:rPr>
        <w:t>Saudi Arabia</w:t>
      </w:r>
      <w:r w:rsidRPr="00E45EE8">
        <w:rPr>
          <w:rFonts w:ascii="Times New Roman" w:hAnsi="Times New Roman" w:cs="Times New Roman"/>
          <w:bCs/>
          <w:sz w:val="20"/>
          <w:lang w:val="en-US"/>
        </w:rPr>
        <w:t xml:space="preserve">, </w:t>
      </w:r>
      <w:r>
        <w:rPr>
          <w:rFonts w:ascii="Times New Roman" w:hAnsi="Times New Roman" w:cs="Times New Roman"/>
          <w:bCs/>
          <w:sz w:val="20"/>
          <w:lang w:val="en-US"/>
        </w:rPr>
        <w:t>UAE</w:t>
      </w:r>
      <w:r w:rsidRPr="00E45EE8">
        <w:rPr>
          <w:rFonts w:ascii="Times New Roman" w:hAnsi="Times New Roman" w:cs="Times New Roman"/>
          <w:bCs/>
          <w:sz w:val="20"/>
          <w:lang w:val="en-US"/>
        </w:rPr>
        <w:t>, India (</w:t>
      </w:r>
      <w:r>
        <w:rPr>
          <w:rFonts w:ascii="Times New Roman" w:hAnsi="Times New Roman" w:cs="Times New Roman"/>
          <w:bCs/>
          <w:sz w:val="20"/>
          <w:lang w:val="en-US"/>
        </w:rPr>
        <w:t>Tulyakova</w:t>
      </w:r>
      <w:r w:rsidRPr="00E45EE8">
        <w:rPr>
          <w:rFonts w:ascii="Times New Roman" w:hAnsi="Times New Roman" w:cs="Times New Roman"/>
          <w:bCs/>
          <w:sz w:val="20"/>
          <w:lang w:val="en-US"/>
        </w:rPr>
        <w:t xml:space="preserve">, 2016; </w:t>
      </w:r>
      <w:r>
        <w:rPr>
          <w:rFonts w:ascii="Times New Roman" w:hAnsi="Times New Roman" w:cs="Times New Roman"/>
          <w:bCs/>
          <w:sz w:val="20"/>
          <w:lang w:val="en-US"/>
        </w:rPr>
        <w:t>Dengov</w:t>
      </w:r>
      <w:r w:rsidRPr="00E45EE8">
        <w:rPr>
          <w:rFonts w:ascii="Times New Roman" w:hAnsi="Times New Roman" w:cs="Times New Roman"/>
          <w:bCs/>
          <w:sz w:val="20"/>
          <w:lang w:val="en-US"/>
        </w:rPr>
        <w:t xml:space="preserve"> </w:t>
      </w:r>
      <w:r>
        <w:rPr>
          <w:rFonts w:ascii="Times New Roman" w:hAnsi="Times New Roman" w:cs="Times New Roman"/>
          <w:sz w:val="20"/>
          <w:lang w:val="en-GB"/>
        </w:rPr>
        <w:t>et</w:t>
      </w:r>
      <w:r w:rsidRPr="00E45EE8">
        <w:rPr>
          <w:rFonts w:ascii="Times New Roman" w:hAnsi="Times New Roman" w:cs="Times New Roman"/>
          <w:sz w:val="20"/>
          <w:lang w:val="en-US"/>
        </w:rPr>
        <w:t xml:space="preserve"> </w:t>
      </w:r>
      <w:r>
        <w:rPr>
          <w:rFonts w:ascii="Times New Roman" w:hAnsi="Times New Roman" w:cs="Times New Roman"/>
          <w:sz w:val="20"/>
          <w:lang w:val="en-GB"/>
        </w:rPr>
        <w:t>al</w:t>
      </w:r>
      <w:r w:rsidRPr="00E45EE8">
        <w:rPr>
          <w:rFonts w:ascii="Times New Roman" w:hAnsi="Times New Roman" w:cs="Times New Roman"/>
          <w:sz w:val="20"/>
          <w:lang w:val="en-US"/>
        </w:rPr>
        <w:t>.,</w:t>
      </w:r>
      <w:r w:rsidRPr="00E45EE8">
        <w:rPr>
          <w:rFonts w:ascii="Times New Roman" w:hAnsi="Times New Roman" w:cs="Times New Roman"/>
          <w:bCs/>
          <w:sz w:val="20"/>
          <w:lang w:val="en-US"/>
        </w:rPr>
        <w:t xml:space="preserve"> 2021). They began to accelerate the creation of their own large companies for the production of certain types of weapons and some of them were quite successful in this business. Of course, the success of any country in the global arms export market is determined by the number and size of its arms manufacturing companies, their place in the Top Lists. The changing situation among the leading arms companies can be observed in the annually published lists of the largest military companies. </w:t>
      </w:r>
      <w:r w:rsidR="00D66531" w:rsidRPr="00D66531">
        <w:rPr>
          <w:rFonts w:ascii="Times New Roman" w:hAnsi="Times New Roman" w:cs="Times New Roman"/>
          <w:bCs/>
          <w:sz w:val="20"/>
          <w:lang w:val="en-US"/>
        </w:rPr>
        <w:t>The most authoritative sources of this information include SIPRI and Defence News.</w:t>
      </w:r>
    </w:p>
    <w:p w14:paraId="4FA815B5" w14:textId="16A717E2" w:rsidR="008451E3" w:rsidRDefault="008451E3" w:rsidP="00E839C4">
      <w:pPr>
        <w:ind w:firstLine="284"/>
        <w:jc w:val="both"/>
        <w:rPr>
          <w:rFonts w:ascii="Times New Roman" w:hAnsi="Times New Roman" w:cs="Times New Roman"/>
          <w:bCs/>
          <w:sz w:val="20"/>
          <w:lang w:val="en-US"/>
        </w:rPr>
      </w:pPr>
      <w:r w:rsidRPr="008451E3">
        <w:rPr>
          <w:rFonts w:ascii="Times New Roman" w:hAnsi="Times New Roman" w:cs="Times New Roman"/>
          <w:bCs/>
          <w:sz w:val="20"/>
          <w:lang w:val="en-US"/>
        </w:rPr>
        <w:t>According to the Defence News website (2020), the first places in the TOP-100 are traditionally occupied by US companies. There are only 38 of them, and the share of the cost of the created products is more than 50%. The United States has been and remains the main producers of weapons and military equipment. Lockheed Martin alone creates $ 53,230 million worth of products per year. according to SIPRI data. And this is 14.5% of all that is created by the 25 largest companies in the world. Lockheed Martin has been at the top of the ranking for almost 20 years (since 2003). European companies are widely represented in this list (</w:t>
      </w:r>
      <w:r w:rsidRPr="00C91A05">
        <w:rPr>
          <w:rFonts w:ascii="Times New Roman" w:hAnsi="Times New Roman" w:cs="Times New Roman"/>
          <w:bCs/>
          <w:sz w:val="20"/>
          <w:lang w:val="en-US"/>
        </w:rPr>
        <w:t>Bitzinger</w:t>
      </w:r>
      <w:r w:rsidRPr="008451E3">
        <w:rPr>
          <w:rFonts w:ascii="Times New Roman" w:hAnsi="Times New Roman" w:cs="Times New Roman"/>
          <w:bCs/>
          <w:sz w:val="20"/>
          <w:lang w:val="en-US"/>
        </w:rPr>
        <w:t xml:space="preserve"> </w:t>
      </w:r>
      <w:r>
        <w:rPr>
          <w:rFonts w:ascii="Times New Roman" w:hAnsi="Times New Roman" w:cs="Times New Roman"/>
          <w:sz w:val="20"/>
          <w:lang w:val="en-GB"/>
        </w:rPr>
        <w:t>et</w:t>
      </w:r>
      <w:r w:rsidRPr="008451E3">
        <w:rPr>
          <w:rFonts w:ascii="Times New Roman" w:hAnsi="Times New Roman" w:cs="Times New Roman"/>
          <w:sz w:val="20"/>
          <w:lang w:val="en-US"/>
        </w:rPr>
        <w:t xml:space="preserve"> </w:t>
      </w:r>
      <w:r>
        <w:rPr>
          <w:rFonts w:ascii="Times New Roman" w:hAnsi="Times New Roman" w:cs="Times New Roman"/>
          <w:sz w:val="20"/>
          <w:lang w:val="en-GB"/>
        </w:rPr>
        <w:t>al</w:t>
      </w:r>
      <w:r w:rsidRPr="008451E3">
        <w:rPr>
          <w:rFonts w:ascii="Times New Roman" w:hAnsi="Times New Roman" w:cs="Times New Roman"/>
          <w:sz w:val="20"/>
          <w:lang w:val="en-US"/>
        </w:rPr>
        <w:t>.,</w:t>
      </w:r>
      <w:r w:rsidRPr="008451E3">
        <w:rPr>
          <w:rFonts w:ascii="Times New Roman" w:hAnsi="Times New Roman" w:cs="Times New Roman"/>
          <w:bCs/>
          <w:sz w:val="20"/>
          <w:lang w:val="en-US"/>
        </w:rPr>
        <w:t xml:space="preserve"> 2017). </w:t>
      </w:r>
    </w:p>
    <w:p w14:paraId="348C5FEA" w14:textId="41014322" w:rsidR="00E839C4" w:rsidRPr="0036673D" w:rsidRDefault="005F2D4D" w:rsidP="00E839C4">
      <w:pPr>
        <w:ind w:firstLine="284"/>
        <w:jc w:val="both"/>
        <w:rPr>
          <w:rFonts w:ascii="Times New Roman" w:hAnsi="Times New Roman" w:cs="Times New Roman"/>
          <w:bCs/>
          <w:sz w:val="20"/>
          <w:lang w:val="en-US"/>
        </w:rPr>
      </w:pPr>
      <w:r w:rsidRPr="005F2D4D">
        <w:rPr>
          <w:rFonts w:ascii="Times New Roman" w:hAnsi="Times New Roman" w:cs="Times New Roman"/>
          <w:bCs/>
          <w:sz w:val="20"/>
          <w:lang w:val="en-US"/>
        </w:rPr>
        <w:t>The emergence of open data on the PRC has led to the fact that in the top lists of recent years, Chinese firms are at the top of the list. The top 100 includes 8 companies from the PRC at once, and all of them are in the top twenty. But just a few years ago, some well-known experts in this field believed that the efforts of the Chinese government "had little positive impact on the country's military technological and industrial capabilities" (</w:t>
      </w:r>
      <w:r w:rsidRPr="00C91A05">
        <w:rPr>
          <w:rFonts w:ascii="Times New Roman" w:hAnsi="Times New Roman" w:cs="Times New Roman"/>
          <w:bCs/>
          <w:sz w:val="20"/>
          <w:lang w:val="en-US"/>
        </w:rPr>
        <w:t>Bitzinger</w:t>
      </w:r>
      <w:r w:rsidRPr="005F2D4D">
        <w:rPr>
          <w:rFonts w:ascii="Times New Roman" w:hAnsi="Times New Roman" w:cs="Times New Roman"/>
          <w:bCs/>
          <w:sz w:val="20"/>
          <w:lang w:val="en-US"/>
        </w:rPr>
        <w:t>, 2016). A distinctive feature of Chinese large military corporations is that military products account for only about 30% of total revenues, which indicates a high diversification. Therefore, to speak about the insufficient efficiency of the Chinese military market (Wang</w:t>
      </w:r>
      <w:r w:rsidRPr="005F2D4D">
        <w:rPr>
          <w:rFonts w:ascii="Times New Roman" w:hAnsi="Times New Roman" w:cs="Times New Roman"/>
          <w:sz w:val="20"/>
          <w:lang w:val="en-US"/>
        </w:rPr>
        <w:t xml:space="preserve"> </w:t>
      </w:r>
      <w:r>
        <w:rPr>
          <w:rFonts w:ascii="Times New Roman" w:hAnsi="Times New Roman" w:cs="Times New Roman"/>
          <w:sz w:val="20"/>
          <w:lang w:val="en-GB"/>
        </w:rPr>
        <w:t>et</w:t>
      </w:r>
      <w:r w:rsidRPr="005F2D4D">
        <w:rPr>
          <w:rFonts w:ascii="Times New Roman" w:hAnsi="Times New Roman" w:cs="Times New Roman"/>
          <w:sz w:val="20"/>
          <w:lang w:val="en-US"/>
        </w:rPr>
        <w:t xml:space="preserve"> </w:t>
      </w:r>
      <w:r>
        <w:rPr>
          <w:rFonts w:ascii="Times New Roman" w:hAnsi="Times New Roman" w:cs="Times New Roman"/>
          <w:sz w:val="20"/>
          <w:lang w:val="en-GB"/>
        </w:rPr>
        <w:t>al</w:t>
      </w:r>
      <w:r w:rsidRPr="005F2D4D">
        <w:rPr>
          <w:rFonts w:ascii="Times New Roman" w:hAnsi="Times New Roman" w:cs="Times New Roman"/>
          <w:sz w:val="20"/>
          <w:lang w:val="en-US"/>
        </w:rPr>
        <w:t>., 2019</w:t>
      </w:r>
      <w:r w:rsidRPr="005F2D4D">
        <w:rPr>
          <w:rFonts w:ascii="Times New Roman" w:hAnsi="Times New Roman" w:cs="Times New Roman"/>
          <w:bCs/>
          <w:sz w:val="20"/>
          <w:lang w:val="en-US"/>
        </w:rPr>
        <w:t>), in our opinion, is at least controversial. For example, the Aviation Industry Corporation of China (6th in 2019) of almost $ 67 billion in total revenue, 38% comes from military sales. A similar situation is with China Aerospace Science</w:t>
      </w:r>
      <w:r w:rsidR="00585203" w:rsidRPr="00585203">
        <w:rPr>
          <w:rFonts w:ascii="Times New Roman" w:hAnsi="Times New Roman" w:cs="Times New Roman"/>
          <w:bCs/>
          <w:sz w:val="20"/>
          <w:lang w:val="en-US"/>
        </w:rPr>
        <w:t xml:space="preserve"> </w:t>
      </w:r>
      <w:r w:rsidR="00585203" w:rsidRPr="00E839C4">
        <w:rPr>
          <w:rFonts w:ascii="Times New Roman" w:hAnsi="Times New Roman" w:cs="Times New Roman"/>
          <w:bCs/>
          <w:sz w:val="20"/>
          <w:lang w:val="en-US"/>
        </w:rPr>
        <w:t>and Industry Corporation (32%)</w:t>
      </w:r>
      <w:r w:rsidRPr="005F2D4D">
        <w:rPr>
          <w:rFonts w:ascii="Times New Roman" w:hAnsi="Times New Roman" w:cs="Times New Roman"/>
          <w:bCs/>
          <w:sz w:val="20"/>
          <w:lang w:val="en-US"/>
        </w:rPr>
        <w:t>, China Shipbuilding Industry Corporation</w:t>
      </w:r>
      <w:r w:rsidR="00585203" w:rsidRPr="00585203">
        <w:rPr>
          <w:rFonts w:ascii="Times New Roman" w:hAnsi="Times New Roman" w:cs="Times New Roman"/>
          <w:bCs/>
          <w:sz w:val="20"/>
          <w:lang w:val="en-US"/>
        </w:rPr>
        <w:t xml:space="preserve"> </w:t>
      </w:r>
      <w:r w:rsidR="00585203" w:rsidRPr="00E839C4">
        <w:rPr>
          <w:rFonts w:ascii="Times New Roman" w:hAnsi="Times New Roman" w:cs="Times New Roman"/>
          <w:bCs/>
          <w:sz w:val="20"/>
          <w:lang w:val="en-US"/>
        </w:rPr>
        <w:t>(20 %)</w:t>
      </w:r>
      <w:r w:rsidRPr="005F2D4D">
        <w:rPr>
          <w:rFonts w:ascii="Times New Roman" w:hAnsi="Times New Roman" w:cs="Times New Roman"/>
          <w:bCs/>
          <w:sz w:val="20"/>
          <w:lang w:val="en-US"/>
        </w:rPr>
        <w:t xml:space="preserve">. For comparison, the Russian company Almaz-Antey, which is always in the tops in high places, has 95% of its total revenue from military sales. Ranked 35, the Russian company Tactical Missiles Corporation </w:t>
      </w:r>
      <w:r w:rsidR="00585203" w:rsidRPr="00585203">
        <w:rPr>
          <w:rFonts w:ascii="Times New Roman" w:hAnsi="Times New Roman" w:cs="Times New Roman"/>
          <w:bCs/>
          <w:sz w:val="20"/>
          <w:lang w:val="en-US"/>
        </w:rPr>
        <w:t>JSC</w:t>
      </w:r>
      <w:r w:rsidR="00585203" w:rsidRPr="005F2D4D">
        <w:rPr>
          <w:rFonts w:ascii="Times New Roman" w:hAnsi="Times New Roman" w:cs="Times New Roman"/>
          <w:bCs/>
          <w:sz w:val="20"/>
          <w:lang w:val="en-US"/>
        </w:rPr>
        <w:t xml:space="preserve"> </w:t>
      </w:r>
      <w:r w:rsidRPr="005F2D4D">
        <w:rPr>
          <w:rFonts w:ascii="Times New Roman" w:hAnsi="Times New Roman" w:cs="Times New Roman"/>
          <w:bCs/>
          <w:sz w:val="20"/>
          <w:lang w:val="en-US"/>
        </w:rPr>
        <w:t xml:space="preserve">receives 98% of its revenue from military sales. </w:t>
      </w:r>
    </w:p>
    <w:p w14:paraId="3A929B4E" w14:textId="77777777" w:rsidR="00585203" w:rsidRPr="0036673D" w:rsidRDefault="00585203" w:rsidP="006842B0">
      <w:pPr>
        <w:ind w:firstLine="284"/>
        <w:jc w:val="both"/>
        <w:rPr>
          <w:rFonts w:ascii="Times New Roman" w:hAnsi="Times New Roman" w:cs="Times New Roman"/>
          <w:bCs/>
          <w:spacing w:val="-4"/>
          <w:sz w:val="20"/>
          <w:lang w:val="en-US"/>
        </w:rPr>
      </w:pPr>
      <w:r w:rsidRPr="00585203">
        <w:rPr>
          <w:sz w:val="20"/>
          <w:lang w:val="en-US"/>
        </w:rPr>
        <w:t>Recently</w:t>
      </w:r>
      <w:r w:rsidRPr="0036673D">
        <w:rPr>
          <w:sz w:val="20"/>
          <w:lang w:val="en-US"/>
        </w:rPr>
        <w:t xml:space="preserve">, </w:t>
      </w:r>
      <w:r w:rsidRPr="00585203">
        <w:rPr>
          <w:sz w:val="20"/>
          <w:lang w:val="en-US"/>
        </w:rPr>
        <w:t>in</w:t>
      </w:r>
      <w:r w:rsidRPr="0036673D">
        <w:rPr>
          <w:sz w:val="20"/>
          <w:lang w:val="en-US"/>
        </w:rPr>
        <w:t xml:space="preserve"> </w:t>
      </w:r>
      <w:r w:rsidRPr="00585203">
        <w:rPr>
          <w:sz w:val="20"/>
          <w:lang w:val="en-US"/>
        </w:rPr>
        <w:t>addition</w:t>
      </w:r>
      <w:r w:rsidRPr="0036673D">
        <w:rPr>
          <w:sz w:val="20"/>
          <w:lang w:val="en-US"/>
        </w:rPr>
        <w:t xml:space="preserve"> </w:t>
      </w:r>
      <w:r w:rsidRPr="00585203">
        <w:rPr>
          <w:sz w:val="20"/>
          <w:lang w:val="en-US"/>
        </w:rPr>
        <w:t>to</w:t>
      </w:r>
      <w:r w:rsidRPr="0036673D">
        <w:rPr>
          <w:sz w:val="20"/>
          <w:lang w:val="en-US"/>
        </w:rPr>
        <w:t xml:space="preserve"> </w:t>
      </w:r>
      <w:r w:rsidRPr="00585203">
        <w:rPr>
          <w:sz w:val="20"/>
          <w:lang w:val="en-US"/>
        </w:rPr>
        <w:t>European</w:t>
      </w:r>
      <w:r w:rsidRPr="0036673D">
        <w:rPr>
          <w:sz w:val="20"/>
          <w:lang w:val="en-US"/>
        </w:rPr>
        <w:t xml:space="preserve">, </w:t>
      </w:r>
      <w:r w:rsidRPr="00585203">
        <w:rPr>
          <w:sz w:val="20"/>
          <w:lang w:val="en-US"/>
        </w:rPr>
        <w:t>American</w:t>
      </w:r>
      <w:r w:rsidRPr="0036673D">
        <w:rPr>
          <w:sz w:val="20"/>
          <w:lang w:val="en-US"/>
        </w:rPr>
        <w:t xml:space="preserve"> </w:t>
      </w:r>
      <w:r w:rsidRPr="00585203">
        <w:rPr>
          <w:sz w:val="20"/>
          <w:lang w:val="en-US"/>
        </w:rPr>
        <w:t>and</w:t>
      </w:r>
      <w:r w:rsidRPr="0036673D">
        <w:rPr>
          <w:sz w:val="20"/>
          <w:lang w:val="en-US"/>
        </w:rPr>
        <w:t xml:space="preserve"> </w:t>
      </w:r>
      <w:r w:rsidRPr="00585203">
        <w:rPr>
          <w:sz w:val="20"/>
          <w:lang w:val="en-US"/>
        </w:rPr>
        <w:t>Russian</w:t>
      </w:r>
      <w:r w:rsidRPr="0036673D">
        <w:rPr>
          <w:sz w:val="20"/>
          <w:lang w:val="en-US"/>
        </w:rPr>
        <w:t xml:space="preserve"> </w:t>
      </w:r>
      <w:r w:rsidRPr="00585203">
        <w:rPr>
          <w:sz w:val="20"/>
          <w:lang w:val="en-US"/>
        </w:rPr>
        <w:t>companies</w:t>
      </w:r>
      <w:r w:rsidRPr="0036673D">
        <w:rPr>
          <w:sz w:val="20"/>
          <w:lang w:val="en-US"/>
        </w:rPr>
        <w:t xml:space="preserve">, </w:t>
      </w:r>
      <w:r w:rsidRPr="00585203">
        <w:rPr>
          <w:sz w:val="20"/>
          <w:lang w:val="en-US"/>
        </w:rPr>
        <w:t>more</w:t>
      </w:r>
      <w:r w:rsidRPr="0036673D">
        <w:rPr>
          <w:sz w:val="20"/>
          <w:lang w:val="en-US"/>
        </w:rPr>
        <w:t xml:space="preserve"> </w:t>
      </w:r>
      <w:r w:rsidRPr="00585203">
        <w:rPr>
          <w:sz w:val="20"/>
          <w:lang w:val="en-US"/>
        </w:rPr>
        <w:t>and</w:t>
      </w:r>
      <w:r w:rsidRPr="0036673D">
        <w:rPr>
          <w:sz w:val="20"/>
          <w:lang w:val="en-US"/>
        </w:rPr>
        <w:t xml:space="preserve"> </w:t>
      </w:r>
      <w:r w:rsidRPr="00585203">
        <w:rPr>
          <w:sz w:val="20"/>
          <w:lang w:val="en-US"/>
        </w:rPr>
        <w:t>more</w:t>
      </w:r>
      <w:r w:rsidRPr="0036673D">
        <w:rPr>
          <w:spacing w:val="-4"/>
          <w:sz w:val="20"/>
          <w:lang w:val="en-US"/>
        </w:rPr>
        <w:t xml:space="preserve"> </w:t>
      </w:r>
      <w:r w:rsidRPr="00585203">
        <w:rPr>
          <w:spacing w:val="-4"/>
          <w:sz w:val="20"/>
          <w:lang w:val="en-US"/>
        </w:rPr>
        <w:t>companies</w:t>
      </w:r>
      <w:r w:rsidRPr="0036673D">
        <w:rPr>
          <w:spacing w:val="-4"/>
          <w:sz w:val="20"/>
          <w:lang w:val="en-US"/>
        </w:rPr>
        <w:t xml:space="preserve"> </w:t>
      </w:r>
      <w:r w:rsidRPr="00585203">
        <w:rPr>
          <w:spacing w:val="-4"/>
          <w:sz w:val="20"/>
          <w:lang w:val="en-US"/>
        </w:rPr>
        <w:t>from</w:t>
      </w:r>
      <w:r w:rsidRPr="0036673D">
        <w:rPr>
          <w:spacing w:val="-4"/>
          <w:sz w:val="20"/>
          <w:lang w:val="en-US"/>
        </w:rPr>
        <w:t xml:space="preserve"> </w:t>
      </w:r>
      <w:r w:rsidRPr="00585203">
        <w:rPr>
          <w:spacing w:val="-4"/>
          <w:sz w:val="20"/>
          <w:lang w:val="en-US"/>
        </w:rPr>
        <w:t>Asia</w:t>
      </w:r>
      <w:r w:rsidRPr="0036673D">
        <w:rPr>
          <w:spacing w:val="-4"/>
          <w:sz w:val="20"/>
          <w:lang w:val="en-US"/>
        </w:rPr>
        <w:t xml:space="preserve">, </w:t>
      </w:r>
      <w:r w:rsidRPr="00585203">
        <w:rPr>
          <w:spacing w:val="-4"/>
          <w:sz w:val="20"/>
          <w:lang w:val="en-US"/>
        </w:rPr>
        <w:t>namely</w:t>
      </w:r>
      <w:r w:rsidRPr="0036673D">
        <w:rPr>
          <w:spacing w:val="-4"/>
          <w:sz w:val="20"/>
          <w:lang w:val="en-US"/>
        </w:rPr>
        <w:t xml:space="preserve"> </w:t>
      </w:r>
      <w:r w:rsidRPr="00585203">
        <w:rPr>
          <w:spacing w:val="-4"/>
          <w:sz w:val="20"/>
          <w:lang w:val="en-US"/>
        </w:rPr>
        <w:t>Japanese</w:t>
      </w:r>
      <w:r w:rsidRPr="0036673D">
        <w:rPr>
          <w:spacing w:val="-4"/>
          <w:sz w:val="20"/>
          <w:lang w:val="en-US"/>
        </w:rPr>
        <w:t xml:space="preserve"> </w:t>
      </w:r>
      <w:r w:rsidRPr="00585203">
        <w:rPr>
          <w:spacing w:val="-4"/>
          <w:sz w:val="20"/>
          <w:lang w:val="en-US"/>
        </w:rPr>
        <w:t>and</w:t>
      </w:r>
      <w:r w:rsidRPr="0036673D">
        <w:rPr>
          <w:spacing w:val="-4"/>
          <w:sz w:val="20"/>
          <w:lang w:val="en-US"/>
        </w:rPr>
        <w:t xml:space="preserve"> </w:t>
      </w:r>
      <w:r w:rsidRPr="00585203">
        <w:rPr>
          <w:spacing w:val="-4"/>
          <w:sz w:val="20"/>
          <w:lang w:val="en-US"/>
        </w:rPr>
        <w:t>South</w:t>
      </w:r>
      <w:r w:rsidRPr="0036673D">
        <w:rPr>
          <w:spacing w:val="-4"/>
          <w:sz w:val="20"/>
          <w:lang w:val="en-US"/>
        </w:rPr>
        <w:t xml:space="preserve"> </w:t>
      </w:r>
      <w:r w:rsidRPr="00585203">
        <w:rPr>
          <w:spacing w:val="-4"/>
          <w:sz w:val="20"/>
          <w:lang w:val="en-US"/>
        </w:rPr>
        <w:t>Korean</w:t>
      </w:r>
      <w:r w:rsidRPr="0036673D">
        <w:rPr>
          <w:spacing w:val="-4"/>
          <w:sz w:val="20"/>
          <w:lang w:val="en-US"/>
        </w:rPr>
        <w:t xml:space="preserve"> </w:t>
      </w:r>
      <w:r w:rsidRPr="00585203">
        <w:rPr>
          <w:spacing w:val="-4"/>
          <w:sz w:val="20"/>
          <w:lang w:val="en-US"/>
        </w:rPr>
        <w:t>companies</w:t>
      </w:r>
      <w:r w:rsidRPr="0036673D">
        <w:rPr>
          <w:spacing w:val="-4"/>
          <w:sz w:val="20"/>
          <w:lang w:val="en-US"/>
        </w:rPr>
        <w:t xml:space="preserve">, </w:t>
      </w:r>
      <w:r w:rsidRPr="00585203">
        <w:rPr>
          <w:spacing w:val="-4"/>
          <w:sz w:val="20"/>
          <w:lang w:val="en-US"/>
        </w:rPr>
        <w:t>have</w:t>
      </w:r>
      <w:r w:rsidRPr="0036673D">
        <w:rPr>
          <w:spacing w:val="-4"/>
          <w:sz w:val="20"/>
          <w:lang w:val="en-US"/>
        </w:rPr>
        <w:t xml:space="preserve"> </w:t>
      </w:r>
      <w:r w:rsidRPr="00585203">
        <w:rPr>
          <w:spacing w:val="-4"/>
          <w:sz w:val="20"/>
          <w:lang w:val="en-US"/>
        </w:rPr>
        <w:t>been</w:t>
      </w:r>
      <w:r w:rsidRPr="0036673D">
        <w:rPr>
          <w:spacing w:val="-4"/>
          <w:sz w:val="20"/>
          <w:lang w:val="en-US"/>
        </w:rPr>
        <w:t xml:space="preserve"> </w:t>
      </w:r>
      <w:r w:rsidRPr="00585203">
        <w:rPr>
          <w:spacing w:val="-4"/>
          <w:sz w:val="20"/>
          <w:lang w:val="en-US"/>
        </w:rPr>
        <w:t>on</w:t>
      </w:r>
      <w:r w:rsidRPr="0036673D">
        <w:rPr>
          <w:spacing w:val="-4"/>
          <w:sz w:val="20"/>
          <w:lang w:val="en-US"/>
        </w:rPr>
        <w:t xml:space="preserve"> </w:t>
      </w:r>
      <w:r w:rsidRPr="00585203">
        <w:rPr>
          <w:spacing w:val="-4"/>
          <w:sz w:val="20"/>
          <w:lang w:val="en-US"/>
        </w:rPr>
        <w:t>the</w:t>
      </w:r>
      <w:r w:rsidRPr="0036673D">
        <w:rPr>
          <w:spacing w:val="-4"/>
          <w:sz w:val="20"/>
          <w:lang w:val="en-US"/>
        </w:rPr>
        <w:t xml:space="preserve"> </w:t>
      </w:r>
      <w:r w:rsidRPr="00585203">
        <w:rPr>
          <w:spacing w:val="-4"/>
          <w:sz w:val="20"/>
          <w:lang w:val="en-US"/>
        </w:rPr>
        <w:t>top</w:t>
      </w:r>
      <w:r w:rsidRPr="0036673D">
        <w:rPr>
          <w:spacing w:val="-4"/>
          <w:sz w:val="20"/>
          <w:lang w:val="en-US"/>
        </w:rPr>
        <w:t xml:space="preserve"> </w:t>
      </w:r>
      <w:r w:rsidRPr="00585203">
        <w:rPr>
          <w:spacing w:val="-4"/>
          <w:sz w:val="20"/>
          <w:lang w:val="en-US"/>
        </w:rPr>
        <w:t>lists</w:t>
      </w:r>
      <w:r w:rsidRPr="0036673D">
        <w:rPr>
          <w:spacing w:val="-4"/>
          <w:sz w:val="20"/>
          <w:lang w:val="en-US"/>
        </w:rPr>
        <w:t>.</w:t>
      </w:r>
    </w:p>
    <w:p w14:paraId="0450D52A" w14:textId="260BD464" w:rsidR="006842B0" w:rsidRPr="006842B0" w:rsidRDefault="00585203" w:rsidP="006842B0">
      <w:pPr>
        <w:ind w:firstLine="284"/>
        <w:jc w:val="both"/>
        <w:rPr>
          <w:rFonts w:ascii="Times New Roman" w:hAnsi="Times New Roman" w:cs="Times New Roman"/>
          <w:bCs/>
          <w:sz w:val="20"/>
          <w:lang w:val="en-US"/>
        </w:rPr>
      </w:pPr>
      <w:r w:rsidRPr="00585203">
        <w:rPr>
          <w:rFonts w:ascii="Times New Roman" w:hAnsi="Times New Roman" w:cs="Times New Roman"/>
          <w:bCs/>
          <w:sz w:val="20"/>
          <w:lang w:val="en-US"/>
        </w:rPr>
        <w:t xml:space="preserve">The desire to become independent from foreign suppliers, the high demand for weapons and financial capabilities lead to the creation of new national defense companies. In particular, in the Middle East, these are the UAE and Saudi Arabia. In the Top 25 SIPRI for 2019, for the first time, EDGE from the UAE was in 22nd place with 95% of military sales of total revenue (about $ 5 billion). Saudi Arabian Military Industries (SAMI) was established in 2017. The agreements it concluded on joint production with US, EU and Russian companies, the transfer of technology and the localization of production in the country should lead to the fact that this company will soon also be included in the top lists of world arms manufacturers. This approach may become one of the main trends in the near future. Back in 2014, a number of specialists built an agency simulation model for the development of the European defense industry. </w:t>
      </w:r>
      <w:r>
        <w:rPr>
          <w:rFonts w:ascii="Times New Roman" w:hAnsi="Times New Roman" w:cs="Times New Roman"/>
          <w:bCs/>
          <w:sz w:val="20"/>
          <w:lang w:val="en-US"/>
        </w:rPr>
        <w:t>“</w:t>
      </w:r>
      <w:r w:rsidR="006842B0" w:rsidRPr="006842B0">
        <w:rPr>
          <w:rFonts w:ascii="Times New Roman" w:hAnsi="Times New Roman" w:cs="Times New Roman"/>
          <w:bCs/>
          <w:sz w:val="20"/>
          <w:lang w:val="en-US"/>
        </w:rPr>
        <w:t>The simulation analysis points out that European defence firms will progressively become more efficient, less dependent on public procurement and innovation policy support, and more prone to knowledge sharing and inter-firm collaborations. This firm-level dynamics will in the long-run lead to an increase in the industry's export propensity and a less concentrated export market</w:t>
      </w:r>
      <w:r>
        <w:rPr>
          <w:rFonts w:ascii="Times New Roman" w:hAnsi="Times New Roman" w:cs="Times New Roman"/>
          <w:bCs/>
          <w:sz w:val="20"/>
          <w:lang w:val="en-US"/>
        </w:rPr>
        <w:t>”</w:t>
      </w:r>
      <w:r w:rsidR="006842B0" w:rsidRPr="006842B0">
        <w:rPr>
          <w:rFonts w:ascii="Times New Roman" w:hAnsi="Times New Roman" w:cs="Times New Roman"/>
          <w:bCs/>
          <w:sz w:val="20"/>
          <w:lang w:val="en-US"/>
        </w:rPr>
        <w:t xml:space="preserve"> (Blom, </w:t>
      </w:r>
      <w:r w:rsidR="006842B0">
        <w:rPr>
          <w:rFonts w:ascii="Times New Roman" w:hAnsi="Times New Roman" w:cs="Times New Roman"/>
          <w:sz w:val="20"/>
          <w:lang w:val="en-GB"/>
        </w:rPr>
        <w:t>et</w:t>
      </w:r>
      <w:r w:rsidR="006842B0" w:rsidRPr="006842B0">
        <w:rPr>
          <w:rFonts w:ascii="Times New Roman" w:hAnsi="Times New Roman" w:cs="Times New Roman"/>
          <w:sz w:val="20"/>
          <w:lang w:val="en-US"/>
        </w:rPr>
        <w:t xml:space="preserve"> </w:t>
      </w:r>
      <w:r w:rsidR="006842B0">
        <w:rPr>
          <w:rFonts w:ascii="Times New Roman" w:hAnsi="Times New Roman" w:cs="Times New Roman"/>
          <w:sz w:val="20"/>
          <w:lang w:val="en-GB"/>
        </w:rPr>
        <w:t>al</w:t>
      </w:r>
      <w:r w:rsidR="006842B0" w:rsidRPr="006842B0">
        <w:rPr>
          <w:rFonts w:ascii="Times New Roman" w:hAnsi="Times New Roman" w:cs="Times New Roman"/>
          <w:sz w:val="20"/>
          <w:lang w:val="en-US"/>
        </w:rPr>
        <w:t>., 201</w:t>
      </w:r>
      <w:r w:rsidR="006842B0" w:rsidRPr="00194286">
        <w:rPr>
          <w:rFonts w:ascii="Times New Roman" w:hAnsi="Times New Roman" w:cs="Times New Roman"/>
          <w:sz w:val="20"/>
          <w:lang w:val="en-US"/>
        </w:rPr>
        <w:t>4)</w:t>
      </w:r>
      <w:r w:rsidR="006842B0" w:rsidRPr="006842B0">
        <w:rPr>
          <w:rFonts w:ascii="Times New Roman" w:hAnsi="Times New Roman" w:cs="Times New Roman"/>
          <w:bCs/>
          <w:sz w:val="20"/>
          <w:lang w:val="en-US"/>
        </w:rPr>
        <w:t>.</w:t>
      </w:r>
    </w:p>
    <w:p w14:paraId="1B9F9053" w14:textId="3D5EACA9" w:rsidR="00404C70" w:rsidRDefault="00404C70" w:rsidP="00404C70">
      <w:pPr>
        <w:spacing w:before="360" w:after="120"/>
        <w:jc w:val="both"/>
        <w:rPr>
          <w:rFonts w:ascii="Times New Roman" w:hAnsi="Times New Roman" w:cs="Times New Roman"/>
          <w:b/>
          <w:szCs w:val="24"/>
          <w:lang w:val="en-GB"/>
        </w:rPr>
      </w:pPr>
      <w:r w:rsidRPr="00404C70">
        <w:rPr>
          <w:rFonts w:ascii="Times New Roman" w:hAnsi="Times New Roman" w:cs="Times New Roman"/>
          <w:b/>
          <w:caps/>
          <w:szCs w:val="24"/>
          <w:lang w:val="en-GB"/>
        </w:rPr>
        <w:t xml:space="preserve">2 </w:t>
      </w:r>
      <w:r w:rsidRPr="00404C70">
        <w:rPr>
          <w:rFonts w:ascii="Times New Roman" w:hAnsi="Times New Roman" w:cs="Times New Roman"/>
          <w:b/>
          <w:szCs w:val="24"/>
          <w:lang w:val="en-GB"/>
        </w:rPr>
        <w:t>Methodology, databases and analytical sources of research</w:t>
      </w:r>
    </w:p>
    <w:p w14:paraId="482116E5" w14:textId="77777777" w:rsidR="00EA53AD" w:rsidRPr="00EA53AD" w:rsidRDefault="00EA53AD" w:rsidP="00EA53AD">
      <w:pPr>
        <w:jc w:val="both"/>
        <w:rPr>
          <w:rFonts w:ascii="Times New Roman" w:hAnsi="Times New Roman" w:cs="Times New Roman"/>
          <w:sz w:val="20"/>
          <w:lang w:val="en-US"/>
        </w:rPr>
      </w:pPr>
      <w:r w:rsidRPr="00EA53AD">
        <w:rPr>
          <w:rFonts w:ascii="Times New Roman" w:hAnsi="Times New Roman" w:cs="Times New Roman"/>
          <w:sz w:val="20"/>
          <w:lang w:val="en-US"/>
        </w:rPr>
        <w:t>The statistics for the analysis were taken from databases of think tanks, which rely mainly on information from open sources or data obtained on a voluntary basis from the manufacturers themselves. It should be noted that this is why it is difficult to draw a completely realistic picture from the top lists. Since the financial component is often classified information, agencies devise their own differing valuation methods. At the same time, the use of various mechanisms for calculating and determining prices for different types of weapons leads to a significant discrepancy in figures. Therefore, in one study it is necessary to mainly use data from only one or two agencies. In addition to the already mentioned Defense News website, we mainly used SIPRI data when conducting international comparisons. This allows, without having 100% reliable figures, at least to observe the main trends. The statistics provided by this agency are used by many researchers, are completely open, but have their own specific assessment methodology</w:t>
      </w:r>
      <w:r>
        <w:rPr>
          <w:rFonts w:ascii="Times New Roman" w:hAnsi="Times New Roman" w:cs="Times New Roman"/>
          <w:sz w:val="20"/>
          <w:lang w:val="en-US"/>
        </w:rPr>
        <w:t xml:space="preserve"> </w:t>
      </w:r>
      <w:r w:rsidRPr="00EA53AD">
        <w:rPr>
          <w:rFonts w:ascii="Times New Roman" w:hAnsi="Times New Roman" w:cs="Times New Roman"/>
          <w:sz w:val="20"/>
          <w:lang w:val="en-US"/>
        </w:rPr>
        <w:t>(</w:t>
      </w:r>
      <w:r w:rsidRPr="00EA53AD">
        <w:rPr>
          <w:rFonts w:ascii="Times New Roman" w:hAnsi="Times New Roman" w:cs="Times New Roman"/>
          <w:iCs/>
          <w:sz w:val="20"/>
        </w:rPr>
        <w:t>Fleurant and Tian, 2018</w:t>
      </w:r>
      <w:r w:rsidRPr="00EA53AD">
        <w:rPr>
          <w:rFonts w:ascii="Times New Roman" w:hAnsi="Times New Roman" w:cs="Times New Roman"/>
          <w:sz w:val="20"/>
          <w:lang w:val="en-US"/>
        </w:rPr>
        <w:t xml:space="preserve">). </w:t>
      </w:r>
    </w:p>
    <w:p w14:paraId="268A5313" w14:textId="084B6982" w:rsidR="00933FDD" w:rsidRPr="008869EB" w:rsidRDefault="00EA53AD" w:rsidP="008869EB">
      <w:pPr>
        <w:ind w:firstLine="284"/>
        <w:jc w:val="both"/>
        <w:rPr>
          <w:rFonts w:ascii="Times New Roman" w:hAnsi="Times New Roman" w:cs="Times New Roman"/>
          <w:sz w:val="20"/>
          <w:lang w:val="en-US"/>
        </w:rPr>
      </w:pPr>
      <w:r w:rsidRPr="00EA53AD">
        <w:rPr>
          <w:rFonts w:ascii="Times New Roman" w:hAnsi="Times New Roman" w:cs="Times New Roman"/>
          <w:sz w:val="20"/>
          <w:lang w:val="en-US"/>
        </w:rPr>
        <w:t>There are several analytical agencies in Russia.</w:t>
      </w:r>
      <w:r>
        <w:rPr>
          <w:rFonts w:ascii="Times New Roman" w:hAnsi="Times New Roman" w:cs="Times New Roman"/>
          <w:sz w:val="20"/>
          <w:lang w:val="en-US"/>
        </w:rPr>
        <w:t xml:space="preserve"> </w:t>
      </w:r>
      <w:r w:rsidR="008869EB" w:rsidRPr="008869EB">
        <w:rPr>
          <w:rFonts w:ascii="Times New Roman" w:hAnsi="Times New Roman" w:cs="Times New Roman"/>
          <w:sz w:val="20"/>
          <w:lang w:val="en-US"/>
        </w:rPr>
        <w:t xml:space="preserve">Taking into account the area of this research, when analyzing the financial condition of the leading Russian military corporations, we used the information provided by the system of professional analysis of markets and companies, created by the Interfax </w:t>
      </w:r>
      <w:r w:rsidRPr="008869EB">
        <w:rPr>
          <w:rFonts w:ascii="Times New Roman" w:hAnsi="Times New Roman" w:cs="Times New Roman"/>
          <w:sz w:val="20"/>
          <w:lang w:val="en-US"/>
        </w:rPr>
        <w:t>Group</w:t>
      </w:r>
      <w:r w:rsidR="008869EB" w:rsidRPr="008869EB">
        <w:rPr>
          <w:rFonts w:ascii="Times New Roman" w:hAnsi="Times New Roman" w:cs="Times New Roman"/>
          <w:sz w:val="20"/>
          <w:lang w:val="en-US"/>
        </w:rPr>
        <w:t>.</w:t>
      </w:r>
    </w:p>
    <w:p w14:paraId="6780BEED" w14:textId="77777777" w:rsidR="00EA53AD" w:rsidRPr="00EA53AD" w:rsidRDefault="00EA53AD" w:rsidP="00EA53AD">
      <w:pPr>
        <w:ind w:firstLine="284"/>
        <w:jc w:val="both"/>
        <w:rPr>
          <w:rFonts w:ascii="Times New Roman" w:hAnsi="Times New Roman" w:cs="Times New Roman"/>
          <w:spacing w:val="-2"/>
          <w:sz w:val="20"/>
          <w:lang w:val="en-US"/>
        </w:rPr>
      </w:pPr>
      <w:r w:rsidRPr="00EA53AD">
        <w:rPr>
          <w:rFonts w:ascii="Times New Roman" w:hAnsi="Times New Roman" w:cs="Times New Roman"/>
          <w:spacing w:val="-2"/>
          <w:sz w:val="20"/>
          <w:lang w:val="en-US"/>
        </w:rPr>
        <w:t xml:space="preserve">Statistical methods and methods of system analysis are used in this article as analysis tools. </w:t>
      </w:r>
    </w:p>
    <w:p w14:paraId="49C1672A" w14:textId="33F88287" w:rsidR="00404C70" w:rsidRPr="0055081E" w:rsidRDefault="00404C70" w:rsidP="00C7578C">
      <w:pPr>
        <w:spacing w:before="360" w:after="120"/>
        <w:jc w:val="both"/>
        <w:rPr>
          <w:rFonts w:ascii="Times New Roman" w:hAnsi="Times New Roman" w:cs="Times New Roman"/>
          <w:b/>
          <w:bCs/>
          <w:szCs w:val="24"/>
          <w:lang w:val="en-US"/>
        </w:rPr>
      </w:pPr>
      <w:r w:rsidRPr="0055081E">
        <w:rPr>
          <w:rFonts w:ascii="Times New Roman" w:hAnsi="Times New Roman" w:cs="Times New Roman"/>
          <w:b/>
          <w:bCs/>
          <w:caps/>
          <w:szCs w:val="24"/>
          <w:lang w:val="en-US"/>
        </w:rPr>
        <w:t xml:space="preserve">3 </w:t>
      </w:r>
      <w:r w:rsidRPr="00404C70">
        <w:rPr>
          <w:rFonts w:ascii="Times New Roman" w:hAnsi="Times New Roman" w:cs="Times New Roman"/>
          <w:b/>
          <w:bCs/>
          <w:szCs w:val="24"/>
          <w:lang w:val="en-GB"/>
        </w:rPr>
        <w:t>Results</w:t>
      </w:r>
    </w:p>
    <w:p w14:paraId="2F810A17" w14:textId="721C3781" w:rsidR="0055081E" w:rsidRPr="0055081E" w:rsidRDefault="0055081E" w:rsidP="0055081E">
      <w:pPr>
        <w:jc w:val="both"/>
        <w:rPr>
          <w:rFonts w:ascii="Times New Roman" w:hAnsi="Times New Roman" w:cs="Times New Roman"/>
          <w:sz w:val="20"/>
          <w:lang w:val="en-US"/>
        </w:rPr>
      </w:pPr>
      <w:r w:rsidRPr="0055081E">
        <w:rPr>
          <w:rFonts w:ascii="Times New Roman" w:hAnsi="Times New Roman" w:cs="Times New Roman"/>
          <w:sz w:val="20"/>
          <w:lang w:val="en-US"/>
        </w:rPr>
        <w:t>At the previous stage of reforming the Russian defense-industrial complex through centralization and integration, corporations were formed that became practically monopolists in their sphere of military production. Along with industry corporations (such as the United Aircraft Corporation</w:t>
      </w:r>
      <w:r>
        <w:rPr>
          <w:rFonts w:ascii="Times New Roman" w:hAnsi="Times New Roman" w:cs="Times New Roman"/>
          <w:sz w:val="20"/>
          <w:lang w:val="en-US"/>
        </w:rPr>
        <w:t xml:space="preserve"> (UAC)</w:t>
      </w:r>
      <w:r w:rsidRPr="0055081E">
        <w:rPr>
          <w:rFonts w:ascii="Times New Roman" w:hAnsi="Times New Roman" w:cs="Times New Roman"/>
          <w:sz w:val="20"/>
          <w:lang w:val="en-US"/>
        </w:rPr>
        <w:t>, United Shipbuilding Corporation</w:t>
      </w:r>
      <w:r>
        <w:rPr>
          <w:rFonts w:ascii="Times New Roman" w:hAnsi="Times New Roman" w:cs="Times New Roman"/>
          <w:sz w:val="20"/>
          <w:lang w:val="en-US"/>
        </w:rPr>
        <w:t xml:space="preserve"> (USK)</w:t>
      </w:r>
      <w:r w:rsidRPr="0055081E">
        <w:rPr>
          <w:rFonts w:ascii="Times New Roman" w:hAnsi="Times New Roman" w:cs="Times New Roman"/>
          <w:sz w:val="20"/>
          <w:lang w:val="en-US"/>
        </w:rPr>
        <w:t xml:space="preserve">, etc.), it was announced the creation of state corporations such as </w:t>
      </w:r>
      <w:r w:rsidR="004E673F" w:rsidRPr="004E673F">
        <w:rPr>
          <w:rFonts w:ascii="Times New Roman" w:hAnsi="Times New Roman" w:cs="Times New Roman"/>
          <w:sz w:val="20"/>
          <w:lang w:val="en-US"/>
        </w:rPr>
        <w:t>Rostec</w:t>
      </w:r>
      <w:r w:rsidRPr="0055081E">
        <w:rPr>
          <w:rFonts w:ascii="Times New Roman" w:hAnsi="Times New Roman" w:cs="Times New Roman"/>
          <w:sz w:val="20"/>
          <w:lang w:val="en-US"/>
        </w:rPr>
        <w:t>.</w:t>
      </w:r>
    </w:p>
    <w:p w14:paraId="1712D344" w14:textId="6B8C6345" w:rsidR="0055081E" w:rsidRPr="0055081E" w:rsidRDefault="0055081E" w:rsidP="0055081E">
      <w:pPr>
        <w:ind w:firstLine="284"/>
        <w:jc w:val="both"/>
        <w:rPr>
          <w:rFonts w:ascii="Times New Roman" w:hAnsi="Times New Roman" w:cs="Times New Roman"/>
          <w:sz w:val="20"/>
          <w:lang w:val="en-US"/>
        </w:rPr>
      </w:pPr>
      <w:r w:rsidRPr="0055081E">
        <w:rPr>
          <w:rFonts w:ascii="Times New Roman" w:hAnsi="Times New Roman" w:cs="Times New Roman"/>
          <w:sz w:val="20"/>
          <w:lang w:val="en-US"/>
        </w:rPr>
        <w:t xml:space="preserve">State corporations and large industry corporations are similar in that in fact they represent the most complex form of corporate integration, characterized by a high degree of nesting of managed structures. </w:t>
      </w:r>
      <w:r w:rsidR="004E673F" w:rsidRPr="004E673F">
        <w:rPr>
          <w:rFonts w:ascii="Times New Roman" w:hAnsi="Times New Roman" w:cs="Times New Roman"/>
          <w:sz w:val="20"/>
          <w:lang w:val="en-US"/>
        </w:rPr>
        <w:t xml:space="preserve">For example, the state corporation </w:t>
      </w:r>
      <w:bookmarkStart w:id="1" w:name="_Hlk78896609"/>
      <w:r w:rsidR="004E673F" w:rsidRPr="004E673F">
        <w:rPr>
          <w:rFonts w:ascii="Times New Roman" w:hAnsi="Times New Roman" w:cs="Times New Roman"/>
          <w:sz w:val="20"/>
          <w:lang w:val="en-US"/>
        </w:rPr>
        <w:t>Rostec</w:t>
      </w:r>
      <w:bookmarkEnd w:id="1"/>
      <w:r w:rsidR="004E673F" w:rsidRPr="004E673F">
        <w:rPr>
          <w:rFonts w:ascii="Times New Roman" w:hAnsi="Times New Roman" w:cs="Times New Roman"/>
          <w:sz w:val="20"/>
          <w:lang w:val="en-US"/>
        </w:rPr>
        <w:t xml:space="preserve"> includes the Oboronprom Corporation, which, in turn, includes the holding company Russian Helicopters, which includes enterprises of the helicopter industry, for example, OJSC Kamov. </w:t>
      </w:r>
      <w:r w:rsidRPr="0055081E">
        <w:rPr>
          <w:rFonts w:ascii="Times New Roman" w:hAnsi="Times New Roman" w:cs="Times New Roman"/>
          <w:sz w:val="20"/>
          <w:lang w:val="en-US"/>
        </w:rPr>
        <w:t xml:space="preserve"> </w:t>
      </w:r>
      <w:r w:rsidR="004E673F" w:rsidRPr="0055081E">
        <w:rPr>
          <w:rFonts w:ascii="Times New Roman" w:hAnsi="Times New Roman" w:cs="Times New Roman"/>
          <w:sz w:val="20"/>
          <w:lang w:val="en-US"/>
        </w:rPr>
        <w:t>As another example, we can cite the industry corporation OJSC "UAC", which has an equally complex structure. UAC OJSC</w:t>
      </w:r>
      <w:r w:rsidRPr="0055081E">
        <w:rPr>
          <w:rFonts w:ascii="Times New Roman" w:hAnsi="Times New Roman" w:cs="Times New Roman"/>
          <w:sz w:val="20"/>
          <w:lang w:val="en-US"/>
        </w:rPr>
        <w:t xml:space="preserve"> includes, for example, the Sukhoi Aviation Holding Company, which includes, among other things, the Irkut Corporation, which is a vertically integrated holding, one of whose enterprises is the Irkutsk Aviation Plant.</w:t>
      </w:r>
      <w:r w:rsidRPr="0055081E">
        <w:t xml:space="preserve"> </w:t>
      </w:r>
    </w:p>
    <w:p w14:paraId="15285FB1" w14:textId="7F22B0B9" w:rsidR="001F5076" w:rsidRPr="00641074" w:rsidRDefault="00641074" w:rsidP="00895F16">
      <w:pPr>
        <w:ind w:firstLine="284"/>
        <w:jc w:val="both"/>
        <w:rPr>
          <w:rFonts w:ascii="Times New Roman" w:hAnsi="Times New Roman" w:cs="Times New Roman"/>
          <w:sz w:val="20"/>
          <w:lang w:val="en-US"/>
        </w:rPr>
      </w:pPr>
      <w:r w:rsidRPr="00641074">
        <w:rPr>
          <w:rFonts w:ascii="Times New Roman" w:hAnsi="Times New Roman" w:cs="Times New Roman"/>
          <w:sz w:val="20"/>
          <w:lang w:val="en-US"/>
        </w:rPr>
        <w:t>State corporations and large industry corporations can be considered as a single group of objects that implement similar tasks.</w:t>
      </w:r>
      <w:r w:rsidR="001F5076" w:rsidRPr="00641074">
        <w:rPr>
          <w:rFonts w:ascii="Times New Roman" w:hAnsi="Times New Roman" w:cs="Times New Roman"/>
          <w:sz w:val="20"/>
          <w:lang w:val="en-US"/>
        </w:rPr>
        <w:t xml:space="preserve"> </w:t>
      </w:r>
    </w:p>
    <w:p w14:paraId="60ACA5EB" w14:textId="77777777" w:rsidR="00641074" w:rsidRPr="00641074" w:rsidRDefault="00641074" w:rsidP="00641074">
      <w:pPr>
        <w:ind w:firstLine="284"/>
        <w:jc w:val="both"/>
        <w:rPr>
          <w:rFonts w:ascii="Times New Roman" w:hAnsi="Times New Roman" w:cs="Times New Roman"/>
          <w:sz w:val="20"/>
          <w:lang w:val="en-US"/>
        </w:rPr>
      </w:pPr>
      <w:r w:rsidRPr="00641074">
        <w:rPr>
          <w:rFonts w:ascii="Times New Roman" w:hAnsi="Times New Roman" w:cs="Times New Roman"/>
          <w:sz w:val="20"/>
          <w:lang w:val="en-US"/>
        </w:rPr>
        <w:t>In general, it can be noted that the reforms carried out made it possible to reduce the cost of production, increase revenues, form mechanisms for the effective use of profit on investments in the development of a new generation of both military and civilian equipment, modernize the production apparatus and develop new export markets.</w:t>
      </w:r>
    </w:p>
    <w:p w14:paraId="5FB44211" w14:textId="21C79A4F" w:rsidR="008869EB" w:rsidRPr="00DB3CB3" w:rsidRDefault="00651A5D" w:rsidP="001F5076">
      <w:pPr>
        <w:ind w:firstLine="284"/>
        <w:jc w:val="both"/>
        <w:rPr>
          <w:rFonts w:ascii="Times New Roman" w:hAnsi="Times New Roman" w:cs="Times New Roman"/>
          <w:sz w:val="20"/>
          <w:lang w:val="en-US"/>
        </w:rPr>
      </w:pPr>
      <w:r w:rsidRPr="00651A5D">
        <w:rPr>
          <w:rFonts w:ascii="Times New Roman" w:hAnsi="Times New Roman" w:cs="Times New Roman"/>
          <w:sz w:val="20"/>
          <w:lang w:val="en-US"/>
        </w:rPr>
        <w:t>If we talk about the place of Russian military corporations in the world rankings, then first of all it should be borne in mind that they do not take into account state corporations like Rostec. At the same time, Russia is not as widely represented in the TOP-100 of the world's largest military companies as, say, the United States. According to the latest available data from SIPRI (2018), this list included 41 American corporations and only 10 Russian ones. (SIPRI did not provide data on Chinese corporations for 2018). Since 2019, data on Chinese corporations has appeared in the TOP-25 from SIPRI, which significantly changed the situation in the ranking (TOP-25)</w:t>
      </w:r>
      <w:r>
        <w:rPr>
          <w:rFonts w:ascii="Times New Roman" w:hAnsi="Times New Roman" w:cs="Times New Roman"/>
          <w:sz w:val="20"/>
          <w:lang w:val="en-US"/>
        </w:rPr>
        <w:t xml:space="preserve"> </w:t>
      </w:r>
      <w:bookmarkStart w:id="2" w:name="_Hlk78897894"/>
      <w:r w:rsidRPr="00651A5D">
        <w:rPr>
          <w:rFonts w:ascii="Times New Roman" w:hAnsi="Times New Roman" w:cs="Times New Roman"/>
          <w:iCs/>
          <w:sz w:val="20"/>
          <w:lang w:val="en-US"/>
        </w:rPr>
        <w:t xml:space="preserve">(see Table </w:t>
      </w:r>
      <w:r>
        <w:rPr>
          <w:rFonts w:ascii="Times New Roman" w:hAnsi="Times New Roman" w:cs="Times New Roman"/>
          <w:iCs/>
          <w:sz w:val="20"/>
          <w:lang w:val="en-US"/>
        </w:rPr>
        <w:t>1</w:t>
      </w:r>
      <w:r w:rsidRPr="00651A5D">
        <w:rPr>
          <w:rFonts w:ascii="Times New Roman" w:hAnsi="Times New Roman" w:cs="Times New Roman"/>
          <w:iCs/>
          <w:sz w:val="20"/>
          <w:lang w:val="en-US"/>
        </w:rPr>
        <w:t>)</w:t>
      </w:r>
      <w:bookmarkEnd w:id="2"/>
      <w:r w:rsidR="00574178" w:rsidRPr="00DB3CB3">
        <w:rPr>
          <w:rFonts w:ascii="Times New Roman" w:hAnsi="Times New Roman" w:cs="Times New Roman"/>
          <w:sz w:val="20"/>
          <w:lang w:val="en-US"/>
        </w:rPr>
        <w:t>.</w:t>
      </w:r>
      <w:r w:rsidR="000D66FA" w:rsidRPr="00DB3CB3">
        <w:rPr>
          <w:rFonts w:ascii="Times New Roman" w:hAnsi="Times New Roman" w:cs="Times New Roman"/>
          <w:sz w:val="20"/>
          <w:lang w:val="en-US"/>
        </w:rPr>
        <w:t xml:space="preserve"> </w:t>
      </w:r>
    </w:p>
    <w:p w14:paraId="79B616FA" w14:textId="737AB4E5" w:rsidR="00C7578C" w:rsidRPr="00C7578C" w:rsidRDefault="00C7578C" w:rsidP="00C7578C">
      <w:pPr>
        <w:spacing w:before="120" w:after="120"/>
        <w:jc w:val="center"/>
        <w:rPr>
          <w:rFonts w:ascii="Times New Roman" w:hAnsi="Times New Roman" w:cs="Times New Roman"/>
          <w:sz w:val="20"/>
          <w:lang w:val="en-US"/>
        </w:rPr>
      </w:pPr>
      <w:r w:rsidRPr="000E35D4">
        <w:rPr>
          <w:rFonts w:ascii="Times New Roman" w:hAnsi="Times New Roman" w:cs="Times New Roman"/>
          <w:b/>
          <w:bCs/>
          <w:iCs/>
          <w:sz w:val="18"/>
          <w:szCs w:val="16"/>
          <w:lang w:val="en-GB"/>
        </w:rPr>
        <w:t>Table 1.</w:t>
      </w:r>
      <w:r w:rsidRPr="00C7578C">
        <w:rPr>
          <w:rFonts w:ascii="Times New Roman" w:hAnsi="Times New Roman" w:cs="Times New Roman"/>
          <w:b/>
          <w:bCs/>
          <w:iCs/>
          <w:sz w:val="18"/>
          <w:szCs w:val="16"/>
          <w:lang w:val="en-US"/>
        </w:rPr>
        <w:t xml:space="preserve"> </w:t>
      </w:r>
      <w:r w:rsidRPr="00C7578C">
        <w:rPr>
          <w:rFonts w:ascii="Times New Roman" w:hAnsi="Times New Roman" w:cs="Times New Roman"/>
          <w:iCs/>
          <w:sz w:val="18"/>
          <w:szCs w:val="16"/>
          <w:lang w:val="en-US"/>
        </w:rPr>
        <w:t>The SIPRI top 25 arms-producing and military services companies in the world, 2019 (in millions of US dollars)</w:t>
      </w:r>
    </w:p>
    <w:tbl>
      <w:tblPr>
        <w:tblStyle w:val="ae"/>
        <w:tblW w:w="7366" w:type="dxa"/>
        <w:tblLook w:val="04A0" w:firstRow="1" w:lastRow="0" w:firstColumn="1" w:lastColumn="0" w:noHBand="0" w:noVBand="1"/>
      </w:tblPr>
      <w:tblGrid>
        <w:gridCol w:w="562"/>
        <w:gridCol w:w="2694"/>
        <w:gridCol w:w="1275"/>
        <w:gridCol w:w="702"/>
        <w:gridCol w:w="993"/>
        <w:gridCol w:w="1140"/>
      </w:tblGrid>
      <w:tr w:rsidR="00F843FE" w:rsidRPr="0080437C" w14:paraId="34B1B223" w14:textId="77777777" w:rsidTr="00F843FE">
        <w:trPr>
          <w:trHeight w:val="624"/>
        </w:trPr>
        <w:tc>
          <w:tcPr>
            <w:tcW w:w="562" w:type="dxa"/>
            <w:noWrap/>
            <w:tcMar>
              <w:left w:w="28" w:type="dxa"/>
              <w:right w:w="28" w:type="dxa"/>
            </w:tcMar>
            <w:hideMark/>
          </w:tcPr>
          <w:p w14:paraId="7F4CED2C" w14:textId="77777777" w:rsidR="00F843FE" w:rsidRPr="00864A07" w:rsidRDefault="00F843FE" w:rsidP="00F843FE">
            <w:pPr>
              <w:jc w:val="center"/>
              <w:rPr>
                <w:rFonts w:ascii="Times New Roman" w:hAnsi="Times New Roman" w:cs="Times New Roman"/>
                <w:b/>
                <w:bCs/>
                <w:sz w:val="18"/>
                <w:szCs w:val="18"/>
              </w:rPr>
            </w:pPr>
            <w:r w:rsidRPr="00864A07">
              <w:rPr>
                <w:rFonts w:ascii="Times New Roman" w:hAnsi="Times New Roman" w:cs="Times New Roman"/>
                <w:b/>
                <w:bCs/>
                <w:sz w:val="18"/>
                <w:szCs w:val="18"/>
              </w:rPr>
              <w:t>Rank- 2019 (2018)</w:t>
            </w:r>
          </w:p>
        </w:tc>
        <w:tc>
          <w:tcPr>
            <w:tcW w:w="2694" w:type="dxa"/>
            <w:noWrap/>
            <w:tcMar>
              <w:left w:w="28" w:type="dxa"/>
              <w:right w:w="28" w:type="dxa"/>
            </w:tcMar>
            <w:hideMark/>
          </w:tcPr>
          <w:p w14:paraId="4533B3A9" w14:textId="36491157" w:rsidR="00F843FE" w:rsidRPr="00864A07" w:rsidRDefault="00F843FE" w:rsidP="00F843FE">
            <w:pPr>
              <w:jc w:val="center"/>
              <w:rPr>
                <w:rFonts w:ascii="Times New Roman" w:hAnsi="Times New Roman" w:cs="Times New Roman"/>
                <w:b/>
                <w:bCs/>
                <w:sz w:val="18"/>
                <w:szCs w:val="18"/>
              </w:rPr>
            </w:pPr>
            <w:r w:rsidRPr="00864A07">
              <w:rPr>
                <w:rFonts w:ascii="Times New Roman" w:hAnsi="Times New Roman" w:cs="Times New Roman"/>
                <w:b/>
                <w:bCs/>
                <w:sz w:val="18"/>
                <w:szCs w:val="18"/>
              </w:rPr>
              <w:t>Company</w:t>
            </w:r>
          </w:p>
        </w:tc>
        <w:tc>
          <w:tcPr>
            <w:tcW w:w="1275" w:type="dxa"/>
            <w:noWrap/>
            <w:tcMar>
              <w:left w:w="28" w:type="dxa"/>
              <w:right w:w="28" w:type="dxa"/>
            </w:tcMar>
            <w:hideMark/>
          </w:tcPr>
          <w:p w14:paraId="6B802BD7" w14:textId="2C2AFFD0" w:rsidR="00F843FE" w:rsidRPr="00864A07" w:rsidRDefault="00F843FE" w:rsidP="00F843FE">
            <w:pPr>
              <w:jc w:val="center"/>
              <w:rPr>
                <w:rFonts w:ascii="Times New Roman" w:hAnsi="Times New Roman" w:cs="Times New Roman"/>
                <w:b/>
                <w:bCs/>
                <w:sz w:val="18"/>
                <w:szCs w:val="18"/>
              </w:rPr>
            </w:pPr>
            <w:r w:rsidRPr="00864A07">
              <w:rPr>
                <w:rFonts w:ascii="Times New Roman" w:hAnsi="Times New Roman" w:cs="Times New Roman"/>
                <w:b/>
                <w:bCs/>
                <w:sz w:val="18"/>
                <w:szCs w:val="18"/>
              </w:rPr>
              <w:t>Country</w:t>
            </w:r>
          </w:p>
        </w:tc>
        <w:tc>
          <w:tcPr>
            <w:tcW w:w="702" w:type="dxa"/>
            <w:noWrap/>
            <w:tcMar>
              <w:left w:w="28" w:type="dxa"/>
              <w:right w:w="28" w:type="dxa"/>
            </w:tcMar>
            <w:hideMark/>
          </w:tcPr>
          <w:p w14:paraId="2F1EC1F4" w14:textId="77777777" w:rsidR="00F843FE" w:rsidRPr="00864A07" w:rsidRDefault="00F843FE" w:rsidP="00F843FE">
            <w:pPr>
              <w:jc w:val="center"/>
              <w:rPr>
                <w:rFonts w:ascii="Times New Roman" w:hAnsi="Times New Roman" w:cs="Times New Roman"/>
                <w:b/>
                <w:bCs/>
                <w:sz w:val="18"/>
                <w:szCs w:val="18"/>
              </w:rPr>
            </w:pPr>
            <w:r w:rsidRPr="00864A07">
              <w:rPr>
                <w:rFonts w:ascii="Times New Roman" w:hAnsi="Times New Roman" w:cs="Times New Roman"/>
                <w:b/>
                <w:bCs/>
                <w:sz w:val="18"/>
                <w:szCs w:val="18"/>
              </w:rPr>
              <w:t>Arms sales (2019)</w:t>
            </w:r>
          </w:p>
        </w:tc>
        <w:tc>
          <w:tcPr>
            <w:tcW w:w="993" w:type="dxa"/>
            <w:noWrap/>
            <w:tcMar>
              <w:left w:w="28" w:type="dxa"/>
              <w:right w:w="28" w:type="dxa"/>
            </w:tcMar>
            <w:hideMark/>
          </w:tcPr>
          <w:p w14:paraId="4A038861" w14:textId="77777777" w:rsidR="00F843FE" w:rsidRPr="00864A07" w:rsidRDefault="00F843FE" w:rsidP="00F843FE">
            <w:pPr>
              <w:jc w:val="center"/>
              <w:rPr>
                <w:rFonts w:ascii="Times New Roman" w:hAnsi="Times New Roman" w:cs="Times New Roman"/>
                <w:b/>
                <w:bCs/>
                <w:sz w:val="18"/>
                <w:szCs w:val="18"/>
              </w:rPr>
            </w:pPr>
            <w:r w:rsidRPr="00864A07">
              <w:rPr>
                <w:rFonts w:ascii="Times New Roman" w:hAnsi="Times New Roman" w:cs="Times New Roman"/>
                <w:b/>
                <w:bCs/>
                <w:sz w:val="18"/>
                <w:szCs w:val="18"/>
              </w:rPr>
              <w:t>Total sales (2019)</w:t>
            </w:r>
          </w:p>
        </w:tc>
        <w:tc>
          <w:tcPr>
            <w:tcW w:w="1140" w:type="dxa"/>
            <w:tcMar>
              <w:left w:w="28" w:type="dxa"/>
              <w:right w:w="28" w:type="dxa"/>
            </w:tcMar>
            <w:hideMark/>
          </w:tcPr>
          <w:p w14:paraId="0493C9CF" w14:textId="77777777" w:rsidR="00F843FE" w:rsidRPr="00864A07" w:rsidRDefault="00F843FE" w:rsidP="00F843FE">
            <w:pPr>
              <w:jc w:val="center"/>
              <w:rPr>
                <w:rFonts w:ascii="Times New Roman" w:hAnsi="Times New Roman" w:cs="Times New Roman"/>
                <w:b/>
                <w:bCs/>
                <w:sz w:val="18"/>
                <w:szCs w:val="18"/>
                <w:lang w:val="en-US"/>
              </w:rPr>
            </w:pPr>
            <w:r w:rsidRPr="00864A07">
              <w:rPr>
                <w:rFonts w:ascii="Times New Roman" w:hAnsi="Times New Roman" w:cs="Times New Roman"/>
                <w:b/>
                <w:bCs/>
                <w:sz w:val="18"/>
                <w:szCs w:val="18"/>
                <w:lang w:val="en-US"/>
              </w:rPr>
              <w:t>Arms sales as a % of total sales (2019)</w:t>
            </w:r>
          </w:p>
        </w:tc>
      </w:tr>
      <w:tr w:rsidR="00F843FE" w:rsidRPr="0080437C" w14:paraId="70BD79A9" w14:textId="77777777" w:rsidTr="00F843FE">
        <w:trPr>
          <w:trHeight w:val="131"/>
        </w:trPr>
        <w:tc>
          <w:tcPr>
            <w:tcW w:w="562" w:type="dxa"/>
            <w:noWrap/>
            <w:tcMar>
              <w:left w:w="28" w:type="dxa"/>
              <w:right w:w="28" w:type="dxa"/>
            </w:tcMar>
            <w:hideMark/>
          </w:tcPr>
          <w:p w14:paraId="200BBB70"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 (1)</w:t>
            </w:r>
          </w:p>
        </w:tc>
        <w:tc>
          <w:tcPr>
            <w:tcW w:w="2694" w:type="dxa"/>
            <w:noWrap/>
            <w:tcMar>
              <w:left w:w="28" w:type="dxa"/>
              <w:right w:w="28" w:type="dxa"/>
            </w:tcMar>
            <w:hideMark/>
          </w:tcPr>
          <w:p w14:paraId="7D227F8A"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Lockheed Martin Corp.</w:t>
            </w:r>
          </w:p>
        </w:tc>
        <w:tc>
          <w:tcPr>
            <w:tcW w:w="1275" w:type="dxa"/>
            <w:noWrap/>
            <w:tcMar>
              <w:left w:w="28" w:type="dxa"/>
              <w:right w:w="28" w:type="dxa"/>
            </w:tcMar>
            <w:hideMark/>
          </w:tcPr>
          <w:p w14:paraId="2F83D8C1" w14:textId="61DB1539"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US</w:t>
            </w:r>
          </w:p>
        </w:tc>
        <w:tc>
          <w:tcPr>
            <w:tcW w:w="702" w:type="dxa"/>
            <w:noWrap/>
            <w:tcMar>
              <w:left w:w="28" w:type="dxa"/>
              <w:right w:w="28" w:type="dxa"/>
            </w:tcMar>
            <w:hideMark/>
          </w:tcPr>
          <w:p w14:paraId="701F3542"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53230</w:t>
            </w:r>
          </w:p>
        </w:tc>
        <w:tc>
          <w:tcPr>
            <w:tcW w:w="993" w:type="dxa"/>
            <w:noWrap/>
            <w:tcMar>
              <w:left w:w="28" w:type="dxa"/>
              <w:right w:w="28" w:type="dxa"/>
            </w:tcMar>
            <w:hideMark/>
          </w:tcPr>
          <w:p w14:paraId="784B1A50"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59812</w:t>
            </w:r>
          </w:p>
        </w:tc>
        <w:tc>
          <w:tcPr>
            <w:tcW w:w="1140" w:type="dxa"/>
            <w:noWrap/>
            <w:tcMar>
              <w:left w:w="28" w:type="dxa"/>
              <w:right w:w="28" w:type="dxa"/>
            </w:tcMar>
            <w:hideMark/>
          </w:tcPr>
          <w:p w14:paraId="743D5A4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89</w:t>
            </w:r>
          </w:p>
        </w:tc>
      </w:tr>
      <w:tr w:rsidR="00F843FE" w:rsidRPr="0080437C" w14:paraId="322276C8" w14:textId="77777777" w:rsidTr="00F843FE">
        <w:trPr>
          <w:trHeight w:val="190"/>
        </w:trPr>
        <w:tc>
          <w:tcPr>
            <w:tcW w:w="562" w:type="dxa"/>
            <w:noWrap/>
            <w:tcMar>
              <w:left w:w="28" w:type="dxa"/>
              <w:right w:w="28" w:type="dxa"/>
            </w:tcMar>
            <w:hideMark/>
          </w:tcPr>
          <w:p w14:paraId="2FF12BD3" w14:textId="31938A52"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(2)</w:t>
            </w:r>
          </w:p>
        </w:tc>
        <w:tc>
          <w:tcPr>
            <w:tcW w:w="2694" w:type="dxa"/>
            <w:noWrap/>
            <w:tcMar>
              <w:left w:w="28" w:type="dxa"/>
              <w:right w:w="28" w:type="dxa"/>
            </w:tcMar>
            <w:hideMark/>
          </w:tcPr>
          <w:p w14:paraId="522B18FD"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Boeing</w:t>
            </w:r>
          </w:p>
        </w:tc>
        <w:tc>
          <w:tcPr>
            <w:tcW w:w="1275" w:type="dxa"/>
            <w:noWrap/>
            <w:tcMar>
              <w:left w:w="28" w:type="dxa"/>
              <w:right w:w="28" w:type="dxa"/>
            </w:tcMar>
            <w:hideMark/>
          </w:tcPr>
          <w:p w14:paraId="5A6A8BDC" w14:textId="65933CCA"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US</w:t>
            </w:r>
          </w:p>
        </w:tc>
        <w:tc>
          <w:tcPr>
            <w:tcW w:w="702" w:type="dxa"/>
            <w:noWrap/>
            <w:tcMar>
              <w:left w:w="28" w:type="dxa"/>
              <w:right w:w="28" w:type="dxa"/>
            </w:tcMar>
            <w:hideMark/>
          </w:tcPr>
          <w:p w14:paraId="44844A9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33580</w:t>
            </w:r>
          </w:p>
        </w:tc>
        <w:tc>
          <w:tcPr>
            <w:tcW w:w="993" w:type="dxa"/>
            <w:noWrap/>
            <w:tcMar>
              <w:left w:w="28" w:type="dxa"/>
              <w:right w:w="28" w:type="dxa"/>
            </w:tcMar>
            <w:hideMark/>
          </w:tcPr>
          <w:p w14:paraId="222F651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76559</w:t>
            </w:r>
          </w:p>
        </w:tc>
        <w:tc>
          <w:tcPr>
            <w:tcW w:w="1140" w:type="dxa"/>
            <w:noWrap/>
            <w:tcMar>
              <w:left w:w="28" w:type="dxa"/>
              <w:right w:w="28" w:type="dxa"/>
            </w:tcMar>
            <w:hideMark/>
          </w:tcPr>
          <w:p w14:paraId="0F4701F3"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44</w:t>
            </w:r>
          </w:p>
        </w:tc>
      </w:tr>
      <w:tr w:rsidR="00F843FE" w:rsidRPr="0080437C" w14:paraId="59E70150" w14:textId="77777777" w:rsidTr="00F843FE">
        <w:trPr>
          <w:trHeight w:val="122"/>
        </w:trPr>
        <w:tc>
          <w:tcPr>
            <w:tcW w:w="562" w:type="dxa"/>
            <w:noWrap/>
            <w:tcMar>
              <w:left w:w="28" w:type="dxa"/>
              <w:right w:w="28" w:type="dxa"/>
            </w:tcMar>
            <w:hideMark/>
          </w:tcPr>
          <w:p w14:paraId="6F33B6A3" w14:textId="245B3AF3"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(3)</w:t>
            </w:r>
          </w:p>
        </w:tc>
        <w:tc>
          <w:tcPr>
            <w:tcW w:w="2694" w:type="dxa"/>
            <w:noWrap/>
            <w:tcMar>
              <w:left w:w="28" w:type="dxa"/>
              <w:right w:w="28" w:type="dxa"/>
            </w:tcMar>
            <w:hideMark/>
          </w:tcPr>
          <w:p w14:paraId="2DF27F35"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Northrop Grumman Corp.</w:t>
            </w:r>
          </w:p>
        </w:tc>
        <w:tc>
          <w:tcPr>
            <w:tcW w:w="1275" w:type="dxa"/>
            <w:noWrap/>
            <w:tcMar>
              <w:left w:w="28" w:type="dxa"/>
              <w:right w:w="28" w:type="dxa"/>
            </w:tcMar>
            <w:hideMark/>
          </w:tcPr>
          <w:p w14:paraId="4B06CE9F" w14:textId="07C2EA1E" w:rsidR="00F843FE" w:rsidRPr="00864A07" w:rsidRDefault="00F843FE" w:rsidP="00F843FE">
            <w:pPr>
              <w:jc w:val="center"/>
              <w:rPr>
                <w:rFonts w:ascii="Times New Roman" w:hAnsi="Times New Roman" w:cs="Times New Roman"/>
                <w:sz w:val="18"/>
                <w:szCs w:val="18"/>
              </w:rPr>
            </w:pPr>
            <w:r w:rsidRPr="002D0A1B">
              <w:rPr>
                <w:rFonts w:ascii="Times New Roman" w:hAnsi="Times New Roman" w:cs="Times New Roman"/>
                <w:sz w:val="18"/>
                <w:szCs w:val="18"/>
              </w:rPr>
              <w:t>US</w:t>
            </w:r>
          </w:p>
        </w:tc>
        <w:tc>
          <w:tcPr>
            <w:tcW w:w="702" w:type="dxa"/>
            <w:noWrap/>
            <w:tcMar>
              <w:left w:w="28" w:type="dxa"/>
              <w:right w:w="28" w:type="dxa"/>
            </w:tcMar>
            <w:hideMark/>
          </w:tcPr>
          <w:p w14:paraId="5F3196B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29220</w:t>
            </w:r>
          </w:p>
        </w:tc>
        <w:tc>
          <w:tcPr>
            <w:tcW w:w="993" w:type="dxa"/>
            <w:noWrap/>
            <w:tcMar>
              <w:left w:w="28" w:type="dxa"/>
              <w:right w:w="28" w:type="dxa"/>
            </w:tcMar>
            <w:hideMark/>
          </w:tcPr>
          <w:p w14:paraId="0C6F7BA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33841</w:t>
            </w:r>
          </w:p>
        </w:tc>
        <w:tc>
          <w:tcPr>
            <w:tcW w:w="1140" w:type="dxa"/>
            <w:noWrap/>
            <w:tcMar>
              <w:left w:w="28" w:type="dxa"/>
              <w:right w:w="28" w:type="dxa"/>
            </w:tcMar>
            <w:hideMark/>
          </w:tcPr>
          <w:p w14:paraId="2BE70CE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86</w:t>
            </w:r>
          </w:p>
        </w:tc>
      </w:tr>
      <w:tr w:rsidR="00F843FE" w:rsidRPr="0080437C" w14:paraId="2D731B91" w14:textId="77777777" w:rsidTr="00F843FE">
        <w:trPr>
          <w:trHeight w:val="197"/>
        </w:trPr>
        <w:tc>
          <w:tcPr>
            <w:tcW w:w="562" w:type="dxa"/>
            <w:noWrap/>
            <w:tcMar>
              <w:left w:w="28" w:type="dxa"/>
              <w:right w:w="28" w:type="dxa"/>
            </w:tcMar>
            <w:hideMark/>
          </w:tcPr>
          <w:p w14:paraId="0E2A3C86" w14:textId="5AF1519F"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(4)</w:t>
            </w:r>
          </w:p>
        </w:tc>
        <w:tc>
          <w:tcPr>
            <w:tcW w:w="2694" w:type="dxa"/>
            <w:noWrap/>
            <w:tcMar>
              <w:left w:w="28" w:type="dxa"/>
              <w:right w:w="28" w:type="dxa"/>
            </w:tcMar>
            <w:hideMark/>
          </w:tcPr>
          <w:p w14:paraId="056087B9"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Raytheon</w:t>
            </w:r>
          </w:p>
        </w:tc>
        <w:tc>
          <w:tcPr>
            <w:tcW w:w="1275" w:type="dxa"/>
            <w:noWrap/>
            <w:tcMar>
              <w:left w:w="28" w:type="dxa"/>
              <w:right w:w="28" w:type="dxa"/>
            </w:tcMar>
            <w:hideMark/>
          </w:tcPr>
          <w:p w14:paraId="634369AB" w14:textId="138F0D2B" w:rsidR="00F843FE" w:rsidRPr="00864A07" w:rsidRDefault="00F843FE" w:rsidP="00F843FE">
            <w:pPr>
              <w:jc w:val="center"/>
              <w:rPr>
                <w:rFonts w:ascii="Times New Roman" w:hAnsi="Times New Roman" w:cs="Times New Roman"/>
                <w:sz w:val="18"/>
                <w:szCs w:val="18"/>
              </w:rPr>
            </w:pPr>
            <w:r w:rsidRPr="002D0A1B">
              <w:rPr>
                <w:rFonts w:ascii="Times New Roman" w:hAnsi="Times New Roman" w:cs="Times New Roman"/>
                <w:sz w:val="18"/>
                <w:szCs w:val="18"/>
              </w:rPr>
              <w:t>US</w:t>
            </w:r>
          </w:p>
        </w:tc>
        <w:tc>
          <w:tcPr>
            <w:tcW w:w="702" w:type="dxa"/>
            <w:noWrap/>
            <w:tcMar>
              <w:left w:w="28" w:type="dxa"/>
              <w:right w:w="28" w:type="dxa"/>
            </w:tcMar>
            <w:hideMark/>
          </w:tcPr>
          <w:p w14:paraId="2C39BE6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25320</w:t>
            </w:r>
          </w:p>
        </w:tc>
        <w:tc>
          <w:tcPr>
            <w:tcW w:w="993" w:type="dxa"/>
            <w:noWrap/>
            <w:tcMar>
              <w:left w:w="28" w:type="dxa"/>
              <w:right w:w="28" w:type="dxa"/>
            </w:tcMar>
            <w:hideMark/>
          </w:tcPr>
          <w:p w14:paraId="3E4B5EB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29176</w:t>
            </w:r>
          </w:p>
        </w:tc>
        <w:tc>
          <w:tcPr>
            <w:tcW w:w="1140" w:type="dxa"/>
            <w:noWrap/>
            <w:tcMar>
              <w:left w:w="28" w:type="dxa"/>
              <w:right w:w="28" w:type="dxa"/>
            </w:tcMar>
            <w:hideMark/>
          </w:tcPr>
          <w:p w14:paraId="6C7DB41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87</w:t>
            </w:r>
          </w:p>
        </w:tc>
      </w:tr>
      <w:tr w:rsidR="00F843FE" w:rsidRPr="0080437C" w14:paraId="3E770651" w14:textId="77777777" w:rsidTr="00F843FE">
        <w:trPr>
          <w:trHeight w:val="114"/>
        </w:trPr>
        <w:tc>
          <w:tcPr>
            <w:tcW w:w="562" w:type="dxa"/>
            <w:noWrap/>
            <w:tcMar>
              <w:left w:w="28" w:type="dxa"/>
              <w:right w:w="28" w:type="dxa"/>
            </w:tcMar>
            <w:hideMark/>
          </w:tcPr>
          <w:p w14:paraId="33F56683" w14:textId="76D51654"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(6)</w:t>
            </w:r>
          </w:p>
        </w:tc>
        <w:tc>
          <w:tcPr>
            <w:tcW w:w="2694" w:type="dxa"/>
            <w:noWrap/>
            <w:tcMar>
              <w:left w:w="28" w:type="dxa"/>
              <w:right w:w="28" w:type="dxa"/>
            </w:tcMar>
            <w:hideMark/>
          </w:tcPr>
          <w:p w14:paraId="686A8B73"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General Dynamics Corp.</w:t>
            </w:r>
          </w:p>
        </w:tc>
        <w:tc>
          <w:tcPr>
            <w:tcW w:w="1275" w:type="dxa"/>
            <w:noWrap/>
            <w:tcMar>
              <w:left w:w="28" w:type="dxa"/>
              <w:right w:w="28" w:type="dxa"/>
            </w:tcMar>
            <w:hideMark/>
          </w:tcPr>
          <w:p w14:paraId="5A74AF24" w14:textId="7680D351" w:rsidR="00F843FE" w:rsidRPr="00864A07" w:rsidRDefault="00F843FE" w:rsidP="00F843FE">
            <w:pPr>
              <w:jc w:val="center"/>
              <w:rPr>
                <w:rFonts w:ascii="Times New Roman" w:hAnsi="Times New Roman" w:cs="Times New Roman"/>
                <w:sz w:val="18"/>
                <w:szCs w:val="18"/>
              </w:rPr>
            </w:pPr>
            <w:r w:rsidRPr="002D0A1B">
              <w:rPr>
                <w:rFonts w:ascii="Times New Roman" w:hAnsi="Times New Roman" w:cs="Times New Roman"/>
                <w:sz w:val="18"/>
                <w:szCs w:val="18"/>
              </w:rPr>
              <w:t>US</w:t>
            </w:r>
          </w:p>
        </w:tc>
        <w:tc>
          <w:tcPr>
            <w:tcW w:w="702" w:type="dxa"/>
            <w:noWrap/>
            <w:tcMar>
              <w:left w:w="28" w:type="dxa"/>
              <w:right w:w="28" w:type="dxa"/>
            </w:tcMar>
            <w:hideMark/>
          </w:tcPr>
          <w:p w14:paraId="496FD54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24500</w:t>
            </w:r>
          </w:p>
        </w:tc>
        <w:tc>
          <w:tcPr>
            <w:tcW w:w="993" w:type="dxa"/>
            <w:noWrap/>
            <w:tcMar>
              <w:left w:w="28" w:type="dxa"/>
              <w:right w:w="28" w:type="dxa"/>
            </w:tcMar>
            <w:hideMark/>
          </w:tcPr>
          <w:p w14:paraId="6256503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39350</w:t>
            </w:r>
          </w:p>
        </w:tc>
        <w:tc>
          <w:tcPr>
            <w:tcW w:w="1140" w:type="dxa"/>
            <w:noWrap/>
            <w:tcMar>
              <w:left w:w="28" w:type="dxa"/>
              <w:right w:w="28" w:type="dxa"/>
            </w:tcMar>
            <w:hideMark/>
          </w:tcPr>
          <w:p w14:paraId="24507A7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62</w:t>
            </w:r>
          </w:p>
        </w:tc>
      </w:tr>
      <w:tr w:rsidR="00F843FE" w:rsidRPr="0080437C" w14:paraId="2AF1F1DF" w14:textId="77777777" w:rsidTr="00F843FE">
        <w:trPr>
          <w:trHeight w:val="189"/>
        </w:trPr>
        <w:tc>
          <w:tcPr>
            <w:tcW w:w="562" w:type="dxa"/>
            <w:noWrap/>
            <w:tcMar>
              <w:left w:w="28" w:type="dxa"/>
              <w:right w:w="28" w:type="dxa"/>
            </w:tcMar>
            <w:hideMark/>
          </w:tcPr>
          <w:p w14:paraId="773A1828" w14:textId="67C67EFD"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6</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(5)</w:t>
            </w:r>
          </w:p>
        </w:tc>
        <w:tc>
          <w:tcPr>
            <w:tcW w:w="2694" w:type="dxa"/>
            <w:noWrap/>
            <w:tcMar>
              <w:left w:w="28" w:type="dxa"/>
              <w:right w:w="28" w:type="dxa"/>
            </w:tcMar>
            <w:hideMark/>
          </w:tcPr>
          <w:p w14:paraId="0ABDA25B"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AVIC</w:t>
            </w:r>
          </w:p>
        </w:tc>
        <w:tc>
          <w:tcPr>
            <w:tcW w:w="1275" w:type="dxa"/>
            <w:noWrap/>
            <w:tcMar>
              <w:left w:w="28" w:type="dxa"/>
              <w:right w:w="28" w:type="dxa"/>
            </w:tcMar>
            <w:hideMark/>
          </w:tcPr>
          <w:p w14:paraId="280A3F3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China</w:t>
            </w:r>
          </w:p>
        </w:tc>
        <w:tc>
          <w:tcPr>
            <w:tcW w:w="702" w:type="dxa"/>
            <w:noWrap/>
            <w:tcMar>
              <w:left w:w="28" w:type="dxa"/>
              <w:right w:w="28" w:type="dxa"/>
            </w:tcMar>
            <w:hideMark/>
          </w:tcPr>
          <w:p w14:paraId="2C28301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22470</w:t>
            </w:r>
          </w:p>
        </w:tc>
        <w:tc>
          <w:tcPr>
            <w:tcW w:w="993" w:type="dxa"/>
            <w:noWrap/>
            <w:tcMar>
              <w:left w:w="28" w:type="dxa"/>
              <w:right w:w="28" w:type="dxa"/>
            </w:tcMar>
            <w:hideMark/>
          </w:tcPr>
          <w:p w14:paraId="1CC9E003"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66846</w:t>
            </w:r>
          </w:p>
        </w:tc>
        <w:tc>
          <w:tcPr>
            <w:tcW w:w="1140" w:type="dxa"/>
            <w:noWrap/>
            <w:tcMar>
              <w:left w:w="28" w:type="dxa"/>
              <w:right w:w="28" w:type="dxa"/>
            </w:tcMar>
            <w:hideMark/>
          </w:tcPr>
          <w:p w14:paraId="07A39E0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34</w:t>
            </w:r>
          </w:p>
        </w:tc>
      </w:tr>
      <w:tr w:rsidR="00F843FE" w:rsidRPr="0080437C" w14:paraId="44B11E3A" w14:textId="77777777" w:rsidTr="00F843FE">
        <w:trPr>
          <w:trHeight w:val="106"/>
        </w:trPr>
        <w:tc>
          <w:tcPr>
            <w:tcW w:w="562" w:type="dxa"/>
            <w:noWrap/>
            <w:tcMar>
              <w:left w:w="28" w:type="dxa"/>
              <w:right w:w="28" w:type="dxa"/>
            </w:tcMar>
            <w:hideMark/>
          </w:tcPr>
          <w:p w14:paraId="1ED8B980" w14:textId="45028E18"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(7)</w:t>
            </w:r>
          </w:p>
        </w:tc>
        <w:tc>
          <w:tcPr>
            <w:tcW w:w="2694" w:type="dxa"/>
            <w:noWrap/>
            <w:tcMar>
              <w:left w:w="28" w:type="dxa"/>
              <w:right w:w="28" w:type="dxa"/>
            </w:tcMar>
            <w:hideMark/>
          </w:tcPr>
          <w:p w14:paraId="7B5133E5"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BAE Systems</w:t>
            </w:r>
          </w:p>
        </w:tc>
        <w:tc>
          <w:tcPr>
            <w:tcW w:w="1275" w:type="dxa"/>
            <w:noWrap/>
            <w:tcMar>
              <w:left w:w="28" w:type="dxa"/>
              <w:right w:w="28" w:type="dxa"/>
            </w:tcMar>
            <w:hideMark/>
          </w:tcPr>
          <w:p w14:paraId="7540D492" w14:textId="7EB6F0A2"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UK</w:t>
            </w:r>
          </w:p>
        </w:tc>
        <w:tc>
          <w:tcPr>
            <w:tcW w:w="702" w:type="dxa"/>
            <w:noWrap/>
            <w:tcMar>
              <w:left w:w="28" w:type="dxa"/>
              <w:right w:w="28" w:type="dxa"/>
            </w:tcMar>
            <w:hideMark/>
          </w:tcPr>
          <w:p w14:paraId="5327D2F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22240</w:t>
            </w:r>
          </w:p>
        </w:tc>
        <w:tc>
          <w:tcPr>
            <w:tcW w:w="993" w:type="dxa"/>
            <w:noWrap/>
            <w:tcMar>
              <w:left w:w="28" w:type="dxa"/>
              <w:right w:w="28" w:type="dxa"/>
            </w:tcMar>
            <w:hideMark/>
          </w:tcPr>
          <w:p w14:paraId="39D4ECD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23378</w:t>
            </w:r>
          </w:p>
        </w:tc>
        <w:tc>
          <w:tcPr>
            <w:tcW w:w="1140" w:type="dxa"/>
            <w:noWrap/>
            <w:tcMar>
              <w:left w:w="28" w:type="dxa"/>
              <w:right w:w="28" w:type="dxa"/>
            </w:tcMar>
            <w:hideMark/>
          </w:tcPr>
          <w:p w14:paraId="388E431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95</w:t>
            </w:r>
          </w:p>
        </w:tc>
      </w:tr>
      <w:tr w:rsidR="00F843FE" w:rsidRPr="0080437C" w14:paraId="0C55223F" w14:textId="77777777" w:rsidTr="00F843FE">
        <w:trPr>
          <w:trHeight w:val="180"/>
        </w:trPr>
        <w:tc>
          <w:tcPr>
            <w:tcW w:w="562" w:type="dxa"/>
            <w:noWrap/>
            <w:tcMar>
              <w:left w:w="28" w:type="dxa"/>
              <w:right w:w="28" w:type="dxa"/>
            </w:tcMar>
            <w:hideMark/>
          </w:tcPr>
          <w:p w14:paraId="59E1727B" w14:textId="0E1214ED"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(9)</w:t>
            </w:r>
          </w:p>
        </w:tc>
        <w:tc>
          <w:tcPr>
            <w:tcW w:w="2694" w:type="dxa"/>
            <w:noWrap/>
            <w:tcMar>
              <w:left w:w="28" w:type="dxa"/>
              <w:right w:w="28" w:type="dxa"/>
            </w:tcMar>
            <w:hideMark/>
          </w:tcPr>
          <w:p w14:paraId="38F1C99A"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CETC</w:t>
            </w:r>
          </w:p>
        </w:tc>
        <w:tc>
          <w:tcPr>
            <w:tcW w:w="1275" w:type="dxa"/>
            <w:noWrap/>
            <w:tcMar>
              <w:left w:w="28" w:type="dxa"/>
              <w:right w:w="28" w:type="dxa"/>
            </w:tcMar>
            <w:hideMark/>
          </w:tcPr>
          <w:p w14:paraId="2ECFE88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China</w:t>
            </w:r>
          </w:p>
        </w:tc>
        <w:tc>
          <w:tcPr>
            <w:tcW w:w="702" w:type="dxa"/>
            <w:noWrap/>
            <w:tcMar>
              <w:left w:w="28" w:type="dxa"/>
              <w:right w:w="28" w:type="dxa"/>
            </w:tcMar>
            <w:hideMark/>
          </w:tcPr>
          <w:p w14:paraId="79180C6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15090</w:t>
            </w:r>
          </w:p>
        </w:tc>
        <w:tc>
          <w:tcPr>
            <w:tcW w:w="993" w:type="dxa"/>
            <w:noWrap/>
            <w:tcMar>
              <w:left w:w="28" w:type="dxa"/>
              <w:right w:w="28" w:type="dxa"/>
            </w:tcMar>
            <w:hideMark/>
          </w:tcPr>
          <w:p w14:paraId="2AA0E6AC"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32951</w:t>
            </w:r>
          </w:p>
        </w:tc>
        <w:tc>
          <w:tcPr>
            <w:tcW w:w="1140" w:type="dxa"/>
            <w:noWrap/>
            <w:tcMar>
              <w:left w:w="28" w:type="dxa"/>
              <w:right w:w="28" w:type="dxa"/>
            </w:tcMar>
            <w:hideMark/>
          </w:tcPr>
          <w:p w14:paraId="79BE15B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46</w:t>
            </w:r>
          </w:p>
        </w:tc>
      </w:tr>
      <w:tr w:rsidR="00F843FE" w:rsidRPr="0080437C" w14:paraId="5CBA013E" w14:textId="77777777" w:rsidTr="00F843FE">
        <w:trPr>
          <w:trHeight w:val="241"/>
        </w:trPr>
        <w:tc>
          <w:tcPr>
            <w:tcW w:w="562" w:type="dxa"/>
            <w:noWrap/>
            <w:tcMar>
              <w:left w:w="28" w:type="dxa"/>
              <w:right w:w="28" w:type="dxa"/>
            </w:tcMar>
            <w:hideMark/>
          </w:tcPr>
          <w:p w14:paraId="390F870E" w14:textId="66B97248"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(8)</w:t>
            </w:r>
          </w:p>
        </w:tc>
        <w:tc>
          <w:tcPr>
            <w:tcW w:w="2694" w:type="dxa"/>
            <w:noWrap/>
            <w:tcMar>
              <w:left w:w="28" w:type="dxa"/>
              <w:right w:w="28" w:type="dxa"/>
            </w:tcMar>
            <w:hideMark/>
          </w:tcPr>
          <w:p w14:paraId="23BCF875"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NORINCO Group</w:t>
            </w:r>
          </w:p>
        </w:tc>
        <w:tc>
          <w:tcPr>
            <w:tcW w:w="1275" w:type="dxa"/>
            <w:noWrap/>
            <w:tcMar>
              <w:left w:w="28" w:type="dxa"/>
              <w:right w:w="28" w:type="dxa"/>
            </w:tcMar>
            <w:hideMark/>
          </w:tcPr>
          <w:p w14:paraId="2394683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China</w:t>
            </w:r>
          </w:p>
        </w:tc>
        <w:tc>
          <w:tcPr>
            <w:tcW w:w="702" w:type="dxa"/>
            <w:noWrap/>
            <w:tcMar>
              <w:left w:w="28" w:type="dxa"/>
              <w:right w:w="28" w:type="dxa"/>
            </w:tcMar>
            <w:hideMark/>
          </w:tcPr>
          <w:p w14:paraId="0F6EB2F1"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14540</w:t>
            </w:r>
          </w:p>
        </w:tc>
        <w:tc>
          <w:tcPr>
            <w:tcW w:w="993" w:type="dxa"/>
            <w:noWrap/>
            <w:tcMar>
              <w:left w:w="28" w:type="dxa"/>
              <w:right w:w="28" w:type="dxa"/>
            </w:tcMar>
            <w:hideMark/>
          </w:tcPr>
          <w:p w14:paraId="24D37A6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65929</w:t>
            </w:r>
          </w:p>
        </w:tc>
        <w:tc>
          <w:tcPr>
            <w:tcW w:w="1140" w:type="dxa"/>
            <w:noWrap/>
            <w:tcMar>
              <w:left w:w="28" w:type="dxa"/>
              <w:right w:w="28" w:type="dxa"/>
            </w:tcMar>
            <w:hideMark/>
          </w:tcPr>
          <w:p w14:paraId="600C8E3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22</w:t>
            </w:r>
          </w:p>
        </w:tc>
      </w:tr>
      <w:tr w:rsidR="00F843FE" w:rsidRPr="0080437C" w14:paraId="391C2B5E" w14:textId="77777777" w:rsidTr="00F843FE">
        <w:trPr>
          <w:trHeight w:val="130"/>
        </w:trPr>
        <w:tc>
          <w:tcPr>
            <w:tcW w:w="562" w:type="dxa"/>
            <w:noWrap/>
            <w:tcMar>
              <w:left w:w="28" w:type="dxa"/>
              <w:right w:w="28" w:type="dxa"/>
            </w:tcMar>
            <w:hideMark/>
          </w:tcPr>
          <w:p w14:paraId="66CE991D" w14:textId="7362181C"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10</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w:t>
            </w:r>
          </w:p>
        </w:tc>
        <w:tc>
          <w:tcPr>
            <w:tcW w:w="2694" w:type="dxa"/>
            <w:noWrap/>
            <w:tcMar>
              <w:left w:w="28" w:type="dxa"/>
              <w:right w:w="28" w:type="dxa"/>
            </w:tcMar>
            <w:hideMark/>
          </w:tcPr>
          <w:p w14:paraId="1ED4D577"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L3Harris Technologies</w:t>
            </w:r>
          </w:p>
        </w:tc>
        <w:tc>
          <w:tcPr>
            <w:tcW w:w="1275" w:type="dxa"/>
            <w:noWrap/>
            <w:tcMar>
              <w:left w:w="28" w:type="dxa"/>
              <w:right w:w="28" w:type="dxa"/>
            </w:tcMar>
            <w:hideMark/>
          </w:tcPr>
          <w:p w14:paraId="660DE73B" w14:textId="218B8F85" w:rsidR="00F843FE" w:rsidRPr="00864A07" w:rsidRDefault="00F843FE" w:rsidP="00F843FE">
            <w:pPr>
              <w:jc w:val="center"/>
              <w:rPr>
                <w:rFonts w:ascii="Times New Roman" w:hAnsi="Times New Roman" w:cs="Times New Roman"/>
                <w:sz w:val="18"/>
                <w:szCs w:val="18"/>
              </w:rPr>
            </w:pPr>
            <w:r w:rsidRPr="00A65D93">
              <w:rPr>
                <w:rFonts w:ascii="Times New Roman" w:hAnsi="Times New Roman" w:cs="Times New Roman"/>
                <w:sz w:val="18"/>
                <w:szCs w:val="18"/>
              </w:rPr>
              <w:t>US</w:t>
            </w:r>
          </w:p>
        </w:tc>
        <w:tc>
          <w:tcPr>
            <w:tcW w:w="702" w:type="dxa"/>
            <w:noWrap/>
            <w:tcMar>
              <w:left w:w="28" w:type="dxa"/>
              <w:right w:w="28" w:type="dxa"/>
            </w:tcMar>
            <w:hideMark/>
          </w:tcPr>
          <w:p w14:paraId="3E6CBAB2"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13920</w:t>
            </w:r>
          </w:p>
        </w:tc>
        <w:tc>
          <w:tcPr>
            <w:tcW w:w="993" w:type="dxa"/>
            <w:noWrap/>
            <w:tcMar>
              <w:left w:w="28" w:type="dxa"/>
              <w:right w:w="28" w:type="dxa"/>
            </w:tcMar>
            <w:hideMark/>
          </w:tcPr>
          <w:p w14:paraId="6C43069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18074</w:t>
            </w:r>
          </w:p>
        </w:tc>
        <w:tc>
          <w:tcPr>
            <w:tcW w:w="1140" w:type="dxa"/>
            <w:noWrap/>
            <w:tcMar>
              <w:left w:w="28" w:type="dxa"/>
              <w:right w:w="28" w:type="dxa"/>
            </w:tcMar>
            <w:hideMark/>
          </w:tcPr>
          <w:p w14:paraId="6260DD71"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77</w:t>
            </w:r>
          </w:p>
        </w:tc>
      </w:tr>
      <w:tr w:rsidR="00F843FE" w:rsidRPr="0080437C" w14:paraId="5994AAF6" w14:textId="77777777" w:rsidTr="00F843FE">
        <w:trPr>
          <w:trHeight w:val="190"/>
        </w:trPr>
        <w:tc>
          <w:tcPr>
            <w:tcW w:w="562" w:type="dxa"/>
            <w:noWrap/>
            <w:tcMar>
              <w:left w:w="28" w:type="dxa"/>
              <w:right w:w="28" w:type="dxa"/>
            </w:tcMar>
            <w:hideMark/>
          </w:tcPr>
          <w:p w14:paraId="08B87D8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11(14)</w:t>
            </w:r>
          </w:p>
        </w:tc>
        <w:tc>
          <w:tcPr>
            <w:tcW w:w="2694" w:type="dxa"/>
            <w:noWrap/>
            <w:tcMar>
              <w:left w:w="28" w:type="dxa"/>
              <w:right w:w="28" w:type="dxa"/>
            </w:tcMar>
            <w:hideMark/>
          </w:tcPr>
          <w:p w14:paraId="28B48FB7"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United Technologies Corp.</w:t>
            </w:r>
          </w:p>
        </w:tc>
        <w:tc>
          <w:tcPr>
            <w:tcW w:w="1275" w:type="dxa"/>
            <w:noWrap/>
            <w:tcMar>
              <w:left w:w="28" w:type="dxa"/>
              <w:right w:w="28" w:type="dxa"/>
            </w:tcMar>
            <w:hideMark/>
          </w:tcPr>
          <w:p w14:paraId="31FA39FF" w14:textId="5E290062" w:rsidR="00F843FE" w:rsidRPr="00864A07" w:rsidRDefault="00F843FE" w:rsidP="00F843FE">
            <w:pPr>
              <w:jc w:val="center"/>
              <w:rPr>
                <w:rFonts w:ascii="Times New Roman" w:hAnsi="Times New Roman" w:cs="Times New Roman"/>
                <w:sz w:val="18"/>
                <w:szCs w:val="18"/>
              </w:rPr>
            </w:pPr>
            <w:r w:rsidRPr="00A65D93">
              <w:rPr>
                <w:rFonts w:ascii="Times New Roman" w:hAnsi="Times New Roman" w:cs="Times New Roman"/>
                <w:sz w:val="18"/>
                <w:szCs w:val="18"/>
              </w:rPr>
              <w:t>US</w:t>
            </w:r>
          </w:p>
        </w:tc>
        <w:tc>
          <w:tcPr>
            <w:tcW w:w="702" w:type="dxa"/>
            <w:noWrap/>
            <w:tcMar>
              <w:left w:w="28" w:type="dxa"/>
              <w:right w:w="28" w:type="dxa"/>
            </w:tcMar>
            <w:hideMark/>
          </w:tcPr>
          <w:p w14:paraId="678FAF4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13100</w:t>
            </w:r>
          </w:p>
        </w:tc>
        <w:tc>
          <w:tcPr>
            <w:tcW w:w="993" w:type="dxa"/>
            <w:noWrap/>
            <w:tcMar>
              <w:left w:w="28" w:type="dxa"/>
              <w:right w:w="28" w:type="dxa"/>
            </w:tcMar>
            <w:hideMark/>
          </w:tcPr>
          <w:p w14:paraId="0E44D147"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77046</w:t>
            </w:r>
          </w:p>
        </w:tc>
        <w:tc>
          <w:tcPr>
            <w:tcW w:w="1140" w:type="dxa"/>
            <w:noWrap/>
            <w:tcMar>
              <w:left w:w="28" w:type="dxa"/>
              <w:right w:w="28" w:type="dxa"/>
            </w:tcMar>
            <w:hideMark/>
          </w:tcPr>
          <w:p w14:paraId="011D3C0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17</w:t>
            </w:r>
          </w:p>
        </w:tc>
      </w:tr>
      <w:tr w:rsidR="00F843FE" w:rsidRPr="0080437C" w14:paraId="373D2ABE" w14:textId="77777777" w:rsidTr="00F843FE">
        <w:trPr>
          <w:trHeight w:val="122"/>
        </w:trPr>
        <w:tc>
          <w:tcPr>
            <w:tcW w:w="562" w:type="dxa"/>
            <w:noWrap/>
            <w:tcMar>
              <w:left w:w="28" w:type="dxa"/>
              <w:right w:w="28" w:type="dxa"/>
            </w:tcMar>
            <w:hideMark/>
          </w:tcPr>
          <w:p w14:paraId="376F981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12(11)</w:t>
            </w:r>
          </w:p>
        </w:tc>
        <w:tc>
          <w:tcPr>
            <w:tcW w:w="2694" w:type="dxa"/>
            <w:noWrap/>
            <w:tcMar>
              <w:left w:w="28" w:type="dxa"/>
              <w:right w:w="28" w:type="dxa"/>
            </w:tcMar>
            <w:hideMark/>
          </w:tcPr>
          <w:p w14:paraId="4F2A0E1B"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Leonardo</w:t>
            </w:r>
          </w:p>
        </w:tc>
        <w:tc>
          <w:tcPr>
            <w:tcW w:w="1275" w:type="dxa"/>
            <w:noWrap/>
            <w:tcMar>
              <w:left w:w="28" w:type="dxa"/>
              <w:right w:w="28" w:type="dxa"/>
            </w:tcMar>
            <w:hideMark/>
          </w:tcPr>
          <w:p w14:paraId="1B6C0FA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Italy</w:t>
            </w:r>
          </w:p>
        </w:tc>
        <w:tc>
          <w:tcPr>
            <w:tcW w:w="702" w:type="dxa"/>
            <w:noWrap/>
            <w:tcMar>
              <w:left w:w="28" w:type="dxa"/>
              <w:right w:w="28" w:type="dxa"/>
            </w:tcMar>
            <w:hideMark/>
          </w:tcPr>
          <w:p w14:paraId="1BA15E73"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11110</w:t>
            </w:r>
          </w:p>
        </w:tc>
        <w:tc>
          <w:tcPr>
            <w:tcW w:w="993" w:type="dxa"/>
            <w:noWrap/>
            <w:tcMar>
              <w:left w:w="28" w:type="dxa"/>
              <w:right w:w="28" w:type="dxa"/>
            </w:tcMar>
            <w:hideMark/>
          </w:tcPr>
          <w:p w14:paraId="18B1210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15432</w:t>
            </w:r>
          </w:p>
        </w:tc>
        <w:tc>
          <w:tcPr>
            <w:tcW w:w="1140" w:type="dxa"/>
            <w:noWrap/>
            <w:tcMar>
              <w:left w:w="28" w:type="dxa"/>
              <w:right w:w="28" w:type="dxa"/>
            </w:tcMar>
            <w:hideMark/>
          </w:tcPr>
          <w:p w14:paraId="5E4C7BF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72</w:t>
            </w:r>
          </w:p>
        </w:tc>
      </w:tr>
      <w:tr w:rsidR="00F843FE" w:rsidRPr="0080437C" w14:paraId="35D80442" w14:textId="77777777" w:rsidTr="00C7578C">
        <w:trPr>
          <w:trHeight w:val="182"/>
        </w:trPr>
        <w:tc>
          <w:tcPr>
            <w:tcW w:w="562" w:type="dxa"/>
            <w:noWrap/>
            <w:tcMar>
              <w:left w:w="28" w:type="dxa"/>
              <w:right w:w="28" w:type="dxa"/>
            </w:tcMar>
            <w:hideMark/>
          </w:tcPr>
          <w:p w14:paraId="409D9DB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13(10)</w:t>
            </w:r>
          </w:p>
        </w:tc>
        <w:tc>
          <w:tcPr>
            <w:tcW w:w="2694" w:type="dxa"/>
            <w:noWrap/>
            <w:tcMar>
              <w:left w:w="28" w:type="dxa"/>
              <w:right w:w="28" w:type="dxa"/>
            </w:tcMar>
            <w:hideMark/>
          </w:tcPr>
          <w:p w14:paraId="79B7E4B1"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Airbus</w:t>
            </w:r>
          </w:p>
        </w:tc>
        <w:tc>
          <w:tcPr>
            <w:tcW w:w="1275" w:type="dxa"/>
            <w:noWrap/>
            <w:tcMar>
              <w:left w:w="28" w:type="dxa"/>
              <w:right w:w="28" w:type="dxa"/>
            </w:tcMar>
            <w:hideMark/>
          </w:tcPr>
          <w:p w14:paraId="1ECD667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Trans-European</w:t>
            </w:r>
          </w:p>
        </w:tc>
        <w:tc>
          <w:tcPr>
            <w:tcW w:w="702" w:type="dxa"/>
            <w:noWrap/>
            <w:tcMar>
              <w:left w:w="28" w:type="dxa"/>
              <w:right w:w="28" w:type="dxa"/>
            </w:tcMar>
            <w:hideMark/>
          </w:tcPr>
          <w:p w14:paraId="48E1C3E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11050</w:t>
            </w:r>
          </w:p>
        </w:tc>
        <w:tc>
          <w:tcPr>
            <w:tcW w:w="993" w:type="dxa"/>
            <w:noWrap/>
            <w:tcMar>
              <w:left w:w="28" w:type="dxa"/>
              <w:right w:w="28" w:type="dxa"/>
            </w:tcMar>
            <w:hideMark/>
          </w:tcPr>
          <w:p w14:paraId="1825E78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78905</w:t>
            </w:r>
          </w:p>
        </w:tc>
        <w:tc>
          <w:tcPr>
            <w:tcW w:w="1140" w:type="dxa"/>
            <w:noWrap/>
            <w:tcMar>
              <w:left w:w="28" w:type="dxa"/>
              <w:right w:w="28" w:type="dxa"/>
            </w:tcMar>
            <w:hideMark/>
          </w:tcPr>
          <w:p w14:paraId="0130527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14</w:t>
            </w:r>
          </w:p>
        </w:tc>
      </w:tr>
      <w:tr w:rsidR="00F843FE" w:rsidRPr="0080437C" w14:paraId="25B69374" w14:textId="77777777" w:rsidTr="00C7578C">
        <w:trPr>
          <w:trHeight w:val="115"/>
        </w:trPr>
        <w:tc>
          <w:tcPr>
            <w:tcW w:w="562" w:type="dxa"/>
            <w:noWrap/>
            <w:tcMar>
              <w:left w:w="28" w:type="dxa"/>
              <w:right w:w="28" w:type="dxa"/>
            </w:tcMar>
            <w:hideMark/>
          </w:tcPr>
          <w:p w14:paraId="3B2822D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14(13)</w:t>
            </w:r>
          </w:p>
        </w:tc>
        <w:tc>
          <w:tcPr>
            <w:tcW w:w="2694" w:type="dxa"/>
            <w:noWrap/>
            <w:tcMar>
              <w:left w:w="28" w:type="dxa"/>
              <w:right w:w="28" w:type="dxa"/>
            </w:tcMar>
            <w:hideMark/>
          </w:tcPr>
          <w:p w14:paraId="0DCD15EE"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Thales</w:t>
            </w:r>
          </w:p>
        </w:tc>
        <w:tc>
          <w:tcPr>
            <w:tcW w:w="1275" w:type="dxa"/>
            <w:noWrap/>
            <w:tcMar>
              <w:left w:w="28" w:type="dxa"/>
              <w:right w:w="28" w:type="dxa"/>
            </w:tcMar>
            <w:hideMark/>
          </w:tcPr>
          <w:p w14:paraId="0FCF090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France</w:t>
            </w:r>
          </w:p>
        </w:tc>
        <w:tc>
          <w:tcPr>
            <w:tcW w:w="702" w:type="dxa"/>
            <w:noWrap/>
            <w:tcMar>
              <w:left w:w="28" w:type="dxa"/>
              <w:right w:w="28" w:type="dxa"/>
            </w:tcMar>
            <w:hideMark/>
          </w:tcPr>
          <w:p w14:paraId="149B1D67"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9470</w:t>
            </w:r>
          </w:p>
        </w:tc>
        <w:tc>
          <w:tcPr>
            <w:tcW w:w="993" w:type="dxa"/>
            <w:noWrap/>
            <w:tcMar>
              <w:left w:w="28" w:type="dxa"/>
              <w:right w:w="28" w:type="dxa"/>
            </w:tcMar>
            <w:hideMark/>
          </w:tcPr>
          <w:p w14:paraId="1DC3BE8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20601</w:t>
            </w:r>
          </w:p>
        </w:tc>
        <w:tc>
          <w:tcPr>
            <w:tcW w:w="1140" w:type="dxa"/>
            <w:noWrap/>
            <w:tcMar>
              <w:left w:w="28" w:type="dxa"/>
              <w:right w:w="28" w:type="dxa"/>
            </w:tcMar>
            <w:hideMark/>
          </w:tcPr>
          <w:p w14:paraId="797201A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46</w:t>
            </w:r>
          </w:p>
        </w:tc>
      </w:tr>
      <w:tr w:rsidR="00F843FE" w:rsidRPr="0080437C" w14:paraId="6F58E772" w14:textId="77777777" w:rsidTr="00C7578C">
        <w:trPr>
          <w:trHeight w:val="174"/>
        </w:trPr>
        <w:tc>
          <w:tcPr>
            <w:tcW w:w="562" w:type="dxa"/>
            <w:noWrap/>
            <w:tcMar>
              <w:left w:w="28" w:type="dxa"/>
              <w:right w:w="28" w:type="dxa"/>
            </w:tcMar>
            <w:hideMark/>
          </w:tcPr>
          <w:p w14:paraId="684381B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15(12)</w:t>
            </w:r>
          </w:p>
        </w:tc>
        <w:tc>
          <w:tcPr>
            <w:tcW w:w="2694" w:type="dxa"/>
            <w:noWrap/>
            <w:tcMar>
              <w:left w:w="28" w:type="dxa"/>
              <w:right w:w="28" w:type="dxa"/>
            </w:tcMar>
            <w:hideMark/>
          </w:tcPr>
          <w:p w14:paraId="00D40248"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Almaz-Antey</w:t>
            </w:r>
          </w:p>
        </w:tc>
        <w:tc>
          <w:tcPr>
            <w:tcW w:w="1275" w:type="dxa"/>
            <w:noWrap/>
            <w:tcMar>
              <w:left w:w="28" w:type="dxa"/>
              <w:right w:w="28" w:type="dxa"/>
            </w:tcMar>
            <w:hideMark/>
          </w:tcPr>
          <w:p w14:paraId="60682B7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Russia</w:t>
            </w:r>
          </w:p>
        </w:tc>
        <w:tc>
          <w:tcPr>
            <w:tcW w:w="702" w:type="dxa"/>
            <w:noWrap/>
            <w:tcMar>
              <w:left w:w="28" w:type="dxa"/>
              <w:right w:w="28" w:type="dxa"/>
            </w:tcMar>
            <w:hideMark/>
          </w:tcPr>
          <w:p w14:paraId="1759687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9420</w:t>
            </w:r>
          </w:p>
        </w:tc>
        <w:tc>
          <w:tcPr>
            <w:tcW w:w="993" w:type="dxa"/>
            <w:noWrap/>
            <w:tcMar>
              <w:left w:w="28" w:type="dxa"/>
              <w:right w:w="28" w:type="dxa"/>
            </w:tcMar>
            <w:hideMark/>
          </w:tcPr>
          <w:p w14:paraId="5C09DE3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9657</w:t>
            </w:r>
          </w:p>
        </w:tc>
        <w:tc>
          <w:tcPr>
            <w:tcW w:w="1140" w:type="dxa"/>
            <w:noWrap/>
            <w:tcMar>
              <w:left w:w="28" w:type="dxa"/>
              <w:right w:w="28" w:type="dxa"/>
            </w:tcMar>
            <w:hideMark/>
          </w:tcPr>
          <w:p w14:paraId="019FED22"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98</w:t>
            </w:r>
          </w:p>
        </w:tc>
      </w:tr>
      <w:tr w:rsidR="00F843FE" w:rsidRPr="0080437C" w14:paraId="502DEF7E" w14:textId="77777777" w:rsidTr="00C7578C">
        <w:trPr>
          <w:trHeight w:val="127"/>
        </w:trPr>
        <w:tc>
          <w:tcPr>
            <w:tcW w:w="562" w:type="dxa"/>
            <w:noWrap/>
            <w:tcMar>
              <w:left w:w="28" w:type="dxa"/>
              <w:right w:w="28" w:type="dxa"/>
            </w:tcMar>
            <w:hideMark/>
          </w:tcPr>
          <w:p w14:paraId="40B4062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16(16)</w:t>
            </w:r>
          </w:p>
        </w:tc>
        <w:tc>
          <w:tcPr>
            <w:tcW w:w="2694" w:type="dxa"/>
            <w:noWrap/>
            <w:tcMar>
              <w:left w:w="28" w:type="dxa"/>
              <w:right w:w="28" w:type="dxa"/>
            </w:tcMar>
            <w:hideMark/>
          </w:tcPr>
          <w:p w14:paraId="555D411D"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Huntington Ingalls Industries</w:t>
            </w:r>
          </w:p>
        </w:tc>
        <w:tc>
          <w:tcPr>
            <w:tcW w:w="1275" w:type="dxa"/>
            <w:noWrap/>
            <w:tcMar>
              <w:left w:w="28" w:type="dxa"/>
              <w:right w:w="28" w:type="dxa"/>
            </w:tcMar>
            <w:hideMark/>
          </w:tcPr>
          <w:p w14:paraId="7597D6CA" w14:textId="3E635431"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US</w:t>
            </w:r>
          </w:p>
        </w:tc>
        <w:tc>
          <w:tcPr>
            <w:tcW w:w="702" w:type="dxa"/>
            <w:noWrap/>
            <w:tcMar>
              <w:left w:w="28" w:type="dxa"/>
              <w:right w:w="28" w:type="dxa"/>
            </w:tcMar>
            <w:hideMark/>
          </w:tcPr>
          <w:p w14:paraId="5D17FAB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7740</w:t>
            </w:r>
          </w:p>
        </w:tc>
        <w:tc>
          <w:tcPr>
            <w:tcW w:w="993" w:type="dxa"/>
            <w:noWrap/>
            <w:tcMar>
              <w:left w:w="28" w:type="dxa"/>
              <w:right w:w="28" w:type="dxa"/>
            </w:tcMar>
            <w:hideMark/>
          </w:tcPr>
          <w:p w14:paraId="7BFB327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8899</w:t>
            </w:r>
          </w:p>
        </w:tc>
        <w:tc>
          <w:tcPr>
            <w:tcW w:w="1140" w:type="dxa"/>
            <w:noWrap/>
            <w:tcMar>
              <w:left w:w="28" w:type="dxa"/>
              <w:right w:w="28" w:type="dxa"/>
            </w:tcMar>
            <w:hideMark/>
          </w:tcPr>
          <w:p w14:paraId="6ECD2C6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87</w:t>
            </w:r>
          </w:p>
        </w:tc>
      </w:tr>
      <w:tr w:rsidR="00F843FE" w:rsidRPr="0080437C" w14:paraId="3F39AB44" w14:textId="77777777" w:rsidTr="00C7578C">
        <w:trPr>
          <w:trHeight w:val="127"/>
        </w:trPr>
        <w:tc>
          <w:tcPr>
            <w:tcW w:w="562" w:type="dxa"/>
            <w:noWrap/>
            <w:tcMar>
              <w:left w:w="28" w:type="dxa"/>
              <w:right w:w="28" w:type="dxa"/>
            </w:tcMar>
            <w:hideMark/>
          </w:tcPr>
          <w:p w14:paraId="0D49A0E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17(38)</w:t>
            </w:r>
          </w:p>
        </w:tc>
        <w:tc>
          <w:tcPr>
            <w:tcW w:w="2694" w:type="dxa"/>
            <w:noWrap/>
            <w:tcMar>
              <w:left w:w="28" w:type="dxa"/>
              <w:right w:w="28" w:type="dxa"/>
            </w:tcMar>
            <w:hideMark/>
          </w:tcPr>
          <w:p w14:paraId="5CAE4F26"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Dassault Aviation Group</w:t>
            </w:r>
          </w:p>
        </w:tc>
        <w:tc>
          <w:tcPr>
            <w:tcW w:w="1275" w:type="dxa"/>
            <w:noWrap/>
            <w:tcMar>
              <w:left w:w="28" w:type="dxa"/>
              <w:right w:w="28" w:type="dxa"/>
            </w:tcMar>
            <w:hideMark/>
          </w:tcPr>
          <w:p w14:paraId="261F5C7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France</w:t>
            </w:r>
          </w:p>
        </w:tc>
        <w:tc>
          <w:tcPr>
            <w:tcW w:w="702" w:type="dxa"/>
            <w:noWrap/>
            <w:tcMar>
              <w:left w:w="28" w:type="dxa"/>
              <w:right w:w="28" w:type="dxa"/>
            </w:tcMar>
            <w:hideMark/>
          </w:tcPr>
          <w:p w14:paraId="1C2B1E2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5760</w:t>
            </w:r>
          </w:p>
        </w:tc>
        <w:tc>
          <w:tcPr>
            <w:tcW w:w="993" w:type="dxa"/>
            <w:noWrap/>
            <w:tcMar>
              <w:left w:w="28" w:type="dxa"/>
              <w:right w:w="28" w:type="dxa"/>
            </w:tcMar>
            <w:hideMark/>
          </w:tcPr>
          <w:p w14:paraId="3D302DE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8219</w:t>
            </w:r>
          </w:p>
        </w:tc>
        <w:tc>
          <w:tcPr>
            <w:tcW w:w="1140" w:type="dxa"/>
            <w:noWrap/>
            <w:tcMar>
              <w:left w:w="28" w:type="dxa"/>
              <w:right w:w="28" w:type="dxa"/>
            </w:tcMar>
            <w:hideMark/>
          </w:tcPr>
          <w:p w14:paraId="7C5E0D8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70</w:t>
            </w:r>
          </w:p>
        </w:tc>
      </w:tr>
      <w:tr w:rsidR="00F843FE" w:rsidRPr="0080437C" w14:paraId="648E5068" w14:textId="77777777" w:rsidTr="00C7578C">
        <w:trPr>
          <w:trHeight w:val="201"/>
        </w:trPr>
        <w:tc>
          <w:tcPr>
            <w:tcW w:w="562" w:type="dxa"/>
            <w:noWrap/>
            <w:tcMar>
              <w:left w:w="28" w:type="dxa"/>
              <w:right w:w="28" w:type="dxa"/>
            </w:tcMar>
            <w:hideMark/>
          </w:tcPr>
          <w:p w14:paraId="226C249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18(18)</w:t>
            </w:r>
          </w:p>
        </w:tc>
        <w:tc>
          <w:tcPr>
            <w:tcW w:w="2694" w:type="dxa"/>
            <w:noWrap/>
            <w:tcMar>
              <w:left w:w="28" w:type="dxa"/>
              <w:right w:w="28" w:type="dxa"/>
            </w:tcMar>
            <w:hideMark/>
          </w:tcPr>
          <w:p w14:paraId="29C4D3B5"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Honeywell International</w:t>
            </w:r>
          </w:p>
        </w:tc>
        <w:tc>
          <w:tcPr>
            <w:tcW w:w="1275" w:type="dxa"/>
            <w:noWrap/>
            <w:tcMar>
              <w:left w:w="28" w:type="dxa"/>
              <w:right w:w="28" w:type="dxa"/>
            </w:tcMar>
            <w:hideMark/>
          </w:tcPr>
          <w:p w14:paraId="7EFA7D39" w14:textId="273EF199" w:rsidR="00F843FE" w:rsidRPr="00864A07" w:rsidRDefault="00F843FE" w:rsidP="00F843FE">
            <w:pPr>
              <w:jc w:val="center"/>
              <w:rPr>
                <w:rFonts w:ascii="Times New Roman" w:hAnsi="Times New Roman" w:cs="Times New Roman"/>
                <w:sz w:val="18"/>
                <w:szCs w:val="18"/>
              </w:rPr>
            </w:pPr>
            <w:r w:rsidRPr="00AC69D6">
              <w:rPr>
                <w:rFonts w:ascii="Times New Roman" w:hAnsi="Times New Roman" w:cs="Times New Roman"/>
                <w:sz w:val="18"/>
                <w:szCs w:val="18"/>
              </w:rPr>
              <w:t>US</w:t>
            </w:r>
          </w:p>
        </w:tc>
        <w:tc>
          <w:tcPr>
            <w:tcW w:w="702" w:type="dxa"/>
            <w:noWrap/>
            <w:tcMar>
              <w:left w:w="28" w:type="dxa"/>
              <w:right w:w="28" w:type="dxa"/>
            </w:tcMar>
            <w:hideMark/>
          </w:tcPr>
          <w:p w14:paraId="6AA2F5E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5330</w:t>
            </w:r>
          </w:p>
        </w:tc>
        <w:tc>
          <w:tcPr>
            <w:tcW w:w="993" w:type="dxa"/>
            <w:noWrap/>
            <w:tcMar>
              <w:left w:w="28" w:type="dxa"/>
              <w:right w:w="28" w:type="dxa"/>
            </w:tcMar>
            <w:hideMark/>
          </w:tcPr>
          <w:p w14:paraId="08C19FF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36709</w:t>
            </w:r>
          </w:p>
        </w:tc>
        <w:tc>
          <w:tcPr>
            <w:tcW w:w="1140" w:type="dxa"/>
            <w:noWrap/>
            <w:tcMar>
              <w:left w:w="28" w:type="dxa"/>
              <w:right w:w="28" w:type="dxa"/>
            </w:tcMar>
            <w:hideMark/>
          </w:tcPr>
          <w:p w14:paraId="0722FE9C"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15</w:t>
            </w:r>
          </w:p>
        </w:tc>
      </w:tr>
      <w:tr w:rsidR="00F843FE" w:rsidRPr="0080437C" w14:paraId="00BFE66A" w14:textId="77777777" w:rsidTr="00C7578C">
        <w:trPr>
          <w:trHeight w:val="119"/>
        </w:trPr>
        <w:tc>
          <w:tcPr>
            <w:tcW w:w="562" w:type="dxa"/>
            <w:noWrap/>
            <w:tcMar>
              <w:left w:w="28" w:type="dxa"/>
              <w:right w:w="28" w:type="dxa"/>
            </w:tcMar>
            <w:hideMark/>
          </w:tcPr>
          <w:p w14:paraId="42AF864A"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19(19)</w:t>
            </w:r>
          </w:p>
        </w:tc>
        <w:tc>
          <w:tcPr>
            <w:tcW w:w="2694" w:type="dxa"/>
            <w:noWrap/>
            <w:tcMar>
              <w:left w:w="28" w:type="dxa"/>
              <w:right w:w="28" w:type="dxa"/>
            </w:tcMar>
            <w:hideMark/>
          </w:tcPr>
          <w:p w14:paraId="62BF9CEC"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Leidos</w:t>
            </w:r>
          </w:p>
        </w:tc>
        <w:tc>
          <w:tcPr>
            <w:tcW w:w="1275" w:type="dxa"/>
            <w:noWrap/>
            <w:tcMar>
              <w:left w:w="28" w:type="dxa"/>
              <w:right w:w="28" w:type="dxa"/>
            </w:tcMar>
            <w:hideMark/>
          </w:tcPr>
          <w:p w14:paraId="6BF3F3FB" w14:textId="5B55438E" w:rsidR="00F843FE" w:rsidRPr="00864A07" w:rsidRDefault="00F843FE" w:rsidP="00F843FE">
            <w:pPr>
              <w:jc w:val="center"/>
              <w:rPr>
                <w:rFonts w:ascii="Times New Roman" w:hAnsi="Times New Roman" w:cs="Times New Roman"/>
                <w:sz w:val="18"/>
                <w:szCs w:val="18"/>
              </w:rPr>
            </w:pPr>
            <w:r w:rsidRPr="00AC69D6">
              <w:rPr>
                <w:rFonts w:ascii="Times New Roman" w:hAnsi="Times New Roman" w:cs="Times New Roman"/>
                <w:sz w:val="18"/>
                <w:szCs w:val="18"/>
              </w:rPr>
              <w:t>US</w:t>
            </w:r>
          </w:p>
        </w:tc>
        <w:tc>
          <w:tcPr>
            <w:tcW w:w="702" w:type="dxa"/>
            <w:noWrap/>
            <w:tcMar>
              <w:left w:w="28" w:type="dxa"/>
              <w:right w:w="28" w:type="dxa"/>
            </w:tcMar>
            <w:hideMark/>
          </w:tcPr>
          <w:p w14:paraId="08E3D3C1"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5330</w:t>
            </w:r>
          </w:p>
        </w:tc>
        <w:tc>
          <w:tcPr>
            <w:tcW w:w="993" w:type="dxa"/>
            <w:noWrap/>
            <w:tcMar>
              <w:left w:w="28" w:type="dxa"/>
              <w:right w:w="28" w:type="dxa"/>
            </w:tcMar>
            <w:hideMark/>
          </w:tcPr>
          <w:p w14:paraId="273F586C"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11094</w:t>
            </w:r>
          </w:p>
        </w:tc>
        <w:tc>
          <w:tcPr>
            <w:tcW w:w="1140" w:type="dxa"/>
            <w:noWrap/>
            <w:tcMar>
              <w:left w:w="28" w:type="dxa"/>
              <w:right w:w="28" w:type="dxa"/>
            </w:tcMar>
            <w:hideMark/>
          </w:tcPr>
          <w:p w14:paraId="443001B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48</w:t>
            </w:r>
          </w:p>
        </w:tc>
      </w:tr>
      <w:tr w:rsidR="00F843FE" w:rsidRPr="0080437C" w14:paraId="4F234502" w14:textId="77777777" w:rsidTr="00C7578C">
        <w:trPr>
          <w:trHeight w:val="51"/>
        </w:trPr>
        <w:tc>
          <w:tcPr>
            <w:tcW w:w="562" w:type="dxa"/>
            <w:noWrap/>
            <w:tcMar>
              <w:left w:w="28" w:type="dxa"/>
              <w:right w:w="28" w:type="dxa"/>
            </w:tcMar>
            <w:hideMark/>
          </w:tcPr>
          <w:p w14:paraId="5CF724CE"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20(22)</w:t>
            </w:r>
          </w:p>
        </w:tc>
        <w:tc>
          <w:tcPr>
            <w:tcW w:w="2694" w:type="dxa"/>
            <w:noWrap/>
            <w:tcMar>
              <w:left w:w="28" w:type="dxa"/>
              <w:right w:w="28" w:type="dxa"/>
            </w:tcMar>
            <w:hideMark/>
          </w:tcPr>
          <w:p w14:paraId="104BEACD"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Booz Allen Hamilton</w:t>
            </w:r>
          </w:p>
        </w:tc>
        <w:tc>
          <w:tcPr>
            <w:tcW w:w="1275" w:type="dxa"/>
            <w:noWrap/>
            <w:tcMar>
              <w:left w:w="28" w:type="dxa"/>
              <w:right w:w="28" w:type="dxa"/>
            </w:tcMar>
            <w:hideMark/>
          </w:tcPr>
          <w:p w14:paraId="4B7B71FF" w14:textId="2F6401A8" w:rsidR="00F843FE" w:rsidRPr="00864A07" w:rsidRDefault="00F843FE" w:rsidP="00F843FE">
            <w:pPr>
              <w:jc w:val="center"/>
              <w:rPr>
                <w:rFonts w:ascii="Times New Roman" w:hAnsi="Times New Roman" w:cs="Times New Roman"/>
                <w:sz w:val="18"/>
                <w:szCs w:val="18"/>
              </w:rPr>
            </w:pPr>
            <w:r w:rsidRPr="00AC69D6">
              <w:rPr>
                <w:rFonts w:ascii="Times New Roman" w:hAnsi="Times New Roman" w:cs="Times New Roman"/>
                <w:sz w:val="18"/>
                <w:szCs w:val="18"/>
              </w:rPr>
              <w:t>US</w:t>
            </w:r>
          </w:p>
        </w:tc>
        <w:tc>
          <w:tcPr>
            <w:tcW w:w="702" w:type="dxa"/>
            <w:noWrap/>
            <w:tcMar>
              <w:left w:w="28" w:type="dxa"/>
              <w:right w:w="28" w:type="dxa"/>
            </w:tcMar>
            <w:hideMark/>
          </w:tcPr>
          <w:p w14:paraId="59D10DF7"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5140</w:t>
            </w:r>
          </w:p>
        </w:tc>
        <w:tc>
          <w:tcPr>
            <w:tcW w:w="993" w:type="dxa"/>
            <w:noWrap/>
            <w:tcMar>
              <w:left w:w="28" w:type="dxa"/>
              <w:right w:w="28" w:type="dxa"/>
            </w:tcMar>
            <w:hideMark/>
          </w:tcPr>
          <w:p w14:paraId="44119DC3"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7464</w:t>
            </w:r>
          </w:p>
        </w:tc>
        <w:tc>
          <w:tcPr>
            <w:tcW w:w="1140" w:type="dxa"/>
            <w:noWrap/>
            <w:tcMar>
              <w:left w:w="28" w:type="dxa"/>
              <w:right w:w="28" w:type="dxa"/>
            </w:tcMar>
            <w:hideMark/>
          </w:tcPr>
          <w:p w14:paraId="72DE244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69</w:t>
            </w:r>
          </w:p>
        </w:tc>
      </w:tr>
      <w:tr w:rsidR="00F843FE" w:rsidRPr="0080437C" w14:paraId="3162F7C3" w14:textId="77777777" w:rsidTr="00C7578C">
        <w:trPr>
          <w:trHeight w:val="112"/>
        </w:trPr>
        <w:tc>
          <w:tcPr>
            <w:tcW w:w="562" w:type="dxa"/>
            <w:noWrap/>
            <w:tcMar>
              <w:left w:w="28" w:type="dxa"/>
              <w:right w:w="28" w:type="dxa"/>
            </w:tcMar>
            <w:hideMark/>
          </w:tcPr>
          <w:p w14:paraId="171B4FF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21(28)</w:t>
            </w:r>
          </w:p>
        </w:tc>
        <w:tc>
          <w:tcPr>
            <w:tcW w:w="2694" w:type="dxa"/>
            <w:noWrap/>
            <w:tcMar>
              <w:left w:w="28" w:type="dxa"/>
              <w:right w:w="28" w:type="dxa"/>
            </w:tcMar>
            <w:hideMark/>
          </w:tcPr>
          <w:p w14:paraId="0DD89D31" w14:textId="77777777" w:rsidR="00F843FE" w:rsidRPr="00864A07" w:rsidRDefault="00F843FE" w:rsidP="00F843FE">
            <w:pPr>
              <w:rPr>
                <w:rFonts w:ascii="Times New Roman" w:hAnsi="Times New Roman" w:cs="Times New Roman"/>
                <w:sz w:val="18"/>
                <w:szCs w:val="18"/>
              </w:rPr>
            </w:pPr>
            <w:r w:rsidRPr="00864A07">
              <w:rPr>
                <w:rFonts w:ascii="Times New Roman" w:hAnsi="Times New Roman" w:cs="Times New Roman"/>
                <w:sz w:val="18"/>
                <w:szCs w:val="18"/>
              </w:rPr>
              <w:t>General Electric</w:t>
            </w:r>
          </w:p>
        </w:tc>
        <w:tc>
          <w:tcPr>
            <w:tcW w:w="1275" w:type="dxa"/>
            <w:noWrap/>
            <w:tcMar>
              <w:left w:w="28" w:type="dxa"/>
              <w:right w:w="28" w:type="dxa"/>
            </w:tcMar>
            <w:hideMark/>
          </w:tcPr>
          <w:p w14:paraId="4A131314" w14:textId="62A35C08" w:rsidR="00F843FE" w:rsidRPr="00864A07" w:rsidRDefault="00F843FE" w:rsidP="00F843FE">
            <w:pPr>
              <w:jc w:val="center"/>
              <w:rPr>
                <w:rFonts w:ascii="Times New Roman" w:hAnsi="Times New Roman" w:cs="Times New Roman"/>
                <w:sz w:val="18"/>
                <w:szCs w:val="18"/>
              </w:rPr>
            </w:pPr>
            <w:r w:rsidRPr="00AC69D6">
              <w:rPr>
                <w:rFonts w:ascii="Times New Roman" w:hAnsi="Times New Roman" w:cs="Times New Roman"/>
                <w:sz w:val="18"/>
                <w:szCs w:val="18"/>
              </w:rPr>
              <w:t>US</w:t>
            </w:r>
          </w:p>
        </w:tc>
        <w:tc>
          <w:tcPr>
            <w:tcW w:w="702" w:type="dxa"/>
            <w:noWrap/>
            <w:tcMar>
              <w:left w:w="28" w:type="dxa"/>
              <w:right w:w="28" w:type="dxa"/>
            </w:tcMar>
            <w:hideMark/>
          </w:tcPr>
          <w:p w14:paraId="58CFBB8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4760</w:t>
            </w:r>
          </w:p>
        </w:tc>
        <w:tc>
          <w:tcPr>
            <w:tcW w:w="993" w:type="dxa"/>
            <w:noWrap/>
            <w:tcMar>
              <w:left w:w="28" w:type="dxa"/>
              <w:right w:w="28" w:type="dxa"/>
            </w:tcMar>
            <w:hideMark/>
          </w:tcPr>
          <w:p w14:paraId="345A455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95200</w:t>
            </w:r>
          </w:p>
        </w:tc>
        <w:tc>
          <w:tcPr>
            <w:tcW w:w="1140" w:type="dxa"/>
            <w:noWrap/>
            <w:tcMar>
              <w:left w:w="28" w:type="dxa"/>
              <w:right w:w="28" w:type="dxa"/>
            </w:tcMar>
            <w:hideMark/>
          </w:tcPr>
          <w:p w14:paraId="062415BF"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5,0</w:t>
            </w:r>
          </w:p>
        </w:tc>
      </w:tr>
      <w:tr w:rsidR="00F843FE" w:rsidRPr="0080437C" w14:paraId="02FE818A" w14:textId="77777777" w:rsidTr="00C7578C">
        <w:trPr>
          <w:trHeight w:val="185"/>
        </w:trPr>
        <w:tc>
          <w:tcPr>
            <w:tcW w:w="562" w:type="dxa"/>
            <w:noWrap/>
            <w:tcMar>
              <w:left w:w="28" w:type="dxa"/>
              <w:right w:w="28" w:type="dxa"/>
            </w:tcMar>
            <w:hideMark/>
          </w:tcPr>
          <w:p w14:paraId="3CC7B03C" w14:textId="1543CFDA"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22</w:t>
            </w:r>
            <w:r>
              <w:rPr>
                <w:rFonts w:ascii="Times New Roman" w:hAnsi="Times New Roman" w:cs="Times New Roman"/>
                <w:sz w:val="18"/>
                <w:szCs w:val="18"/>
                <w:lang w:val="ru-RU"/>
              </w:rPr>
              <w:t xml:space="preserve"> </w:t>
            </w:r>
            <w:r w:rsidRPr="00864A07">
              <w:rPr>
                <w:rFonts w:ascii="Times New Roman" w:hAnsi="Times New Roman" w:cs="Times New Roman"/>
                <w:sz w:val="18"/>
                <w:szCs w:val="18"/>
              </w:rPr>
              <w:t>(-)</w:t>
            </w:r>
          </w:p>
        </w:tc>
        <w:tc>
          <w:tcPr>
            <w:tcW w:w="2694" w:type="dxa"/>
            <w:noWrap/>
            <w:tcMar>
              <w:left w:w="28" w:type="dxa"/>
              <w:right w:w="28" w:type="dxa"/>
            </w:tcMar>
            <w:hideMark/>
          </w:tcPr>
          <w:p w14:paraId="53C0B0B5"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EDGE</w:t>
            </w:r>
          </w:p>
        </w:tc>
        <w:tc>
          <w:tcPr>
            <w:tcW w:w="1275" w:type="dxa"/>
            <w:noWrap/>
            <w:tcMar>
              <w:left w:w="28" w:type="dxa"/>
              <w:right w:w="28" w:type="dxa"/>
            </w:tcMar>
            <w:hideMark/>
          </w:tcPr>
          <w:p w14:paraId="2247F176" w14:textId="4E874403"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UAE</w:t>
            </w:r>
          </w:p>
        </w:tc>
        <w:tc>
          <w:tcPr>
            <w:tcW w:w="702" w:type="dxa"/>
            <w:noWrap/>
            <w:tcMar>
              <w:left w:w="28" w:type="dxa"/>
              <w:right w:w="28" w:type="dxa"/>
            </w:tcMar>
            <w:hideMark/>
          </w:tcPr>
          <w:p w14:paraId="3D071050"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4750</w:t>
            </w:r>
          </w:p>
        </w:tc>
        <w:tc>
          <w:tcPr>
            <w:tcW w:w="993" w:type="dxa"/>
            <w:noWrap/>
            <w:tcMar>
              <w:left w:w="28" w:type="dxa"/>
              <w:right w:w="28" w:type="dxa"/>
            </w:tcMar>
            <w:hideMark/>
          </w:tcPr>
          <w:p w14:paraId="53099BBD"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5000</w:t>
            </w:r>
          </w:p>
        </w:tc>
        <w:tc>
          <w:tcPr>
            <w:tcW w:w="1140" w:type="dxa"/>
            <w:noWrap/>
            <w:tcMar>
              <w:left w:w="28" w:type="dxa"/>
              <w:right w:w="28" w:type="dxa"/>
            </w:tcMar>
            <w:hideMark/>
          </w:tcPr>
          <w:p w14:paraId="32A870DC"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95</w:t>
            </w:r>
          </w:p>
        </w:tc>
      </w:tr>
      <w:tr w:rsidR="00F843FE" w:rsidRPr="0080437C" w14:paraId="57B01648" w14:textId="77777777" w:rsidTr="00C7578C">
        <w:trPr>
          <w:trHeight w:val="103"/>
        </w:trPr>
        <w:tc>
          <w:tcPr>
            <w:tcW w:w="562" w:type="dxa"/>
            <w:noWrap/>
            <w:tcMar>
              <w:left w:w="28" w:type="dxa"/>
              <w:right w:w="28" w:type="dxa"/>
            </w:tcMar>
            <w:hideMark/>
          </w:tcPr>
          <w:p w14:paraId="78BC47E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23(23)</w:t>
            </w:r>
          </w:p>
        </w:tc>
        <w:tc>
          <w:tcPr>
            <w:tcW w:w="2694" w:type="dxa"/>
            <w:noWrap/>
            <w:tcMar>
              <w:left w:w="28" w:type="dxa"/>
              <w:right w:w="28" w:type="dxa"/>
            </w:tcMar>
            <w:hideMark/>
          </w:tcPr>
          <w:p w14:paraId="6A1F284F"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Rolls-Royce</w:t>
            </w:r>
          </w:p>
        </w:tc>
        <w:tc>
          <w:tcPr>
            <w:tcW w:w="1275" w:type="dxa"/>
            <w:noWrap/>
            <w:tcMar>
              <w:left w:w="28" w:type="dxa"/>
              <w:right w:w="28" w:type="dxa"/>
            </w:tcMar>
            <w:hideMark/>
          </w:tcPr>
          <w:p w14:paraId="485A42E1" w14:textId="379B2610"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UK</w:t>
            </w:r>
          </w:p>
        </w:tc>
        <w:tc>
          <w:tcPr>
            <w:tcW w:w="702" w:type="dxa"/>
            <w:noWrap/>
            <w:tcMar>
              <w:left w:w="28" w:type="dxa"/>
              <w:right w:w="28" w:type="dxa"/>
            </w:tcMar>
            <w:hideMark/>
          </w:tcPr>
          <w:p w14:paraId="49C485F5"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4710</w:t>
            </w:r>
          </w:p>
        </w:tc>
        <w:tc>
          <w:tcPr>
            <w:tcW w:w="993" w:type="dxa"/>
            <w:noWrap/>
            <w:tcMar>
              <w:left w:w="28" w:type="dxa"/>
              <w:right w:w="28" w:type="dxa"/>
            </w:tcMar>
            <w:hideMark/>
          </w:tcPr>
          <w:p w14:paraId="1353E82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19732</w:t>
            </w:r>
          </w:p>
        </w:tc>
        <w:tc>
          <w:tcPr>
            <w:tcW w:w="1140" w:type="dxa"/>
            <w:noWrap/>
            <w:tcMar>
              <w:left w:w="28" w:type="dxa"/>
              <w:right w:w="28" w:type="dxa"/>
            </w:tcMar>
            <w:hideMark/>
          </w:tcPr>
          <w:p w14:paraId="14FD6248"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24</w:t>
            </w:r>
          </w:p>
        </w:tc>
      </w:tr>
      <w:tr w:rsidR="00F843FE" w:rsidRPr="0080437C" w14:paraId="4CD95CF8" w14:textId="77777777" w:rsidTr="00C7578C">
        <w:trPr>
          <w:trHeight w:val="177"/>
        </w:trPr>
        <w:tc>
          <w:tcPr>
            <w:tcW w:w="562" w:type="dxa"/>
            <w:noWrap/>
            <w:tcMar>
              <w:left w:w="28" w:type="dxa"/>
              <w:right w:w="28" w:type="dxa"/>
            </w:tcMar>
            <w:hideMark/>
          </w:tcPr>
          <w:p w14:paraId="1953B5DB"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24(25)</w:t>
            </w:r>
          </w:p>
        </w:tc>
        <w:tc>
          <w:tcPr>
            <w:tcW w:w="2694" w:type="dxa"/>
            <w:noWrap/>
            <w:tcMar>
              <w:left w:w="28" w:type="dxa"/>
              <w:right w:w="28" w:type="dxa"/>
            </w:tcMar>
            <w:hideMark/>
          </w:tcPr>
          <w:p w14:paraId="3B74430A"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CSGC</w:t>
            </w:r>
          </w:p>
        </w:tc>
        <w:tc>
          <w:tcPr>
            <w:tcW w:w="1275" w:type="dxa"/>
            <w:noWrap/>
            <w:tcMar>
              <w:left w:w="28" w:type="dxa"/>
              <w:right w:w="28" w:type="dxa"/>
            </w:tcMar>
            <w:hideMark/>
          </w:tcPr>
          <w:p w14:paraId="763C9E1D"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China</w:t>
            </w:r>
          </w:p>
        </w:tc>
        <w:tc>
          <w:tcPr>
            <w:tcW w:w="702" w:type="dxa"/>
            <w:noWrap/>
            <w:tcMar>
              <w:left w:w="28" w:type="dxa"/>
              <w:right w:w="28" w:type="dxa"/>
            </w:tcMar>
            <w:hideMark/>
          </w:tcPr>
          <w:p w14:paraId="0E8AA351"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4610</w:t>
            </w:r>
          </w:p>
        </w:tc>
        <w:tc>
          <w:tcPr>
            <w:tcW w:w="993" w:type="dxa"/>
            <w:noWrap/>
            <w:tcMar>
              <w:left w:w="28" w:type="dxa"/>
              <w:right w:w="28" w:type="dxa"/>
            </w:tcMar>
            <w:hideMark/>
          </w:tcPr>
          <w:p w14:paraId="77A819BD"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29065</w:t>
            </w:r>
          </w:p>
        </w:tc>
        <w:tc>
          <w:tcPr>
            <w:tcW w:w="1140" w:type="dxa"/>
            <w:noWrap/>
            <w:tcMar>
              <w:left w:w="28" w:type="dxa"/>
              <w:right w:w="28" w:type="dxa"/>
            </w:tcMar>
            <w:hideMark/>
          </w:tcPr>
          <w:p w14:paraId="06F05429"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16</w:t>
            </w:r>
          </w:p>
        </w:tc>
      </w:tr>
      <w:tr w:rsidR="00F843FE" w:rsidRPr="0080437C" w14:paraId="7A437995" w14:textId="77777777" w:rsidTr="00C7578C">
        <w:trPr>
          <w:trHeight w:val="94"/>
        </w:trPr>
        <w:tc>
          <w:tcPr>
            <w:tcW w:w="562" w:type="dxa"/>
            <w:noWrap/>
            <w:tcMar>
              <w:left w:w="28" w:type="dxa"/>
              <w:right w:w="28" w:type="dxa"/>
            </w:tcMar>
            <w:hideMark/>
          </w:tcPr>
          <w:p w14:paraId="49D0792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25(21)</w:t>
            </w:r>
          </w:p>
        </w:tc>
        <w:tc>
          <w:tcPr>
            <w:tcW w:w="2694" w:type="dxa"/>
            <w:noWrap/>
            <w:tcMar>
              <w:left w:w="28" w:type="dxa"/>
              <w:right w:w="28" w:type="dxa"/>
            </w:tcMar>
            <w:hideMark/>
          </w:tcPr>
          <w:p w14:paraId="5DC48596" w14:textId="77777777" w:rsidR="00F843FE" w:rsidRPr="00864A07" w:rsidRDefault="00F843FE" w:rsidP="00C84117">
            <w:pPr>
              <w:rPr>
                <w:rFonts w:ascii="Times New Roman" w:hAnsi="Times New Roman" w:cs="Times New Roman"/>
                <w:sz w:val="18"/>
                <w:szCs w:val="18"/>
              </w:rPr>
            </w:pPr>
            <w:r w:rsidRPr="00864A07">
              <w:rPr>
                <w:rFonts w:ascii="Times New Roman" w:hAnsi="Times New Roman" w:cs="Times New Roman"/>
                <w:sz w:val="18"/>
                <w:szCs w:val="18"/>
              </w:rPr>
              <w:t>United Shipbuilding Corp.</w:t>
            </w:r>
          </w:p>
        </w:tc>
        <w:tc>
          <w:tcPr>
            <w:tcW w:w="1275" w:type="dxa"/>
            <w:noWrap/>
            <w:tcMar>
              <w:left w:w="28" w:type="dxa"/>
              <w:right w:w="28" w:type="dxa"/>
            </w:tcMar>
            <w:hideMark/>
          </w:tcPr>
          <w:p w14:paraId="5745C31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Russia</w:t>
            </w:r>
          </w:p>
        </w:tc>
        <w:tc>
          <w:tcPr>
            <w:tcW w:w="702" w:type="dxa"/>
            <w:noWrap/>
            <w:tcMar>
              <w:left w:w="28" w:type="dxa"/>
              <w:right w:w="28" w:type="dxa"/>
            </w:tcMar>
            <w:hideMark/>
          </w:tcPr>
          <w:p w14:paraId="2A59AC36"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4500</w:t>
            </w:r>
          </w:p>
        </w:tc>
        <w:tc>
          <w:tcPr>
            <w:tcW w:w="993" w:type="dxa"/>
            <w:noWrap/>
            <w:tcMar>
              <w:left w:w="28" w:type="dxa"/>
              <w:right w:w="28" w:type="dxa"/>
            </w:tcMar>
            <w:hideMark/>
          </w:tcPr>
          <w:p w14:paraId="4D305434"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5416</w:t>
            </w:r>
          </w:p>
        </w:tc>
        <w:tc>
          <w:tcPr>
            <w:tcW w:w="1140" w:type="dxa"/>
            <w:noWrap/>
            <w:tcMar>
              <w:left w:w="28" w:type="dxa"/>
              <w:right w:w="28" w:type="dxa"/>
            </w:tcMar>
            <w:hideMark/>
          </w:tcPr>
          <w:p w14:paraId="521B3EC2" w14:textId="77777777" w:rsidR="00F843FE" w:rsidRPr="00864A07" w:rsidRDefault="00F843FE" w:rsidP="00F843FE">
            <w:pPr>
              <w:jc w:val="center"/>
              <w:rPr>
                <w:rFonts w:ascii="Times New Roman" w:hAnsi="Times New Roman" w:cs="Times New Roman"/>
                <w:sz w:val="18"/>
                <w:szCs w:val="18"/>
              </w:rPr>
            </w:pPr>
            <w:r w:rsidRPr="00864A07">
              <w:rPr>
                <w:rFonts w:ascii="Times New Roman" w:hAnsi="Times New Roman" w:cs="Times New Roman"/>
                <w:sz w:val="18"/>
                <w:szCs w:val="18"/>
              </w:rPr>
              <w:t>83</w:t>
            </w:r>
          </w:p>
        </w:tc>
      </w:tr>
    </w:tbl>
    <w:p w14:paraId="23DD63DD" w14:textId="29921646" w:rsidR="00F843FE" w:rsidRPr="00651A5D" w:rsidRDefault="00C7578C" w:rsidP="00651A5D">
      <w:pPr>
        <w:spacing w:before="120" w:after="120"/>
        <w:jc w:val="both"/>
        <w:rPr>
          <w:rFonts w:ascii="Times New Roman" w:hAnsi="Times New Roman" w:cs="Times New Roman"/>
          <w:iCs/>
          <w:sz w:val="18"/>
          <w:szCs w:val="18"/>
          <w:lang w:val="en-US"/>
        </w:rPr>
      </w:pPr>
      <w:bookmarkStart w:id="3" w:name="_Hlk76322530"/>
      <w:r w:rsidRPr="00651A5D">
        <w:rPr>
          <w:rFonts w:ascii="Times New Roman" w:hAnsi="Times New Roman" w:cs="Times New Roman"/>
          <w:iCs/>
          <w:sz w:val="18"/>
          <w:szCs w:val="18"/>
          <w:lang w:val="en-GB"/>
        </w:rPr>
        <w:t>Source:</w:t>
      </w:r>
      <w:r w:rsidR="00367E55" w:rsidRPr="00651A5D">
        <w:rPr>
          <w:rFonts w:ascii="Times New Roman" w:hAnsi="Times New Roman" w:cs="Times New Roman"/>
          <w:sz w:val="18"/>
          <w:szCs w:val="18"/>
        </w:rPr>
        <w:t xml:space="preserve"> </w:t>
      </w:r>
      <w:hyperlink r:id="rId8" w:history="1">
        <w:r w:rsidR="00367E55" w:rsidRPr="00651A5D">
          <w:rPr>
            <w:rStyle w:val="a6"/>
            <w:rFonts w:ascii="Times New Roman" w:hAnsi="Times New Roman" w:cs="Times New Roman"/>
            <w:iCs/>
            <w:sz w:val="18"/>
            <w:szCs w:val="18"/>
            <w:lang w:val="en-GB"/>
          </w:rPr>
          <w:t>https://www.sipri.org/databases/armsindustry</w:t>
        </w:r>
      </w:hyperlink>
      <w:r w:rsidR="00367E55" w:rsidRPr="00651A5D">
        <w:rPr>
          <w:rFonts w:ascii="Times New Roman" w:hAnsi="Times New Roman" w:cs="Times New Roman"/>
          <w:iCs/>
          <w:sz w:val="18"/>
          <w:szCs w:val="18"/>
          <w:lang w:val="en-US"/>
        </w:rPr>
        <w:t>.</w:t>
      </w:r>
    </w:p>
    <w:bookmarkEnd w:id="3"/>
    <w:p w14:paraId="44545CC0" w14:textId="205804B5" w:rsidR="00651A5D" w:rsidRPr="00651A5D" w:rsidRDefault="00651A5D" w:rsidP="00651A5D">
      <w:pPr>
        <w:ind w:firstLine="284"/>
        <w:jc w:val="both"/>
        <w:rPr>
          <w:rFonts w:ascii="Times New Roman" w:hAnsi="Times New Roman" w:cs="Times New Roman"/>
          <w:iCs/>
          <w:sz w:val="20"/>
          <w:lang w:val="en-US"/>
        </w:rPr>
      </w:pPr>
      <w:r w:rsidRPr="00651A5D">
        <w:rPr>
          <w:rFonts w:ascii="Times New Roman" w:hAnsi="Times New Roman" w:cs="Times New Roman"/>
          <w:iCs/>
          <w:sz w:val="20"/>
          <w:lang w:val="en-US"/>
        </w:rPr>
        <w:t xml:space="preserve">4 Chinese corporations entered the list of the 25 largest corporations at once, including 3 in the top ten. There are only two Russian corporations in the TOP-25 - Almaz-Antey and USC, while a year earlier there were 3 of them (also UAC). Of the 25 largest military corporations in the world, almost half </w:t>
      </w:r>
      <w:r>
        <w:rPr>
          <w:rFonts w:ascii="Times New Roman" w:hAnsi="Times New Roman" w:cs="Times New Roman"/>
          <w:iCs/>
          <w:sz w:val="20"/>
          <w:lang w:val="en-US"/>
        </w:rPr>
        <w:t xml:space="preserve">(12) </w:t>
      </w:r>
      <w:r w:rsidRPr="00651A5D">
        <w:rPr>
          <w:rFonts w:ascii="Times New Roman" w:hAnsi="Times New Roman" w:cs="Times New Roman"/>
          <w:iCs/>
          <w:sz w:val="20"/>
          <w:lang w:val="en-US"/>
        </w:rPr>
        <w:t>are American, but Chinese companies may squeeze them out in the coming years.</w:t>
      </w:r>
    </w:p>
    <w:p w14:paraId="3C2CC77E" w14:textId="7DFB1E75" w:rsidR="005C31B5" w:rsidRDefault="00651A5D" w:rsidP="005C31B5">
      <w:pPr>
        <w:ind w:firstLine="284"/>
        <w:jc w:val="both"/>
        <w:rPr>
          <w:rFonts w:ascii="Times New Roman" w:hAnsi="Times New Roman" w:cs="Times New Roman"/>
          <w:iCs/>
          <w:sz w:val="20"/>
          <w:lang w:val="en-US"/>
        </w:rPr>
      </w:pPr>
      <w:r w:rsidRPr="00651A5D">
        <w:rPr>
          <w:rFonts w:ascii="Times New Roman" w:hAnsi="Times New Roman" w:cs="Times New Roman"/>
          <w:iCs/>
          <w:sz w:val="20"/>
          <w:lang w:val="en-US"/>
        </w:rPr>
        <w:t>As for the rest of the Russian military corporations from the TOP-100</w:t>
      </w:r>
      <w:r>
        <w:rPr>
          <w:rFonts w:ascii="Times New Roman" w:hAnsi="Times New Roman" w:cs="Times New Roman"/>
          <w:iCs/>
          <w:sz w:val="20"/>
          <w:lang w:val="en-US"/>
        </w:rPr>
        <w:t xml:space="preserve"> (2018)</w:t>
      </w:r>
      <w:r w:rsidRPr="00651A5D">
        <w:rPr>
          <w:rFonts w:ascii="Times New Roman" w:hAnsi="Times New Roman" w:cs="Times New Roman"/>
          <w:iCs/>
          <w:sz w:val="20"/>
          <w:lang w:val="en-US"/>
        </w:rPr>
        <w:t>, their position can be observed according to the data in Table. 2</w:t>
      </w:r>
      <w:r w:rsidR="005C31B5" w:rsidRPr="006D5A33">
        <w:rPr>
          <w:rFonts w:ascii="Times New Roman" w:hAnsi="Times New Roman" w:cs="Times New Roman"/>
          <w:iCs/>
          <w:sz w:val="20"/>
          <w:lang w:val="en-US"/>
        </w:rPr>
        <w:t>.</w:t>
      </w:r>
    </w:p>
    <w:p w14:paraId="634E9E16" w14:textId="77777777" w:rsidR="00FF2184" w:rsidRPr="00FF2184" w:rsidRDefault="00FF2184" w:rsidP="00FF2184">
      <w:pPr>
        <w:ind w:firstLine="284"/>
        <w:jc w:val="both"/>
        <w:rPr>
          <w:rFonts w:ascii="Times New Roman" w:hAnsi="Times New Roman" w:cs="Times New Roman"/>
          <w:iCs/>
          <w:sz w:val="20"/>
          <w:lang w:val="en-US"/>
        </w:rPr>
      </w:pPr>
      <w:r w:rsidRPr="00FF2184">
        <w:rPr>
          <w:rFonts w:ascii="Times New Roman" w:hAnsi="Times New Roman" w:cs="Times New Roman"/>
          <w:iCs/>
          <w:sz w:val="20"/>
          <w:lang w:val="en-US"/>
        </w:rPr>
        <w:t>If in general for 5 years (from 2013 to 2018) the representation of Russia in the TOP-100 has practically not changed, then most of our companies have lost several positions in the world ranking. The reasons for this may be different - both the global economic crisis and the sanctions of Western countries and the inclusion of Chinese companies in the world rankings. When data for 2020-2021 becomes available, it will also be possible to assess the impact of the COVID-19 pandemic.</w:t>
      </w:r>
    </w:p>
    <w:p w14:paraId="25CC602C" w14:textId="77777777" w:rsidR="00FF2184" w:rsidRPr="00D72113" w:rsidRDefault="00FF2184" w:rsidP="005C31B5">
      <w:pPr>
        <w:ind w:firstLine="284"/>
        <w:jc w:val="both"/>
        <w:rPr>
          <w:rFonts w:ascii="Times New Roman" w:hAnsi="Times New Roman" w:cs="Times New Roman"/>
          <w:iCs/>
          <w:sz w:val="18"/>
          <w:szCs w:val="16"/>
          <w:lang w:val="en-US"/>
        </w:rPr>
      </w:pPr>
    </w:p>
    <w:p w14:paraId="204F0BC5" w14:textId="74EBE348" w:rsidR="00D72113" w:rsidRPr="00C7578C" w:rsidRDefault="00D72113" w:rsidP="00651A5D">
      <w:pPr>
        <w:spacing w:before="120" w:after="120"/>
        <w:jc w:val="center"/>
        <w:rPr>
          <w:rFonts w:ascii="Times New Roman" w:hAnsi="Times New Roman" w:cs="Times New Roman"/>
          <w:sz w:val="20"/>
          <w:lang w:val="en-US"/>
        </w:rPr>
      </w:pPr>
      <w:r w:rsidRPr="000E35D4">
        <w:rPr>
          <w:rFonts w:ascii="Times New Roman" w:hAnsi="Times New Roman" w:cs="Times New Roman"/>
          <w:b/>
          <w:bCs/>
          <w:iCs/>
          <w:sz w:val="18"/>
          <w:szCs w:val="16"/>
          <w:lang w:val="en-GB"/>
        </w:rPr>
        <w:t xml:space="preserve">Table </w:t>
      </w:r>
      <w:r w:rsidRPr="00D72113">
        <w:rPr>
          <w:rFonts w:ascii="Times New Roman" w:hAnsi="Times New Roman" w:cs="Times New Roman"/>
          <w:b/>
          <w:bCs/>
          <w:iCs/>
          <w:sz w:val="18"/>
          <w:szCs w:val="16"/>
          <w:lang w:val="en-US"/>
        </w:rPr>
        <w:t>2</w:t>
      </w:r>
      <w:r w:rsidRPr="000E35D4">
        <w:rPr>
          <w:rFonts w:ascii="Times New Roman" w:hAnsi="Times New Roman" w:cs="Times New Roman"/>
          <w:b/>
          <w:bCs/>
          <w:iCs/>
          <w:sz w:val="18"/>
          <w:szCs w:val="16"/>
          <w:lang w:val="en-GB"/>
        </w:rPr>
        <w:t>.</w:t>
      </w:r>
      <w:r w:rsidRPr="00C7578C">
        <w:rPr>
          <w:rFonts w:ascii="Times New Roman" w:hAnsi="Times New Roman" w:cs="Times New Roman"/>
          <w:b/>
          <w:bCs/>
          <w:iCs/>
          <w:sz w:val="18"/>
          <w:szCs w:val="16"/>
          <w:lang w:val="en-US"/>
        </w:rPr>
        <w:t xml:space="preserve"> </w:t>
      </w:r>
      <w:r w:rsidRPr="00D72113">
        <w:rPr>
          <w:rFonts w:ascii="Times New Roman" w:hAnsi="Times New Roman" w:cs="Times New Roman"/>
          <w:iCs/>
          <w:sz w:val="18"/>
          <w:szCs w:val="16"/>
          <w:lang w:val="en-US"/>
        </w:rPr>
        <w:t>Places of Russian military companies in the SIPRI Top 100 arms-producing and military services companies in the world</w:t>
      </w:r>
      <w:r w:rsidRPr="00C7578C">
        <w:rPr>
          <w:rFonts w:ascii="Times New Roman" w:hAnsi="Times New Roman" w:cs="Times New Roman"/>
          <w:iCs/>
          <w:sz w:val="18"/>
          <w:szCs w:val="16"/>
          <w:lang w:val="en-US"/>
        </w:rPr>
        <w:t>, 201</w:t>
      </w:r>
      <w:r w:rsidRPr="00D72113">
        <w:rPr>
          <w:rFonts w:ascii="Times New Roman" w:hAnsi="Times New Roman" w:cs="Times New Roman"/>
          <w:iCs/>
          <w:sz w:val="18"/>
          <w:szCs w:val="16"/>
          <w:lang w:val="en-US"/>
        </w:rPr>
        <w:t>8</w:t>
      </w:r>
      <w:r w:rsidRPr="00C7578C">
        <w:rPr>
          <w:rFonts w:ascii="Times New Roman" w:hAnsi="Times New Roman" w:cs="Times New Roman"/>
          <w:iCs/>
          <w:sz w:val="18"/>
          <w:szCs w:val="16"/>
          <w:lang w:val="en-US"/>
        </w:rPr>
        <w:t xml:space="preserve"> (in millions of US dollars)</w:t>
      </w:r>
    </w:p>
    <w:tbl>
      <w:tblPr>
        <w:tblStyle w:val="ae"/>
        <w:tblW w:w="7225" w:type="dxa"/>
        <w:tblLook w:val="04A0" w:firstRow="1" w:lastRow="0" w:firstColumn="1" w:lastColumn="0" w:noHBand="0" w:noVBand="1"/>
      </w:tblPr>
      <w:tblGrid>
        <w:gridCol w:w="988"/>
        <w:gridCol w:w="2693"/>
        <w:gridCol w:w="992"/>
        <w:gridCol w:w="992"/>
        <w:gridCol w:w="1560"/>
      </w:tblGrid>
      <w:tr w:rsidR="00B64BB4" w:rsidRPr="0080437C" w14:paraId="39716288" w14:textId="77777777" w:rsidTr="00FF2184">
        <w:trPr>
          <w:trHeight w:val="447"/>
        </w:trPr>
        <w:tc>
          <w:tcPr>
            <w:tcW w:w="988" w:type="dxa"/>
            <w:noWrap/>
            <w:tcMar>
              <w:left w:w="28" w:type="dxa"/>
              <w:right w:w="28" w:type="dxa"/>
            </w:tcMar>
            <w:hideMark/>
          </w:tcPr>
          <w:p w14:paraId="542AE35D" w14:textId="645594C5" w:rsidR="00B64BB4" w:rsidRPr="00864A07" w:rsidRDefault="00B64BB4" w:rsidP="00C84117">
            <w:pPr>
              <w:jc w:val="center"/>
              <w:rPr>
                <w:rFonts w:ascii="Times New Roman" w:hAnsi="Times New Roman" w:cs="Times New Roman"/>
                <w:b/>
                <w:bCs/>
                <w:sz w:val="18"/>
                <w:szCs w:val="18"/>
              </w:rPr>
            </w:pPr>
            <w:r w:rsidRPr="00864A07">
              <w:rPr>
                <w:rFonts w:ascii="Times New Roman" w:hAnsi="Times New Roman" w:cs="Times New Roman"/>
                <w:b/>
                <w:bCs/>
                <w:sz w:val="18"/>
                <w:szCs w:val="18"/>
              </w:rPr>
              <w:t>Rank- 201</w:t>
            </w:r>
            <w:r>
              <w:rPr>
                <w:rFonts w:ascii="Times New Roman" w:hAnsi="Times New Roman" w:cs="Times New Roman"/>
                <w:b/>
                <w:bCs/>
                <w:sz w:val="18"/>
                <w:szCs w:val="18"/>
                <w:lang w:val="ru-RU"/>
              </w:rPr>
              <w:t>8</w:t>
            </w:r>
            <w:r w:rsidRPr="00864A07">
              <w:rPr>
                <w:rFonts w:ascii="Times New Roman" w:hAnsi="Times New Roman" w:cs="Times New Roman"/>
                <w:b/>
                <w:bCs/>
                <w:sz w:val="18"/>
                <w:szCs w:val="18"/>
              </w:rPr>
              <w:t xml:space="preserve"> (201</w:t>
            </w:r>
            <w:r>
              <w:rPr>
                <w:rFonts w:ascii="Times New Roman" w:hAnsi="Times New Roman" w:cs="Times New Roman"/>
                <w:b/>
                <w:bCs/>
                <w:sz w:val="18"/>
                <w:szCs w:val="18"/>
                <w:lang w:val="ru-RU"/>
              </w:rPr>
              <w:t>7</w:t>
            </w:r>
            <w:r w:rsidRPr="00864A07">
              <w:rPr>
                <w:rFonts w:ascii="Times New Roman" w:hAnsi="Times New Roman" w:cs="Times New Roman"/>
                <w:b/>
                <w:bCs/>
                <w:sz w:val="18"/>
                <w:szCs w:val="18"/>
              </w:rPr>
              <w:t>)</w:t>
            </w:r>
          </w:p>
        </w:tc>
        <w:tc>
          <w:tcPr>
            <w:tcW w:w="2693" w:type="dxa"/>
            <w:noWrap/>
            <w:tcMar>
              <w:left w:w="28" w:type="dxa"/>
              <w:right w:w="28" w:type="dxa"/>
            </w:tcMar>
            <w:hideMark/>
          </w:tcPr>
          <w:p w14:paraId="0C6156BB" w14:textId="77777777" w:rsidR="00B64BB4" w:rsidRPr="00864A07" w:rsidRDefault="00B64BB4" w:rsidP="00C84117">
            <w:pPr>
              <w:jc w:val="center"/>
              <w:rPr>
                <w:rFonts w:ascii="Times New Roman" w:hAnsi="Times New Roman" w:cs="Times New Roman"/>
                <w:b/>
                <w:bCs/>
                <w:sz w:val="18"/>
                <w:szCs w:val="18"/>
              </w:rPr>
            </w:pPr>
            <w:r w:rsidRPr="00864A07">
              <w:rPr>
                <w:rFonts w:ascii="Times New Roman" w:hAnsi="Times New Roman" w:cs="Times New Roman"/>
                <w:b/>
                <w:bCs/>
                <w:sz w:val="18"/>
                <w:szCs w:val="18"/>
              </w:rPr>
              <w:t>Company</w:t>
            </w:r>
          </w:p>
        </w:tc>
        <w:tc>
          <w:tcPr>
            <w:tcW w:w="992" w:type="dxa"/>
            <w:noWrap/>
            <w:tcMar>
              <w:left w:w="28" w:type="dxa"/>
              <w:right w:w="28" w:type="dxa"/>
            </w:tcMar>
            <w:hideMark/>
          </w:tcPr>
          <w:p w14:paraId="456A703F" w14:textId="2AB31D88" w:rsidR="00B64BB4" w:rsidRPr="00864A07" w:rsidRDefault="00B64BB4" w:rsidP="00C84117">
            <w:pPr>
              <w:jc w:val="center"/>
              <w:rPr>
                <w:rFonts w:ascii="Times New Roman" w:hAnsi="Times New Roman" w:cs="Times New Roman"/>
                <w:b/>
                <w:bCs/>
                <w:sz w:val="18"/>
                <w:szCs w:val="18"/>
              </w:rPr>
            </w:pPr>
            <w:r w:rsidRPr="00864A07">
              <w:rPr>
                <w:rFonts w:ascii="Times New Roman" w:hAnsi="Times New Roman" w:cs="Times New Roman"/>
                <w:b/>
                <w:bCs/>
                <w:sz w:val="18"/>
                <w:szCs w:val="18"/>
              </w:rPr>
              <w:t>Arms sales (201</w:t>
            </w:r>
            <w:r>
              <w:rPr>
                <w:rFonts w:ascii="Times New Roman" w:hAnsi="Times New Roman" w:cs="Times New Roman"/>
                <w:b/>
                <w:bCs/>
                <w:sz w:val="18"/>
                <w:szCs w:val="18"/>
                <w:lang w:val="ru-RU"/>
              </w:rPr>
              <w:t>8</w:t>
            </w:r>
            <w:r w:rsidRPr="00864A07">
              <w:rPr>
                <w:rFonts w:ascii="Times New Roman" w:hAnsi="Times New Roman" w:cs="Times New Roman"/>
                <w:b/>
                <w:bCs/>
                <w:sz w:val="18"/>
                <w:szCs w:val="18"/>
              </w:rPr>
              <w:t>)</w:t>
            </w:r>
          </w:p>
        </w:tc>
        <w:tc>
          <w:tcPr>
            <w:tcW w:w="992" w:type="dxa"/>
            <w:noWrap/>
            <w:tcMar>
              <w:left w:w="28" w:type="dxa"/>
              <w:right w:w="28" w:type="dxa"/>
            </w:tcMar>
            <w:hideMark/>
          </w:tcPr>
          <w:p w14:paraId="1F60EA8B" w14:textId="4B51726B" w:rsidR="00B64BB4" w:rsidRPr="00864A07" w:rsidRDefault="00B64BB4" w:rsidP="00C84117">
            <w:pPr>
              <w:jc w:val="center"/>
              <w:rPr>
                <w:rFonts w:ascii="Times New Roman" w:hAnsi="Times New Roman" w:cs="Times New Roman"/>
                <w:b/>
                <w:bCs/>
                <w:sz w:val="18"/>
                <w:szCs w:val="18"/>
              </w:rPr>
            </w:pPr>
            <w:r w:rsidRPr="00864A07">
              <w:rPr>
                <w:rFonts w:ascii="Times New Roman" w:hAnsi="Times New Roman" w:cs="Times New Roman"/>
                <w:b/>
                <w:bCs/>
                <w:sz w:val="18"/>
                <w:szCs w:val="18"/>
              </w:rPr>
              <w:t>Total sales (201</w:t>
            </w:r>
            <w:r>
              <w:rPr>
                <w:rFonts w:ascii="Times New Roman" w:hAnsi="Times New Roman" w:cs="Times New Roman"/>
                <w:b/>
                <w:bCs/>
                <w:sz w:val="18"/>
                <w:szCs w:val="18"/>
                <w:lang w:val="ru-RU"/>
              </w:rPr>
              <w:t>8</w:t>
            </w:r>
            <w:r w:rsidRPr="00864A07">
              <w:rPr>
                <w:rFonts w:ascii="Times New Roman" w:hAnsi="Times New Roman" w:cs="Times New Roman"/>
                <w:b/>
                <w:bCs/>
                <w:sz w:val="18"/>
                <w:szCs w:val="18"/>
              </w:rPr>
              <w:t>)</w:t>
            </w:r>
          </w:p>
        </w:tc>
        <w:tc>
          <w:tcPr>
            <w:tcW w:w="1560" w:type="dxa"/>
            <w:tcMar>
              <w:left w:w="28" w:type="dxa"/>
              <w:right w:w="28" w:type="dxa"/>
            </w:tcMar>
            <w:hideMark/>
          </w:tcPr>
          <w:p w14:paraId="64129F2D" w14:textId="13794F52" w:rsidR="00B64BB4" w:rsidRPr="00864A07" w:rsidRDefault="00B64BB4" w:rsidP="00C84117">
            <w:pPr>
              <w:jc w:val="center"/>
              <w:rPr>
                <w:rFonts w:ascii="Times New Roman" w:hAnsi="Times New Roman" w:cs="Times New Roman"/>
                <w:b/>
                <w:bCs/>
                <w:sz w:val="18"/>
                <w:szCs w:val="18"/>
                <w:lang w:val="en-US"/>
              </w:rPr>
            </w:pPr>
            <w:r w:rsidRPr="00864A07">
              <w:rPr>
                <w:rFonts w:ascii="Times New Roman" w:hAnsi="Times New Roman" w:cs="Times New Roman"/>
                <w:b/>
                <w:bCs/>
                <w:sz w:val="18"/>
                <w:szCs w:val="18"/>
                <w:lang w:val="en-US"/>
              </w:rPr>
              <w:t>Arms sales as a % of total sales (201</w:t>
            </w:r>
            <w:r w:rsidRPr="00B64BB4">
              <w:rPr>
                <w:rFonts w:ascii="Times New Roman" w:hAnsi="Times New Roman" w:cs="Times New Roman"/>
                <w:b/>
                <w:bCs/>
                <w:sz w:val="18"/>
                <w:szCs w:val="18"/>
                <w:lang w:val="en-US"/>
              </w:rPr>
              <w:t>8</w:t>
            </w:r>
            <w:r w:rsidRPr="00864A07">
              <w:rPr>
                <w:rFonts w:ascii="Times New Roman" w:hAnsi="Times New Roman" w:cs="Times New Roman"/>
                <w:b/>
                <w:bCs/>
                <w:sz w:val="18"/>
                <w:szCs w:val="18"/>
                <w:lang w:val="en-US"/>
              </w:rPr>
              <w:t>)</w:t>
            </w:r>
          </w:p>
        </w:tc>
      </w:tr>
      <w:tr w:rsidR="00B64BB4" w:rsidRPr="0080437C" w14:paraId="0F60AAD0" w14:textId="77777777" w:rsidTr="00B64BB4">
        <w:trPr>
          <w:trHeight w:val="131"/>
        </w:trPr>
        <w:tc>
          <w:tcPr>
            <w:tcW w:w="988" w:type="dxa"/>
            <w:noWrap/>
            <w:tcMar>
              <w:left w:w="28" w:type="dxa"/>
              <w:right w:w="28" w:type="dxa"/>
            </w:tcMar>
          </w:tcPr>
          <w:p w14:paraId="4DDDC56F" w14:textId="3C15F80B" w:rsidR="00B64BB4" w:rsidRPr="00B64BB4" w:rsidRDefault="00B64BB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9</w:t>
            </w:r>
            <w:r w:rsidR="00926C64">
              <w:rPr>
                <w:rFonts w:ascii="Times New Roman" w:hAnsi="Times New Roman" w:cs="Times New Roman"/>
                <w:sz w:val="18"/>
                <w:szCs w:val="18"/>
                <w:lang w:val="ru-RU"/>
              </w:rPr>
              <w:t xml:space="preserve"> </w:t>
            </w:r>
            <w:r>
              <w:rPr>
                <w:rFonts w:ascii="Times New Roman" w:hAnsi="Times New Roman" w:cs="Times New Roman"/>
                <w:sz w:val="18"/>
                <w:szCs w:val="18"/>
                <w:lang w:val="ru-RU"/>
              </w:rPr>
              <w:t>(10)</w:t>
            </w:r>
          </w:p>
        </w:tc>
        <w:tc>
          <w:tcPr>
            <w:tcW w:w="2693" w:type="dxa"/>
            <w:noWrap/>
            <w:tcMar>
              <w:left w:w="28" w:type="dxa"/>
              <w:right w:w="28" w:type="dxa"/>
            </w:tcMar>
          </w:tcPr>
          <w:p w14:paraId="4FEC1ED8" w14:textId="7B3AE12E" w:rsidR="00B64BB4" w:rsidRPr="00864A07" w:rsidRDefault="00B64BB4" w:rsidP="00C84117">
            <w:pPr>
              <w:rPr>
                <w:rFonts w:ascii="Times New Roman" w:hAnsi="Times New Roman" w:cs="Times New Roman"/>
                <w:sz w:val="18"/>
                <w:szCs w:val="18"/>
              </w:rPr>
            </w:pPr>
            <w:r w:rsidRPr="00864A07">
              <w:rPr>
                <w:rFonts w:ascii="Times New Roman" w:hAnsi="Times New Roman" w:cs="Times New Roman"/>
                <w:sz w:val="18"/>
                <w:szCs w:val="18"/>
              </w:rPr>
              <w:t>Almaz-Antey</w:t>
            </w:r>
          </w:p>
        </w:tc>
        <w:tc>
          <w:tcPr>
            <w:tcW w:w="992" w:type="dxa"/>
            <w:noWrap/>
            <w:tcMar>
              <w:left w:w="28" w:type="dxa"/>
              <w:right w:w="28" w:type="dxa"/>
            </w:tcMar>
          </w:tcPr>
          <w:p w14:paraId="2922830C" w14:textId="2C006549" w:rsidR="00B64BB4" w:rsidRPr="00864A07" w:rsidRDefault="00B64BB4" w:rsidP="00B64BB4">
            <w:pPr>
              <w:jc w:val="center"/>
              <w:rPr>
                <w:rFonts w:ascii="Times New Roman" w:hAnsi="Times New Roman" w:cs="Times New Roman"/>
                <w:sz w:val="18"/>
                <w:szCs w:val="18"/>
              </w:rPr>
            </w:pPr>
            <w:r w:rsidRPr="00B64BB4">
              <w:rPr>
                <w:rFonts w:ascii="Times New Roman" w:hAnsi="Times New Roman" w:cs="Times New Roman"/>
                <w:sz w:val="18"/>
                <w:szCs w:val="18"/>
              </w:rPr>
              <w:t>9640</w:t>
            </w:r>
          </w:p>
        </w:tc>
        <w:tc>
          <w:tcPr>
            <w:tcW w:w="992" w:type="dxa"/>
            <w:noWrap/>
            <w:tcMar>
              <w:left w:w="28" w:type="dxa"/>
              <w:right w:w="28" w:type="dxa"/>
            </w:tcMar>
          </w:tcPr>
          <w:p w14:paraId="2C0A3D46" w14:textId="4C40B0AF" w:rsidR="00B64BB4" w:rsidRPr="00864A07" w:rsidRDefault="00B64BB4" w:rsidP="00B64BB4">
            <w:pPr>
              <w:jc w:val="center"/>
              <w:rPr>
                <w:rFonts w:ascii="Times New Roman" w:hAnsi="Times New Roman" w:cs="Times New Roman"/>
                <w:sz w:val="18"/>
                <w:szCs w:val="18"/>
              </w:rPr>
            </w:pPr>
            <w:r w:rsidRPr="00B64BB4">
              <w:rPr>
                <w:rFonts w:ascii="Times New Roman" w:hAnsi="Times New Roman" w:cs="Times New Roman"/>
                <w:sz w:val="18"/>
                <w:szCs w:val="18"/>
              </w:rPr>
              <w:t>9872</w:t>
            </w:r>
          </w:p>
        </w:tc>
        <w:tc>
          <w:tcPr>
            <w:tcW w:w="1560" w:type="dxa"/>
            <w:noWrap/>
            <w:tcMar>
              <w:left w:w="28" w:type="dxa"/>
              <w:right w:w="28" w:type="dxa"/>
            </w:tcMar>
          </w:tcPr>
          <w:p w14:paraId="1FDD7F12" w14:textId="366D6496" w:rsidR="00B64BB4" w:rsidRPr="00B64BB4" w:rsidRDefault="00B64BB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98</w:t>
            </w:r>
          </w:p>
        </w:tc>
      </w:tr>
      <w:tr w:rsidR="00B64BB4" w:rsidRPr="0080437C" w14:paraId="264E1ED6" w14:textId="77777777" w:rsidTr="00B64BB4">
        <w:trPr>
          <w:trHeight w:val="190"/>
        </w:trPr>
        <w:tc>
          <w:tcPr>
            <w:tcW w:w="988" w:type="dxa"/>
            <w:noWrap/>
            <w:tcMar>
              <w:left w:w="28" w:type="dxa"/>
              <w:right w:w="28" w:type="dxa"/>
            </w:tcMar>
          </w:tcPr>
          <w:p w14:paraId="0A8595CD" w14:textId="2C00F724" w:rsidR="00B64BB4" w:rsidRPr="00926C64" w:rsidRDefault="00926C6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15 (14)</w:t>
            </w:r>
          </w:p>
        </w:tc>
        <w:tc>
          <w:tcPr>
            <w:tcW w:w="2693" w:type="dxa"/>
            <w:noWrap/>
            <w:tcMar>
              <w:left w:w="28" w:type="dxa"/>
              <w:right w:w="28" w:type="dxa"/>
            </w:tcMar>
          </w:tcPr>
          <w:p w14:paraId="41D0A1B4" w14:textId="299B015E" w:rsidR="00B64BB4" w:rsidRPr="00864A07" w:rsidRDefault="00926C64" w:rsidP="00926C64">
            <w:pPr>
              <w:rPr>
                <w:rFonts w:ascii="Times New Roman" w:hAnsi="Times New Roman" w:cs="Times New Roman"/>
                <w:sz w:val="18"/>
                <w:szCs w:val="18"/>
              </w:rPr>
            </w:pPr>
            <w:r w:rsidRPr="00926C64">
              <w:rPr>
                <w:rFonts w:ascii="Times New Roman" w:hAnsi="Times New Roman" w:cs="Times New Roman"/>
                <w:sz w:val="18"/>
                <w:szCs w:val="18"/>
              </w:rPr>
              <w:t>United Aircraft Corp.</w:t>
            </w:r>
          </w:p>
        </w:tc>
        <w:tc>
          <w:tcPr>
            <w:tcW w:w="992" w:type="dxa"/>
            <w:noWrap/>
            <w:tcMar>
              <w:left w:w="28" w:type="dxa"/>
              <w:right w:w="28" w:type="dxa"/>
            </w:tcMar>
          </w:tcPr>
          <w:p w14:paraId="35203262" w14:textId="3F1C8015" w:rsidR="00B64BB4" w:rsidRPr="00926C64" w:rsidRDefault="00926C6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5420</w:t>
            </w:r>
          </w:p>
        </w:tc>
        <w:tc>
          <w:tcPr>
            <w:tcW w:w="992" w:type="dxa"/>
            <w:noWrap/>
            <w:tcMar>
              <w:left w:w="28" w:type="dxa"/>
              <w:right w:w="28" w:type="dxa"/>
            </w:tcMar>
          </w:tcPr>
          <w:p w14:paraId="2F399CAA" w14:textId="3FAFB4DA" w:rsidR="00B64BB4" w:rsidRPr="00926C64" w:rsidRDefault="00926C6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6563</w:t>
            </w:r>
          </w:p>
        </w:tc>
        <w:tc>
          <w:tcPr>
            <w:tcW w:w="1560" w:type="dxa"/>
            <w:noWrap/>
            <w:tcMar>
              <w:left w:w="28" w:type="dxa"/>
              <w:right w:w="28" w:type="dxa"/>
            </w:tcMar>
          </w:tcPr>
          <w:p w14:paraId="503BEF09" w14:textId="410591C1" w:rsidR="00B64BB4" w:rsidRPr="00926C64" w:rsidRDefault="00926C6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83</w:t>
            </w:r>
          </w:p>
        </w:tc>
      </w:tr>
      <w:tr w:rsidR="00926C64" w:rsidRPr="0080437C" w14:paraId="5E6E3A53" w14:textId="77777777" w:rsidTr="00B64BB4">
        <w:trPr>
          <w:trHeight w:val="122"/>
        </w:trPr>
        <w:tc>
          <w:tcPr>
            <w:tcW w:w="988" w:type="dxa"/>
            <w:noWrap/>
            <w:tcMar>
              <w:left w:w="28" w:type="dxa"/>
              <w:right w:w="28" w:type="dxa"/>
            </w:tcMar>
          </w:tcPr>
          <w:p w14:paraId="1E01C72B" w14:textId="385B921B" w:rsidR="00926C64" w:rsidRPr="00926C64" w:rsidRDefault="00926C64" w:rsidP="00926C64">
            <w:pPr>
              <w:jc w:val="center"/>
              <w:rPr>
                <w:rFonts w:ascii="Times New Roman" w:hAnsi="Times New Roman" w:cs="Times New Roman"/>
                <w:sz w:val="18"/>
                <w:szCs w:val="18"/>
              </w:rPr>
            </w:pPr>
            <w:r w:rsidRPr="00926C64">
              <w:rPr>
                <w:sz w:val="18"/>
                <w:szCs w:val="18"/>
              </w:rPr>
              <w:t>18</w:t>
            </w:r>
            <w:r>
              <w:rPr>
                <w:rFonts w:asciiTheme="minorHAnsi" w:hAnsiTheme="minorHAnsi"/>
                <w:sz w:val="18"/>
                <w:szCs w:val="18"/>
                <w:lang w:val="ru-RU"/>
              </w:rPr>
              <w:t xml:space="preserve"> </w:t>
            </w:r>
            <w:r w:rsidRPr="00926C64">
              <w:rPr>
                <w:sz w:val="18"/>
                <w:szCs w:val="18"/>
              </w:rPr>
              <w:t>(15)</w:t>
            </w:r>
          </w:p>
        </w:tc>
        <w:tc>
          <w:tcPr>
            <w:tcW w:w="2693" w:type="dxa"/>
            <w:noWrap/>
            <w:tcMar>
              <w:left w:w="28" w:type="dxa"/>
              <w:right w:w="28" w:type="dxa"/>
            </w:tcMar>
          </w:tcPr>
          <w:p w14:paraId="454284C7" w14:textId="3B514D5F" w:rsidR="00926C64" w:rsidRPr="00926C64" w:rsidRDefault="00926C64" w:rsidP="00926C64">
            <w:pPr>
              <w:rPr>
                <w:rFonts w:ascii="Times New Roman" w:hAnsi="Times New Roman" w:cs="Times New Roman"/>
                <w:sz w:val="18"/>
                <w:szCs w:val="18"/>
              </w:rPr>
            </w:pPr>
            <w:r w:rsidRPr="00926C64">
              <w:rPr>
                <w:sz w:val="18"/>
                <w:szCs w:val="18"/>
              </w:rPr>
              <w:t>United Shipbuilding Corp.</w:t>
            </w:r>
          </w:p>
        </w:tc>
        <w:tc>
          <w:tcPr>
            <w:tcW w:w="992" w:type="dxa"/>
            <w:noWrap/>
            <w:tcMar>
              <w:left w:w="28" w:type="dxa"/>
              <w:right w:w="28" w:type="dxa"/>
            </w:tcMar>
          </w:tcPr>
          <w:p w14:paraId="47522F53" w14:textId="3221A5A6" w:rsidR="00926C64" w:rsidRPr="00926C64" w:rsidRDefault="00926C64" w:rsidP="00926C64">
            <w:pPr>
              <w:jc w:val="center"/>
              <w:rPr>
                <w:rFonts w:ascii="Times New Roman" w:hAnsi="Times New Roman" w:cs="Times New Roman"/>
                <w:sz w:val="18"/>
                <w:szCs w:val="18"/>
                <w:lang w:val="ru-RU"/>
              </w:rPr>
            </w:pPr>
            <w:r>
              <w:rPr>
                <w:rFonts w:ascii="Times New Roman" w:hAnsi="Times New Roman" w:cs="Times New Roman"/>
                <w:sz w:val="18"/>
                <w:szCs w:val="18"/>
                <w:lang w:val="ru-RU"/>
              </w:rPr>
              <w:t>4700</w:t>
            </w:r>
          </w:p>
        </w:tc>
        <w:tc>
          <w:tcPr>
            <w:tcW w:w="992" w:type="dxa"/>
            <w:noWrap/>
            <w:tcMar>
              <w:left w:w="28" w:type="dxa"/>
              <w:right w:w="28" w:type="dxa"/>
            </w:tcMar>
          </w:tcPr>
          <w:p w14:paraId="36EE6C0E" w14:textId="3EE475AA" w:rsidR="00926C64" w:rsidRPr="00926C64" w:rsidRDefault="00926C64" w:rsidP="00926C64">
            <w:pPr>
              <w:jc w:val="center"/>
              <w:rPr>
                <w:rFonts w:ascii="Times New Roman" w:hAnsi="Times New Roman" w:cs="Times New Roman"/>
                <w:sz w:val="18"/>
                <w:szCs w:val="18"/>
                <w:lang w:val="ru-RU"/>
              </w:rPr>
            </w:pPr>
            <w:r>
              <w:rPr>
                <w:rFonts w:ascii="Times New Roman" w:hAnsi="Times New Roman" w:cs="Times New Roman"/>
                <w:sz w:val="18"/>
                <w:szCs w:val="18"/>
                <w:lang w:val="ru-RU"/>
              </w:rPr>
              <w:t>5565</w:t>
            </w:r>
          </w:p>
        </w:tc>
        <w:tc>
          <w:tcPr>
            <w:tcW w:w="1560" w:type="dxa"/>
            <w:noWrap/>
            <w:tcMar>
              <w:left w:w="28" w:type="dxa"/>
              <w:right w:w="28" w:type="dxa"/>
            </w:tcMar>
          </w:tcPr>
          <w:p w14:paraId="73B413F3" w14:textId="7EDAE67C" w:rsidR="00926C64" w:rsidRPr="00926C64" w:rsidRDefault="00926C64" w:rsidP="00926C64">
            <w:pPr>
              <w:jc w:val="center"/>
              <w:rPr>
                <w:rFonts w:ascii="Times New Roman" w:hAnsi="Times New Roman" w:cs="Times New Roman"/>
                <w:sz w:val="18"/>
                <w:szCs w:val="18"/>
                <w:lang w:val="ru-RU"/>
              </w:rPr>
            </w:pPr>
            <w:r>
              <w:rPr>
                <w:rFonts w:ascii="Times New Roman" w:hAnsi="Times New Roman" w:cs="Times New Roman"/>
                <w:sz w:val="18"/>
                <w:szCs w:val="18"/>
                <w:lang w:val="ru-RU"/>
              </w:rPr>
              <w:t>84</w:t>
            </w:r>
          </w:p>
        </w:tc>
      </w:tr>
      <w:tr w:rsidR="00B64BB4" w:rsidRPr="0080437C" w14:paraId="70DF9890" w14:textId="77777777" w:rsidTr="00B64BB4">
        <w:trPr>
          <w:trHeight w:val="197"/>
        </w:trPr>
        <w:tc>
          <w:tcPr>
            <w:tcW w:w="988" w:type="dxa"/>
            <w:noWrap/>
            <w:tcMar>
              <w:left w:w="28" w:type="dxa"/>
              <w:right w:w="28" w:type="dxa"/>
            </w:tcMar>
          </w:tcPr>
          <w:p w14:paraId="45C07578" w14:textId="366AC02F" w:rsidR="00B64BB4" w:rsidRPr="00926C64" w:rsidRDefault="00926C64"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26 (24)</w:t>
            </w:r>
          </w:p>
        </w:tc>
        <w:tc>
          <w:tcPr>
            <w:tcW w:w="2693" w:type="dxa"/>
            <w:noWrap/>
            <w:tcMar>
              <w:left w:w="28" w:type="dxa"/>
              <w:right w:w="28" w:type="dxa"/>
            </w:tcMar>
          </w:tcPr>
          <w:p w14:paraId="036744FA" w14:textId="3BF2A7C8" w:rsidR="00B64BB4" w:rsidRPr="00864A07" w:rsidRDefault="00926C64" w:rsidP="00515017">
            <w:pPr>
              <w:rPr>
                <w:rFonts w:ascii="Times New Roman" w:hAnsi="Times New Roman" w:cs="Times New Roman"/>
                <w:sz w:val="18"/>
                <w:szCs w:val="18"/>
              </w:rPr>
            </w:pPr>
            <w:r w:rsidRPr="00926C64">
              <w:rPr>
                <w:rFonts w:ascii="Times New Roman" w:hAnsi="Times New Roman" w:cs="Times New Roman"/>
                <w:sz w:val="18"/>
                <w:szCs w:val="18"/>
              </w:rPr>
              <w:t>Tactical Missiles Corp.</w:t>
            </w:r>
          </w:p>
        </w:tc>
        <w:tc>
          <w:tcPr>
            <w:tcW w:w="992" w:type="dxa"/>
            <w:noWrap/>
            <w:tcMar>
              <w:left w:w="28" w:type="dxa"/>
              <w:right w:w="28" w:type="dxa"/>
            </w:tcMar>
          </w:tcPr>
          <w:p w14:paraId="1681FC81" w14:textId="42EAB8D5"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3600</w:t>
            </w:r>
          </w:p>
        </w:tc>
        <w:tc>
          <w:tcPr>
            <w:tcW w:w="992" w:type="dxa"/>
            <w:noWrap/>
            <w:tcMar>
              <w:left w:w="28" w:type="dxa"/>
              <w:right w:w="28" w:type="dxa"/>
            </w:tcMar>
          </w:tcPr>
          <w:p w14:paraId="13C0A487" w14:textId="60EB9AA2"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3668</w:t>
            </w:r>
          </w:p>
        </w:tc>
        <w:tc>
          <w:tcPr>
            <w:tcW w:w="1560" w:type="dxa"/>
            <w:noWrap/>
            <w:tcMar>
              <w:left w:w="28" w:type="dxa"/>
              <w:right w:w="28" w:type="dxa"/>
            </w:tcMar>
          </w:tcPr>
          <w:p w14:paraId="60748357" w14:textId="6B9310A4"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98</w:t>
            </w:r>
          </w:p>
        </w:tc>
      </w:tr>
      <w:tr w:rsidR="00B64BB4" w:rsidRPr="0080437C" w14:paraId="6CABF1D8" w14:textId="77777777" w:rsidTr="00B64BB4">
        <w:trPr>
          <w:trHeight w:val="114"/>
        </w:trPr>
        <w:tc>
          <w:tcPr>
            <w:tcW w:w="988" w:type="dxa"/>
            <w:noWrap/>
            <w:tcMar>
              <w:left w:w="28" w:type="dxa"/>
              <w:right w:w="28" w:type="dxa"/>
            </w:tcMar>
          </w:tcPr>
          <w:p w14:paraId="4CECC519" w14:textId="4FCE6715"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33 (32)</w:t>
            </w:r>
          </w:p>
        </w:tc>
        <w:tc>
          <w:tcPr>
            <w:tcW w:w="2693" w:type="dxa"/>
            <w:noWrap/>
            <w:tcMar>
              <w:left w:w="28" w:type="dxa"/>
              <w:right w:w="28" w:type="dxa"/>
            </w:tcMar>
          </w:tcPr>
          <w:p w14:paraId="3252226E" w14:textId="33B719F3"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United Engine Corp.</w:t>
            </w:r>
          </w:p>
        </w:tc>
        <w:tc>
          <w:tcPr>
            <w:tcW w:w="992" w:type="dxa"/>
            <w:noWrap/>
            <w:tcMar>
              <w:left w:w="28" w:type="dxa"/>
              <w:right w:w="28" w:type="dxa"/>
            </w:tcMar>
          </w:tcPr>
          <w:p w14:paraId="50DD561B" w14:textId="55C9A795"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2950</w:t>
            </w:r>
          </w:p>
        </w:tc>
        <w:tc>
          <w:tcPr>
            <w:tcW w:w="992" w:type="dxa"/>
            <w:noWrap/>
            <w:tcMar>
              <w:left w:w="28" w:type="dxa"/>
              <w:right w:w="28" w:type="dxa"/>
            </w:tcMar>
          </w:tcPr>
          <w:p w14:paraId="563D18EF" w14:textId="2B97B469"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3904</w:t>
            </w:r>
          </w:p>
        </w:tc>
        <w:tc>
          <w:tcPr>
            <w:tcW w:w="1560" w:type="dxa"/>
            <w:noWrap/>
            <w:tcMar>
              <w:left w:w="28" w:type="dxa"/>
              <w:right w:w="28" w:type="dxa"/>
            </w:tcMar>
          </w:tcPr>
          <w:p w14:paraId="00F25B79" w14:textId="34325E14"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76</w:t>
            </w:r>
          </w:p>
        </w:tc>
      </w:tr>
      <w:tr w:rsidR="00B64BB4" w:rsidRPr="0080437C" w14:paraId="1FE8973F" w14:textId="77777777" w:rsidTr="00B64BB4">
        <w:trPr>
          <w:trHeight w:val="189"/>
        </w:trPr>
        <w:tc>
          <w:tcPr>
            <w:tcW w:w="988" w:type="dxa"/>
            <w:noWrap/>
            <w:tcMar>
              <w:left w:w="28" w:type="dxa"/>
              <w:right w:w="28" w:type="dxa"/>
            </w:tcMar>
          </w:tcPr>
          <w:p w14:paraId="1B69D0DA" w14:textId="2BB16723"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40 (35)</w:t>
            </w:r>
          </w:p>
        </w:tc>
        <w:tc>
          <w:tcPr>
            <w:tcW w:w="2693" w:type="dxa"/>
            <w:noWrap/>
            <w:tcMar>
              <w:left w:w="28" w:type="dxa"/>
              <w:right w:w="28" w:type="dxa"/>
            </w:tcMar>
          </w:tcPr>
          <w:p w14:paraId="457DF112" w14:textId="71AD2B8D"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High Precision Systems</w:t>
            </w:r>
          </w:p>
        </w:tc>
        <w:tc>
          <w:tcPr>
            <w:tcW w:w="992" w:type="dxa"/>
            <w:noWrap/>
            <w:tcMar>
              <w:left w:w="28" w:type="dxa"/>
              <w:right w:w="28" w:type="dxa"/>
            </w:tcMar>
          </w:tcPr>
          <w:p w14:paraId="160B2A6D" w14:textId="3FA25BC9"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2630</w:t>
            </w:r>
          </w:p>
        </w:tc>
        <w:tc>
          <w:tcPr>
            <w:tcW w:w="992" w:type="dxa"/>
            <w:noWrap/>
            <w:tcMar>
              <w:left w:w="28" w:type="dxa"/>
              <w:right w:w="28" w:type="dxa"/>
            </w:tcMar>
          </w:tcPr>
          <w:p w14:paraId="45674B73" w14:textId="7FC8D438"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2711</w:t>
            </w:r>
          </w:p>
        </w:tc>
        <w:tc>
          <w:tcPr>
            <w:tcW w:w="1560" w:type="dxa"/>
            <w:noWrap/>
            <w:tcMar>
              <w:left w:w="28" w:type="dxa"/>
              <w:right w:w="28" w:type="dxa"/>
            </w:tcMar>
          </w:tcPr>
          <w:p w14:paraId="26C648EE" w14:textId="615F524C"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97</w:t>
            </w:r>
          </w:p>
        </w:tc>
      </w:tr>
      <w:tr w:rsidR="00B64BB4" w:rsidRPr="0080437C" w14:paraId="5C802346" w14:textId="77777777" w:rsidTr="00B64BB4">
        <w:trPr>
          <w:trHeight w:val="106"/>
        </w:trPr>
        <w:tc>
          <w:tcPr>
            <w:tcW w:w="988" w:type="dxa"/>
            <w:noWrap/>
            <w:tcMar>
              <w:left w:w="28" w:type="dxa"/>
              <w:right w:w="28" w:type="dxa"/>
            </w:tcMar>
          </w:tcPr>
          <w:p w14:paraId="38FF1BFC" w14:textId="6D8C74B1"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45 (43)</w:t>
            </w:r>
          </w:p>
        </w:tc>
        <w:tc>
          <w:tcPr>
            <w:tcW w:w="2693" w:type="dxa"/>
            <w:noWrap/>
            <w:tcMar>
              <w:left w:w="28" w:type="dxa"/>
              <w:right w:w="28" w:type="dxa"/>
            </w:tcMar>
          </w:tcPr>
          <w:p w14:paraId="2DE1730E" w14:textId="5B7AD0A5"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Russian Electronics</w:t>
            </w:r>
          </w:p>
        </w:tc>
        <w:tc>
          <w:tcPr>
            <w:tcW w:w="992" w:type="dxa"/>
            <w:noWrap/>
            <w:tcMar>
              <w:left w:w="28" w:type="dxa"/>
              <w:right w:w="28" w:type="dxa"/>
            </w:tcMar>
          </w:tcPr>
          <w:p w14:paraId="6C2F8DDF" w14:textId="1D0C8FC3"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2330</w:t>
            </w:r>
          </w:p>
        </w:tc>
        <w:tc>
          <w:tcPr>
            <w:tcW w:w="992" w:type="dxa"/>
            <w:noWrap/>
            <w:tcMar>
              <w:left w:w="28" w:type="dxa"/>
              <w:right w:w="28" w:type="dxa"/>
            </w:tcMar>
          </w:tcPr>
          <w:p w14:paraId="77629394" w14:textId="26679C47"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2668</w:t>
            </w:r>
          </w:p>
        </w:tc>
        <w:tc>
          <w:tcPr>
            <w:tcW w:w="1560" w:type="dxa"/>
            <w:noWrap/>
            <w:tcMar>
              <w:left w:w="28" w:type="dxa"/>
              <w:right w:w="28" w:type="dxa"/>
            </w:tcMar>
          </w:tcPr>
          <w:p w14:paraId="1BC48071" w14:textId="76B2F530"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87</w:t>
            </w:r>
          </w:p>
        </w:tc>
      </w:tr>
      <w:tr w:rsidR="00B64BB4" w:rsidRPr="0080437C" w14:paraId="4C376CB6" w14:textId="77777777" w:rsidTr="00B64BB4">
        <w:trPr>
          <w:trHeight w:val="180"/>
        </w:trPr>
        <w:tc>
          <w:tcPr>
            <w:tcW w:w="988" w:type="dxa"/>
            <w:noWrap/>
            <w:tcMar>
              <w:left w:w="28" w:type="dxa"/>
              <w:right w:w="28" w:type="dxa"/>
            </w:tcMar>
          </w:tcPr>
          <w:p w14:paraId="3AD6256C" w14:textId="676D6170"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52 (37)</w:t>
            </w:r>
          </w:p>
        </w:tc>
        <w:tc>
          <w:tcPr>
            <w:tcW w:w="2693" w:type="dxa"/>
            <w:noWrap/>
            <w:tcMar>
              <w:left w:w="28" w:type="dxa"/>
              <w:right w:w="28" w:type="dxa"/>
            </w:tcMar>
          </w:tcPr>
          <w:p w14:paraId="446676C7" w14:textId="67569955"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Russian Helicopters</w:t>
            </w:r>
          </w:p>
        </w:tc>
        <w:tc>
          <w:tcPr>
            <w:tcW w:w="992" w:type="dxa"/>
            <w:noWrap/>
            <w:tcMar>
              <w:left w:w="28" w:type="dxa"/>
              <w:right w:w="28" w:type="dxa"/>
            </w:tcMar>
          </w:tcPr>
          <w:p w14:paraId="317D399B" w14:textId="7B85ADE3"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1810</w:t>
            </w:r>
          </w:p>
        </w:tc>
        <w:tc>
          <w:tcPr>
            <w:tcW w:w="992" w:type="dxa"/>
            <w:noWrap/>
            <w:tcMar>
              <w:left w:w="28" w:type="dxa"/>
              <w:right w:w="28" w:type="dxa"/>
            </w:tcMar>
          </w:tcPr>
          <w:p w14:paraId="2C17AD0D" w14:textId="445C779C"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3006</w:t>
            </w:r>
          </w:p>
        </w:tc>
        <w:tc>
          <w:tcPr>
            <w:tcW w:w="1560" w:type="dxa"/>
            <w:noWrap/>
            <w:tcMar>
              <w:left w:w="28" w:type="dxa"/>
              <w:right w:w="28" w:type="dxa"/>
            </w:tcMar>
          </w:tcPr>
          <w:p w14:paraId="235698FA" w14:textId="12C423F8"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60</w:t>
            </w:r>
          </w:p>
        </w:tc>
      </w:tr>
      <w:tr w:rsidR="00B64BB4" w:rsidRPr="0080437C" w14:paraId="21E069BC" w14:textId="77777777" w:rsidTr="00B64BB4">
        <w:trPr>
          <w:trHeight w:val="241"/>
        </w:trPr>
        <w:tc>
          <w:tcPr>
            <w:tcW w:w="988" w:type="dxa"/>
            <w:noWrap/>
            <w:tcMar>
              <w:left w:w="28" w:type="dxa"/>
              <w:right w:w="28" w:type="dxa"/>
            </w:tcMar>
          </w:tcPr>
          <w:p w14:paraId="05525D4F" w14:textId="68444E56"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53 (46)</w:t>
            </w:r>
          </w:p>
        </w:tc>
        <w:tc>
          <w:tcPr>
            <w:tcW w:w="2693" w:type="dxa"/>
            <w:noWrap/>
            <w:tcMar>
              <w:left w:w="28" w:type="dxa"/>
              <w:right w:w="28" w:type="dxa"/>
            </w:tcMar>
          </w:tcPr>
          <w:p w14:paraId="43D25559" w14:textId="319443AD"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KRET</w:t>
            </w:r>
          </w:p>
        </w:tc>
        <w:tc>
          <w:tcPr>
            <w:tcW w:w="992" w:type="dxa"/>
            <w:noWrap/>
            <w:tcMar>
              <w:left w:w="28" w:type="dxa"/>
              <w:right w:w="28" w:type="dxa"/>
            </w:tcMar>
          </w:tcPr>
          <w:p w14:paraId="4AED1309" w14:textId="6B420BFB"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1770</w:t>
            </w:r>
          </w:p>
        </w:tc>
        <w:tc>
          <w:tcPr>
            <w:tcW w:w="992" w:type="dxa"/>
            <w:noWrap/>
            <w:tcMar>
              <w:left w:w="28" w:type="dxa"/>
              <w:right w:w="28" w:type="dxa"/>
            </w:tcMar>
          </w:tcPr>
          <w:p w14:paraId="04001983" w14:textId="3641D446"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1931</w:t>
            </w:r>
          </w:p>
        </w:tc>
        <w:tc>
          <w:tcPr>
            <w:tcW w:w="1560" w:type="dxa"/>
            <w:noWrap/>
            <w:tcMar>
              <w:left w:w="28" w:type="dxa"/>
              <w:right w:w="28" w:type="dxa"/>
            </w:tcMar>
          </w:tcPr>
          <w:p w14:paraId="12DF76E2" w14:textId="4673487A"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92</w:t>
            </w:r>
          </w:p>
        </w:tc>
      </w:tr>
      <w:tr w:rsidR="00B64BB4" w:rsidRPr="0080437C" w14:paraId="0301508C" w14:textId="77777777" w:rsidTr="00B64BB4">
        <w:trPr>
          <w:trHeight w:val="130"/>
        </w:trPr>
        <w:tc>
          <w:tcPr>
            <w:tcW w:w="988" w:type="dxa"/>
            <w:noWrap/>
            <w:tcMar>
              <w:left w:w="28" w:type="dxa"/>
              <w:right w:w="28" w:type="dxa"/>
            </w:tcMar>
          </w:tcPr>
          <w:p w14:paraId="39451C87" w14:textId="1EF22072"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64 (68)</w:t>
            </w:r>
          </w:p>
        </w:tc>
        <w:tc>
          <w:tcPr>
            <w:tcW w:w="2693" w:type="dxa"/>
            <w:noWrap/>
            <w:tcMar>
              <w:left w:w="28" w:type="dxa"/>
              <w:right w:w="28" w:type="dxa"/>
            </w:tcMar>
          </w:tcPr>
          <w:p w14:paraId="2B64289B" w14:textId="77DFEC85" w:rsidR="00B64BB4" w:rsidRPr="00864A07" w:rsidRDefault="00515017" w:rsidP="00515017">
            <w:pPr>
              <w:rPr>
                <w:rFonts w:ascii="Times New Roman" w:hAnsi="Times New Roman" w:cs="Times New Roman"/>
                <w:sz w:val="18"/>
                <w:szCs w:val="18"/>
              </w:rPr>
            </w:pPr>
            <w:r w:rsidRPr="00515017">
              <w:rPr>
                <w:rFonts w:ascii="Times New Roman" w:hAnsi="Times New Roman" w:cs="Times New Roman"/>
                <w:sz w:val="18"/>
                <w:szCs w:val="18"/>
              </w:rPr>
              <w:t>UralVagonZavod</w:t>
            </w:r>
          </w:p>
        </w:tc>
        <w:tc>
          <w:tcPr>
            <w:tcW w:w="992" w:type="dxa"/>
            <w:noWrap/>
            <w:tcMar>
              <w:left w:w="28" w:type="dxa"/>
              <w:right w:w="28" w:type="dxa"/>
            </w:tcMar>
          </w:tcPr>
          <w:p w14:paraId="2CF253BF" w14:textId="625C537D"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1370</w:t>
            </w:r>
          </w:p>
        </w:tc>
        <w:tc>
          <w:tcPr>
            <w:tcW w:w="992" w:type="dxa"/>
            <w:noWrap/>
            <w:tcMar>
              <w:left w:w="28" w:type="dxa"/>
              <w:right w:w="28" w:type="dxa"/>
            </w:tcMar>
          </w:tcPr>
          <w:p w14:paraId="67838E51" w14:textId="0A5E5329"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2209</w:t>
            </w:r>
          </w:p>
        </w:tc>
        <w:tc>
          <w:tcPr>
            <w:tcW w:w="1560" w:type="dxa"/>
            <w:noWrap/>
            <w:tcMar>
              <w:left w:w="28" w:type="dxa"/>
              <w:right w:w="28" w:type="dxa"/>
            </w:tcMar>
          </w:tcPr>
          <w:p w14:paraId="3CF7A1A7" w14:textId="723CC6F7" w:rsidR="00B64BB4" w:rsidRPr="00515017" w:rsidRDefault="00515017" w:rsidP="00C84117">
            <w:pPr>
              <w:jc w:val="center"/>
              <w:rPr>
                <w:rFonts w:ascii="Times New Roman" w:hAnsi="Times New Roman" w:cs="Times New Roman"/>
                <w:sz w:val="18"/>
                <w:szCs w:val="18"/>
                <w:lang w:val="ru-RU"/>
              </w:rPr>
            </w:pPr>
            <w:r>
              <w:rPr>
                <w:rFonts w:ascii="Times New Roman" w:hAnsi="Times New Roman" w:cs="Times New Roman"/>
                <w:sz w:val="18"/>
                <w:szCs w:val="18"/>
                <w:lang w:val="ru-RU"/>
              </w:rPr>
              <w:t>62</w:t>
            </w:r>
          </w:p>
        </w:tc>
      </w:tr>
    </w:tbl>
    <w:p w14:paraId="2E9374BA" w14:textId="77777777" w:rsidR="00515017" w:rsidRPr="00515017" w:rsidRDefault="00515017" w:rsidP="00FF2184">
      <w:pPr>
        <w:spacing w:before="120" w:after="120"/>
        <w:jc w:val="both"/>
        <w:rPr>
          <w:rFonts w:ascii="Times New Roman" w:hAnsi="Times New Roman" w:cs="Times New Roman"/>
          <w:iCs/>
          <w:sz w:val="18"/>
          <w:szCs w:val="16"/>
          <w:lang w:val="en-US"/>
        </w:rPr>
      </w:pPr>
      <w:bookmarkStart w:id="4" w:name="_Hlk76385184"/>
      <w:r w:rsidRPr="00515017">
        <w:rPr>
          <w:rFonts w:ascii="Times New Roman" w:hAnsi="Times New Roman" w:cs="Times New Roman"/>
          <w:iCs/>
          <w:sz w:val="18"/>
          <w:szCs w:val="16"/>
          <w:lang w:val="en-GB"/>
        </w:rPr>
        <w:t>Source:</w:t>
      </w:r>
      <w:r w:rsidRPr="00515017">
        <w:rPr>
          <w:rFonts w:ascii="Times New Roman" w:hAnsi="Times New Roman" w:cs="Times New Roman"/>
          <w:iCs/>
          <w:sz w:val="18"/>
          <w:szCs w:val="16"/>
        </w:rPr>
        <w:t xml:space="preserve"> </w:t>
      </w:r>
      <w:bookmarkStart w:id="5" w:name="_Hlk76912151"/>
      <w:bookmarkEnd w:id="4"/>
      <w:r w:rsidR="00317F7D">
        <w:fldChar w:fldCharType="begin"/>
      </w:r>
      <w:r w:rsidR="00317F7D">
        <w:instrText xml:space="preserve"> HYPERLINK "https://www.sipri.org/databases/armsindustry" </w:instrText>
      </w:r>
      <w:r w:rsidR="00317F7D">
        <w:fldChar w:fldCharType="separate"/>
      </w:r>
      <w:r w:rsidRPr="00515017">
        <w:rPr>
          <w:rStyle w:val="a6"/>
          <w:rFonts w:ascii="Times New Roman" w:hAnsi="Times New Roman" w:cs="Times New Roman"/>
          <w:iCs/>
          <w:sz w:val="18"/>
          <w:szCs w:val="16"/>
          <w:lang w:val="en-GB"/>
        </w:rPr>
        <w:t>https://www.sipri.org/databases/armsindustry</w:t>
      </w:r>
      <w:r w:rsidR="00317F7D">
        <w:rPr>
          <w:rStyle w:val="a6"/>
          <w:rFonts w:ascii="Times New Roman" w:hAnsi="Times New Roman" w:cs="Times New Roman"/>
          <w:iCs/>
          <w:sz w:val="18"/>
          <w:szCs w:val="16"/>
          <w:lang w:val="en-GB"/>
        </w:rPr>
        <w:fldChar w:fldCharType="end"/>
      </w:r>
      <w:r w:rsidRPr="00515017">
        <w:rPr>
          <w:rFonts w:ascii="Times New Roman" w:hAnsi="Times New Roman" w:cs="Times New Roman"/>
          <w:iCs/>
          <w:sz w:val="18"/>
          <w:szCs w:val="16"/>
          <w:lang w:val="en-US"/>
        </w:rPr>
        <w:t>.</w:t>
      </w:r>
      <w:bookmarkEnd w:id="5"/>
    </w:p>
    <w:p w14:paraId="4EEEE613" w14:textId="48C4F9F4" w:rsidR="00DD3FC9" w:rsidRPr="00FF2184" w:rsidRDefault="00FF2184" w:rsidP="00DD3FC9">
      <w:pPr>
        <w:ind w:firstLine="284"/>
        <w:jc w:val="both"/>
        <w:rPr>
          <w:rFonts w:ascii="Times New Roman" w:hAnsi="Times New Roman" w:cs="Times New Roman"/>
          <w:iCs/>
          <w:spacing w:val="-2"/>
          <w:sz w:val="20"/>
          <w:lang w:val="en-US"/>
        </w:rPr>
      </w:pPr>
      <w:r w:rsidRPr="00FF2184">
        <w:rPr>
          <w:rFonts w:ascii="Times New Roman" w:hAnsi="Times New Roman" w:cs="Times New Roman"/>
          <w:iCs/>
          <w:spacing w:val="-2"/>
          <w:sz w:val="20"/>
          <w:lang w:val="en-US"/>
        </w:rPr>
        <w:t xml:space="preserve">In order to assess the prospects for maintaining and strengthening the positions of Russian military companies in world rankings, we decided to analyze the dynamics of changes in their financial indicators over ten years (2009-2018) (see Table </w:t>
      </w:r>
      <w:r>
        <w:rPr>
          <w:rFonts w:ascii="Times New Roman" w:hAnsi="Times New Roman" w:cs="Times New Roman"/>
          <w:iCs/>
          <w:spacing w:val="-2"/>
          <w:sz w:val="20"/>
          <w:lang w:val="en-US"/>
        </w:rPr>
        <w:t>3</w:t>
      </w:r>
      <w:r w:rsidRPr="00FF2184">
        <w:rPr>
          <w:rFonts w:ascii="Times New Roman" w:hAnsi="Times New Roman" w:cs="Times New Roman"/>
          <w:iCs/>
          <w:spacing w:val="-2"/>
          <w:sz w:val="20"/>
          <w:lang w:val="en-US"/>
        </w:rPr>
        <w:t>)</w:t>
      </w:r>
      <w:r w:rsidR="00DD3FC9" w:rsidRPr="00FF2184">
        <w:rPr>
          <w:rFonts w:ascii="Times New Roman" w:hAnsi="Times New Roman" w:cs="Times New Roman"/>
          <w:iCs/>
          <w:spacing w:val="-2"/>
          <w:sz w:val="20"/>
          <w:lang w:val="en-US"/>
        </w:rPr>
        <w:t>.</w:t>
      </w:r>
      <w:r w:rsidR="00DD3FC9" w:rsidRPr="00426679">
        <w:rPr>
          <w:rStyle w:val="a3"/>
          <w:rFonts w:ascii="Times New Roman" w:hAnsi="Times New Roman" w:cs="Times New Roman"/>
          <w:iCs/>
          <w:spacing w:val="-2"/>
          <w:sz w:val="20"/>
          <w:lang w:val="ru-RU"/>
        </w:rPr>
        <w:footnoteReference w:id="2"/>
      </w:r>
    </w:p>
    <w:p w14:paraId="5C0871F6" w14:textId="1CD5F971" w:rsidR="006D5A33" w:rsidRPr="00C65CB1" w:rsidRDefault="006D5A33" w:rsidP="0087169D">
      <w:pPr>
        <w:spacing w:before="120" w:after="120"/>
        <w:jc w:val="center"/>
        <w:rPr>
          <w:rFonts w:ascii="Times New Roman" w:hAnsi="Times New Roman" w:cs="Times New Roman"/>
          <w:bCs/>
          <w:iCs/>
          <w:sz w:val="18"/>
          <w:szCs w:val="16"/>
          <w:lang w:val="en-US"/>
        </w:rPr>
      </w:pPr>
      <w:r w:rsidRPr="000E35D4">
        <w:rPr>
          <w:rFonts w:ascii="Times New Roman" w:hAnsi="Times New Roman" w:cs="Times New Roman"/>
          <w:b/>
          <w:bCs/>
          <w:iCs/>
          <w:sz w:val="18"/>
          <w:szCs w:val="16"/>
          <w:lang w:val="en-GB"/>
        </w:rPr>
        <w:t>Table</w:t>
      </w:r>
      <w:r w:rsidRPr="0036673D">
        <w:rPr>
          <w:rFonts w:ascii="Times New Roman" w:hAnsi="Times New Roman" w:cs="Times New Roman"/>
          <w:b/>
          <w:bCs/>
          <w:iCs/>
          <w:sz w:val="18"/>
          <w:szCs w:val="16"/>
          <w:lang w:val="en-US"/>
        </w:rPr>
        <w:t xml:space="preserve"> 3. </w:t>
      </w:r>
      <w:r w:rsidR="00C65CB1" w:rsidRPr="00C65CB1">
        <w:rPr>
          <w:rFonts w:ascii="Times New Roman" w:hAnsi="Times New Roman" w:cs="Times New Roman"/>
          <w:bCs/>
          <w:iCs/>
          <w:sz w:val="18"/>
          <w:szCs w:val="16"/>
          <w:lang w:val="en-US"/>
        </w:rPr>
        <w:t>Dynamics of the main financial indicators of the largest corporations of the Russian military-industrial complex from 2009 to 2018, in million rubles</w:t>
      </w:r>
    </w:p>
    <w:tbl>
      <w:tblPr>
        <w:tblpPr w:leftFromText="180" w:rightFromText="180" w:vertAnchor="text" w:horzAnchor="margin" w:tblpXSpec="center" w:tblpY="111"/>
        <w:tblW w:w="7361" w:type="dxa"/>
        <w:tblLook w:val="04A0" w:firstRow="1" w:lastRow="0" w:firstColumn="1" w:lastColumn="0" w:noHBand="0" w:noVBand="1"/>
      </w:tblPr>
      <w:tblGrid>
        <w:gridCol w:w="758"/>
        <w:gridCol w:w="664"/>
        <w:gridCol w:w="770"/>
        <w:gridCol w:w="664"/>
        <w:gridCol w:w="825"/>
        <w:gridCol w:w="480"/>
        <w:gridCol w:w="728"/>
        <w:gridCol w:w="590"/>
        <w:gridCol w:w="628"/>
        <w:gridCol w:w="590"/>
        <w:gridCol w:w="664"/>
      </w:tblGrid>
      <w:tr w:rsidR="00713BCE" w:rsidRPr="00BE12C4" w14:paraId="4F37931D" w14:textId="77777777" w:rsidTr="00C65CB1">
        <w:trPr>
          <w:trHeight w:val="286"/>
        </w:trPr>
        <w:tc>
          <w:tcPr>
            <w:tcW w:w="758" w:type="dxa"/>
            <w:vMerge w:val="restart"/>
            <w:tcBorders>
              <w:top w:val="single" w:sz="4" w:space="0" w:color="auto"/>
              <w:left w:val="single" w:sz="4" w:space="0" w:color="auto"/>
              <w:right w:val="single" w:sz="4" w:space="0" w:color="auto"/>
            </w:tcBorders>
            <w:noWrap/>
            <w:tcMar>
              <w:left w:w="17" w:type="dxa"/>
              <w:right w:w="17" w:type="dxa"/>
            </w:tcMar>
            <w:vAlign w:val="center"/>
          </w:tcPr>
          <w:p w14:paraId="0B6EAB32" w14:textId="4958FE6E" w:rsidR="0064124E" w:rsidRPr="00092C31" w:rsidRDefault="00713BCE" w:rsidP="00713BCE">
            <w:pPr>
              <w:jc w:val="center"/>
              <w:rPr>
                <w:rFonts w:ascii="Times New Roman" w:hAnsi="Times New Roman" w:cs="Times New Roman"/>
                <w:b/>
                <w:bCs/>
                <w:iCs/>
                <w:sz w:val="18"/>
                <w:szCs w:val="18"/>
                <w:lang w:val="en-US"/>
              </w:rPr>
            </w:pPr>
            <w:r w:rsidRPr="00092C31">
              <w:rPr>
                <w:rFonts w:ascii="Times New Roman" w:hAnsi="Times New Roman" w:cs="Times New Roman"/>
                <w:b/>
                <w:bCs/>
                <w:iCs/>
                <w:sz w:val="18"/>
                <w:szCs w:val="18"/>
                <w:lang w:val="en-US"/>
              </w:rPr>
              <w:t>Corpor.</w:t>
            </w:r>
          </w:p>
        </w:tc>
        <w:tc>
          <w:tcPr>
            <w:tcW w:w="1434" w:type="dxa"/>
            <w:gridSpan w:val="2"/>
            <w:tcBorders>
              <w:top w:val="single" w:sz="4" w:space="0" w:color="auto"/>
              <w:left w:val="nil"/>
              <w:bottom w:val="single" w:sz="4" w:space="0" w:color="auto"/>
              <w:right w:val="single" w:sz="4" w:space="0" w:color="auto"/>
            </w:tcBorders>
            <w:noWrap/>
            <w:vAlign w:val="center"/>
          </w:tcPr>
          <w:p w14:paraId="2FAA439B" w14:textId="107814BD" w:rsidR="0064124E" w:rsidRPr="00092C31" w:rsidRDefault="00595464" w:rsidP="0064124E">
            <w:pPr>
              <w:jc w:val="center"/>
              <w:rPr>
                <w:rFonts w:ascii="Times New Roman" w:hAnsi="Times New Roman" w:cs="Times New Roman"/>
                <w:b/>
                <w:bCs/>
                <w:iCs/>
                <w:sz w:val="18"/>
                <w:szCs w:val="18"/>
                <w:lang w:val="ru-RU"/>
              </w:rPr>
            </w:pPr>
            <w:r w:rsidRPr="00092C31">
              <w:rPr>
                <w:rFonts w:ascii="Times New Roman" w:hAnsi="Times New Roman" w:cs="Times New Roman"/>
                <w:b/>
                <w:bCs/>
                <w:iCs/>
                <w:sz w:val="18"/>
                <w:szCs w:val="18"/>
                <w:lang w:val="ru-RU"/>
              </w:rPr>
              <w:t>Equity</w:t>
            </w:r>
          </w:p>
        </w:tc>
        <w:tc>
          <w:tcPr>
            <w:tcW w:w="1489" w:type="dxa"/>
            <w:gridSpan w:val="2"/>
            <w:tcBorders>
              <w:top w:val="single" w:sz="4" w:space="0" w:color="auto"/>
              <w:left w:val="nil"/>
              <w:bottom w:val="single" w:sz="4" w:space="0" w:color="auto"/>
              <w:right w:val="single" w:sz="4" w:space="0" w:color="auto"/>
            </w:tcBorders>
            <w:noWrap/>
            <w:vAlign w:val="center"/>
          </w:tcPr>
          <w:p w14:paraId="31F04BC1" w14:textId="2E008C94" w:rsidR="0064124E" w:rsidRPr="00092C31" w:rsidRDefault="00092C31" w:rsidP="0064124E">
            <w:pPr>
              <w:jc w:val="center"/>
              <w:rPr>
                <w:rFonts w:ascii="Times New Roman" w:hAnsi="Times New Roman" w:cs="Times New Roman"/>
                <w:b/>
                <w:bCs/>
                <w:iCs/>
                <w:sz w:val="18"/>
                <w:szCs w:val="18"/>
                <w:lang w:val="ru-RU"/>
              </w:rPr>
            </w:pPr>
            <w:r w:rsidRPr="00092C31">
              <w:rPr>
                <w:rFonts w:ascii="Times New Roman" w:hAnsi="Times New Roman" w:cs="Times New Roman"/>
                <w:b/>
                <w:bCs/>
                <w:iCs/>
                <w:sz w:val="18"/>
                <w:szCs w:val="18"/>
                <w:lang w:val="ru-RU"/>
              </w:rPr>
              <w:t>Total assets</w:t>
            </w:r>
          </w:p>
        </w:tc>
        <w:tc>
          <w:tcPr>
            <w:tcW w:w="1208" w:type="dxa"/>
            <w:gridSpan w:val="2"/>
            <w:tcBorders>
              <w:top w:val="single" w:sz="4" w:space="0" w:color="auto"/>
              <w:left w:val="nil"/>
              <w:bottom w:val="single" w:sz="4" w:space="0" w:color="auto"/>
              <w:right w:val="single" w:sz="4" w:space="0" w:color="auto"/>
            </w:tcBorders>
            <w:noWrap/>
            <w:vAlign w:val="center"/>
          </w:tcPr>
          <w:p w14:paraId="6A96F8A9" w14:textId="5E8A2446" w:rsidR="0064124E" w:rsidRPr="00092C31" w:rsidRDefault="00092C31" w:rsidP="0064124E">
            <w:pPr>
              <w:jc w:val="center"/>
              <w:rPr>
                <w:rFonts w:ascii="Times New Roman" w:hAnsi="Times New Roman" w:cs="Times New Roman"/>
                <w:b/>
                <w:bCs/>
                <w:iCs/>
                <w:sz w:val="18"/>
                <w:szCs w:val="18"/>
                <w:lang w:val="ru-RU"/>
              </w:rPr>
            </w:pPr>
            <w:r w:rsidRPr="00092C31">
              <w:rPr>
                <w:rFonts w:ascii="Times New Roman" w:hAnsi="Times New Roman" w:cs="Times New Roman"/>
                <w:b/>
                <w:bCs/>
                <w:iCs/>
                <w:sz w:val="18"/>
                <w:szCs w:val="18"/>
                <w:lang w:val="ru-RU"/>
              </w:rPr>
              <w:t>Revenue</w:t>
            </w:r>
          </w:p>
        </w:tc>
        <w:tc>
          <w:tcPr>
            <w:tcW w:w="1218" w:type="dxa"/>
            <w:gridSpan w:val="2"/>
            <w:tcBorders>
              <w:top w:val="single" w:sz="4" w:space="0" w:color="auto"/>
              <w:left w:val="nil"/>
              <w:bottom w:val="single" w:sz="4" w:space="0" w:color="auto"/>
              <w:right w:val="single" w:sz="4" w:space="0" w:color="auto"/>
            </w:tcBorders>
            <w:noWrap/>
            <w:vAlign w:val="center"/>
          </w:tcPr>
          <w:p w14:paraId="3CCE6B86" w14:textId="79690228" w:rsidR="0064124E" w:rsidRPr="00092C31" w:rsidRDefault="00092C31" w:rsidP="0064124E">
            <w:pPr>
              <w:jc w:val="center"/>
              <w:rPr>
                <w:rFonts w:ascii="Times New Roman" w:hAnsi="Times New Roman" w:cs="Times New Roman"/>
                <w:b/>
                <w:bCs/>
                <w:iCs/>
                <w:sz w:val="18"/>
                <w:szCs w:val="18"/>
                <w:lang w:val="ru-RU"/>
              </w:rPr>
            </w:pPr>
            <w:r w:rsidRPr="00092C31">
              <w:rPr>
                <w:rFonts w:ascii="Times New Roman" w:hAnsi="Times New Roman" w:cs="Times New Roman"/>
                <w:b/>
                <w:bCs/>
                <w:iCs/>
                <w:sz w:val="18"/>
                <w:szCs w:val="18"/>
                <w:lang w:val="ru-RU"/>
              </w:rPr>
              <w:t>Net profit</w:t>
            </w:r>
          </w:p>
        </w:tc>
        <w:tc>
          <w:tcPr>
            <w:tcW w:w="1254" w:type="dxa"/>
            <w:gridSpan w:val="2"/>
            <w:tcBorders>
              <w:top w:val="single" w:sz="4" w:space="0" w:color="auto"/>
              <w:left w:val="nil"/>
              <w:bottom w:val="single" w:sz="4" w:space="0" w:color="auto"/>
              <w:right w:val="single" w:sz="4" w:space="0" w:color="auto"/>
            </w:tcBorders>
            <w:noWrap/>
            <w:vAlign w:val="center"/>
          </w:tcPr>
          <w:p w14:paraId="55FFBE62" w14:textId="18DFFFAE" w:rsidR="0064124E" w:rsidRPr="00092C31" w:rsidRDefault="00092C31" w:rsidP="0064124E">
            <w:pPr>
              <w:jc w:val="center"/>
              <w:rPr>
                <w:rFonts w:ascii="Times New Roman" w:hAnsi="Times New Roman" w:cs="Times New Roman"/>
                <w:b/>
                <w:bCs/>
                <w:iCs/>
                <w:sz w:val="18"/>
                <w:szCs w:val="18"/>
                <w:lang w:val="ru-RU"/>
              </w:rPr>
            </w:pPr>
            <w:r w:rsidRPr="00092C31">
              <w:rPr>
                <w:rFonts w:ascii="Times New Roman" w:hAnsi="Times New Roman" w:cs="Times New Roman"/>
                <w:b/>
                <w:bCs/>
                <w:iCs/>
                <w:sz w:val="18"/>
                <w:szCs w:val="18"/>
                <w:lang w:val="ru-RU"/>
              </w:rPr>
              <w:t>Long term duties</w:t>
            </w:r>
          </w:p>
        </w:tc>
      </w:tr>
      <w:tr w:rsidR="00092C31" w:rsidRPr="00BE12C4" w14:paraId="01614B78" w14:textId="77777777" w:rsidTr="00713BCE">
        <w:trPr>
          <w:trHeight w:val="286"/>
        </w:trPr>
        <w:tc>
          <w:tcPr>
            <w:tcW w:w="758" w:type="dxa"/>
            <w:vMerge/>
            <w:tcBorders>
              <w:left w:val="single" w:sz="4" w:space="0" w:color="auto"/>
              <w:bottom w:val="single" w:sz="4" w:space="0" w:color="auto"/>
              <w:right w:val="single" w:sz="4" w:space="0" w:color="auto"/>
            </w:tcBorders>
            <w:noWrap/>
            <w:vAlign w:val="bottom"/>
            <w:hideMark/>
          </w:tcPr>
          <w:p w14:paraId="22138D63" w14:textId="77777777" w:rsidR="0064124E" w:rsidRPr="00BE12C4" w:rsidRDefault="0064124E" w:rsidP="0064124E">
            <w:pPr>
              <w:jc w:val="both"/>
              <w:rPr>
                <w:rFonts w:ascii="Times New Roman" w:hAnsi="Times New Roman" w:cs="Times New Roman"/>
                <w:iCs/>
                <w:sz w:val="16"/>
                <w:szCs w:val="16"/>
                <w:lang w:val="ru-RU"/>
              </w:rPr>
            </w:pPr>
          </w:p>
        </w:tc>
        <w:tc>
          <w:tcPr>
            <w:tcW w:w="664" w:type="dxa"/>
            <w:tcBorders>
              <w:top w:val="single" w:sz="4" w:space="0" w:color="auto"/>
              <w:left w:val="nil"/>
              <w:bottom w:val="single" w:sz="4" w:space="0" w:color="auto"/>
              <w:right w:val="single" w:sz="4" w:space="0" w:color="auto"/>
            </w:tcBorders>
            <w:noWrap/>
            <w:vAlign w:val="center"/>
            <w:hideMark/>
          </w:tcPr>
          <w:p w14:paraId="6323DE3D"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2009</w:t>
            </w:r>
          </w:p>
        </w:tc>
        <w:tc>
          <w:tcPr>
            <w:tcW w:w="770" w:type="dxa"/>
            <w:tcBorders>
              <w:top w:val="single" w:sz="4" w:space="0" w:color="auto"/>
              <w:left w:val="nil"/>
              <w:bottom w:val="single" w:sz="4" w:space="0" w:color="auto"/>
              <w:right w:val="single" w:sz="4" w:space="0" w:color="auto"/>
            </w:tcBorders>
            <w:noWrap/>
            <w:vAlign w:val="center"/>
            <w:hideMark/>
          </w:tcPr>
          <w:p w14:paraId="7211AABD"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2018</w:t>
            </w:r>
          </w:p>
        </w:tc>
        <w:tc>
          <w:tcPr>
            <w:tcW w:w="664" w:type="dxa"/>
            <w:tcBorders>
              <w:top w:val="single" w:sz="4" w:space="0" w:color="auto"/>
              <w:left w:val="nil"/>
              <w:bottom w:val="single" w:sz="4" w:space="0" w:color="auto"/>
              <w:right w:val="single" w:sz="4" w:space="0" w:color="auto"/>
            </w:tcBorders>
            <w:noWrap/>
            <w:vAlign w:val="center"/>
            <w:hideMark/>
          </w:tcPr>
          <w:p w14:paraId="2AD01A09"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2009</w:t>
            </w:r>
          </w:p>
        </w:tc>
        <w:tc>
          <w:tcPr>
            <w:tcW w:w="825" w:type="dxa"/>
            <w:tcBorders>
              <w:top w:val="single" w:sz="4" w:space="0" w:color="auto"/>
              <w:left w:val="nil"/>
              <w:bottom w:val="single" w:sz="4" w:space="0" w:color="auto"/>
              <w:right w:val="single" w:sz="4" w:space="0" w:color="auto"/>
            </w:tcBorders>
            <w:noWrap/>
            <w:vAlign w:val="center"/>
            <w:hideMark/>
          </w:tcPr>
          <w:p w14:paraId="0C838B09"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2018</w:t>
            </w:r>
          </w:p>
        </w:tc>
        <w:tc>
          <w:tcPr>
            <w:tcW w:w="480" w:type="dxa"/>
            <w:tcBorders>
              <w:top w:val="single" w:sz="4" w:space="0" w:color="auto"/>
              <w:left w:val="nil"/>
              <w:bottom w:val="single" w:sz="4" w:space="0" w:color="auto"/>
              <w:right w:val="single" w:sz="4" w:space="0" w:color="auto"/>
            </w:tcBorders>
            <w:noWrap/>
            <w:tcMar>
              <w:left w:w="85" w:type="dxa"/>
              <w:right w:w="85" w:type="dxa"/>
            </w:tcMar>
            <w:vAlign w:val="center"/>
            <w:hideMark/>
          </w:tcPr>
          <w:p w14:paraId="2D79A1DA" w14:textId="77777777" w:rsidR="0064124E" w:rsidRPr="00713BCE" w:rsidRDefault="0064124E" w:rsidP="00713BCE">
            <w:pPr>
              <w:rPr>
                <w:rFonts w:ascii="Times New Roman" w:hAnsi="Times New Roman" w:cs="Times New Roman"/>
                <w:b/>
                <w:bCs/>
                <w:iCs/>
                <w:spacing w:val="-4"/>
                <w:sz w:val="16"/>
                <w:szCs w:val="16"/>
                <w:lang w:val="ru-RU"/>
              </w:rPr>
            </w:pPr>
            <w:r w:rsidRPr="00713BCE">
              <w:rPr>
                <w:rFonts w:ascii="Times New Roman" w:hAnsi="Times New Roman" w:cs="Times New Roman"/>
                <w:b/>
                <w:bCs/>
                <w:iCs/>
                <w:spacing w:val="-4"/>
                <w:sz w:val="16"/>
                <w:szCs w:val="16"/>
                <w:lang w:val="ru-RU"/>
              </w:rPr>
              <w:t>2009</w:t>
            </w:r>
          </w:p>
        </w:tc>
        <w:tc>
          <w:tcPr>
            <w:tcW w:w="728" w:type="dxa"/>
            <w:tcBorders>
              <w:top w:val="single" w:sz="4" w:space="0" w:color="auto"/>
              <w:left w:val="nil"/>
              <w:bottom w:val="single" w:sz="4" w:space="0" w:color="auto"/>
              <w:right w:val="single" w:sz="4" w:space="0" w:color="auto"/>
            </w:tcBorders>
            <w:noWrap/>
            <w:vAlign w:val="center"/>
            <w:hideMark/>
          </w:tcPr>
          <w:p w14:paraId="2E42E9E9"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2018</w:t>
            </w:r>
          </w:p>
        </w:tc>
        <w:tc>
          <w:tcPr>
            <w:tcW w:w="590" w:type="dxa"/>
            <w:tcBorders>
              <w:top w:val="single" w:sz="4" w:space="0" w:color="auto"/>
              <w:left w:val="nil"/>
              <w:bottom w:val="single" w:sz="4" w:space="0" w:color="auto"/>
              <w:right w:val="single" w:sz="4" w:space="0" w:color="auto"/>
            </w:tcBorders>
            <w:noWrap/>
            <w:vAlign w:val="center"/>
            <w:hideMark/>
          </w:tcPr>
          <w:p w14:paraId="58144E95"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2009</w:t>
            </w:r>
          </w:p>
        </w:tc>
        <w:tc>
          <w:tcPr>
            <w:tcW w:w="628" w:type="dxa"/>
            <w:tcBorders>
              <w:top w:val="single" w:sz="4" w:space="0" w:color="auto"/>
              <w:left w:val="nil"/>
              <w:bottom w:val="single" w:sz="4" w:space="0" w:color="auto"/>
              <w:right w:val="single" w:sz="4" w:space="0" w:color="auto"/>
            </w:tcBorders>
            <w:noWrap/>
            <w:vAlign w:val="center"/>
            <w:hideMark/>
          </w:tcPr>
          <w:p w14:paraId="1E179A26"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2018</w:t>
            </w:r>
          </w:p>
        </w:tc>
        <w:tc>
          <w:tcPr>
            <w:tcW w:w="590" w:type="dxa"/>
            <w:tcBorders>
              <w:top w:val="single" w:sz="4" w:space="0" w:color="auto"/>
              <w:left w:val="nil"/>
              <w:bottom w:val="single" w:sz="4" w:space="0" w:color="auto"/>
              <w:right w:val="single" w:sz="4" w:space="0" w:color="auto"/>
            </w:tcBorders>
            <w:noWrap/>
            <w:vAlign w:val="center"/>
            <w:hideMark/>
          </w:tcPr>
          <w:p w14:paraId="0A816C7D"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2009</w:t>
            </w:r>
          </w:p>
        </w:tc>
        <w:tc>
          <w:tcPr>
            <w:tcW w:w="664" w:type="dxa"/>
            <w:tcBorders>
              <w:top w:val="single" w:sz="4" w:space="0" w:color="auto"/>
              <w:left w:val="nil"/>
              <w:bottom w:val="single" w:sz="4" w:space="0" w:color="auto"/>
              <w:right w:val="single" w:sz="4" w:space="0" w:color="auto"/>
            </w:tcBorders>
            <w:noWrap/>
            <w:vAlign w:val="center"/>
            <w:hideMark/>
          </w:tcPr>
          <w:p w14:paraId="222BB23B" w14:textId="77777777" w:rsidR="0064124E" w:rsidRPr="00BE12C4" w:rsidRDefault="0064124E" w:rsidP="0064124E">
            <w:pPr>
              <w:jc w:val="center"/>
              <w:rPr>
                <w:rFonts w:ascii="Times New Roman" w:hAnsi="Times New Roman" w:cs="Times New Roman"/>
                <w:b/>
                <w:bCs/>
                <w:iCs/>
                <w:sz w:val="16"/>
                <w:szCs w:val="16"/>
                <w:lang w:val="ru-RU"/>
              </w:rPr>
            </w:pPr>
            <w:r w:rsidRPr="00BE12C4">
              <w:rPr>
                <w:rFonts w:ascii="Times New Roman" w:hAnsi="Times New Roman" w:cs="Times New Roman"/>
                <w:b/>
                <w:bCs/>
                <w:iCs/>
                <w:sz w:val="16"/>
                <w:szCs w:val="16"/>
                <w:lang w:val="ru-RU"/>
              </w:rPr>
              <w:t>2018</w:t>
            </w:r>
          </w:p>
        </w:tc>
      </w:tr>
      <w:tr w:rsidR="00713BCE" w:rsidRPr="00BE12C4" w14:paraId="09782598" w14:textId="77777777" w:rsidTr="00F728BA">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7D3D8791" w14:textId="77777777" w:rsidR="000031C5" w:rsidRDefault="0064124E" w:rsidP="0064124E">
            <w:pPr>
              <w:rPr>
                <w:rFonts w:ascii="Times New Roman" w:hAnsi="Times New Roman" w:cs="Times New Roman"/>
                <w:iCs/>
                <w:sz w:val="16"/>
                <w:szCs w:val="16"/>
                <w:lang w:val="ru-RU"/>
              </w:rPr>
            </w:pPr>
            <w:r w:rsidRPr="006C0F8A">
              <w:rPr>
                <w:rFonts w:ascii="Times New Roman" w:hAnsi="Times New Roman" w:cs="Times New Roman"/>
                <w:iCs/>
                <w:sz w:val="16"/>
                <w:szCs w:val="16"/>
                <w:lang w:val="ru-RU"/>
              </w:rPr>
              <w:t xml:space="preserve">Rostec </w:t>
            </w:r>
          </w:p>
          <w:p w14:paraId="0C98D965" w14:textId="29820D1B" w:rsidR="0064124E" w:rsidRPr="000031C5" w:rsidRDefault="0064124E" w:rsidP="0064124E">
            <w:pPr>
              <w:rPr>
                <w:rFonts w:ascii="Times New Roman" w:hAnsi="Times New Roman" w:cs="Times New Roman"/>
                <w:iCs/>
                <w:sz w:val="16"/>
                <w:szCs w:val="16"/>
                <w:lang w:val="en-US"/>
              </w:rPr>
            </w:pPr>
            <w:r w:rsidRPr="006C0F8A">
              <w:rPr>
                <w:rFonts w:ascii="Times New Roman" w:hAnsi="Times New Roman" w:cs="Times New Roman"/>
                <w:iCs/>
                <w:sz w:val="16"/>
                <w:szCs w:val="16"/>
                <w:lang w:val="ru-RU"/>
              </w:rPr>
              <w:t>Сorp</w:t>
            </w:r>
            <w:r w:rsidR="000031C5">
              <w:rPr>
                <w:rFonts w:ascii="Times New Roman" w:hAnsi="Times New Roman" w:cs="Times New Roman"/>
                <w:iCs/>
                <w:sz w:val="16"/>
                <w:szCs w:val="16"/>
                <w:lang w:val="ru-RU"/>
              </w:rPr>
              <w:t>.</w:t>
            </w:r>
          </w:p>
        </w:tc>
        <w:tc>
          <w:tcPr>
            <w:tcW w:w="664" w:type="dxa"/>
            <w:tcBorders>
              <w:top w:val="nil"/>
              <w:left w:val="nil"/>
              <w:bottom w:val="single" w:sz="4" w:space="0" w:color="auto"/>
              <w:right w:val="single" w:sz="4" w:space="0" w:color="auto"/>
            </w:tcBorders>
            <w:noWrap/>
            <w:tcMar>
              <w:left w:w="28" w:type="dxa"/>
              <w:right w:w="28" w:type="dxa"/>
            </w:tcMar>
            <w:hideMark/>
          </w:tcPr>
          <w:p w14:paraId="5ED89DE8" w14:textId="77777777" w:rsidR="0064124E" w:rsidRPr="000031C5" w:rsidRDefault="0064124E" w:rsidP="000031C5">
            <w:pPr>
              <w:rPr>
                <w:rFonts w:ascii="Times New Roman" w:hAnsi="Times New Roman" w:cs="Times New Roman"/>
                <w:iCs/>
                <w:spacing w:val="-6"/>
                <w:sz w:val="16"/>
                <w:szCs w:val="16"/>
                <w:lang w:val="ru-RU"/>
              </w:rPr>
            </w:pPr>
            <w:r w:rsidRPr="000031C5">
              <w:rPr>
                <w:rFonts w:ascii="Times New Roman" w:hAnsi="Times New Roman" w:cs="Times New Roman"/>
                <w:iCs/>
                <w:spacing w:val="-6"/>
                <w:sz w:val="16"/>
                <w:szCs w:val="16"/>
                <w:lang w:val="ru-RU"/>
              </w:rPr>
              <w:t>250,025.5</w:t>
            </w:r>
          </w:p>
        </w:tc>
        <w:tc>
          <w:tcPr>
            <w:tcW w:w="770" w:type="dxa"/>
            <w:tcBorders>
              <w:top w:val="nil"/>
              <w:left w:val="nil"/>
              <w:bottom w:val="single" w:sz="4" w:space="0" w:color="auto"/>
              <w:right w:val="single" w:sz="4" w:space="0" w:color="auto"/>
            </w:tcBorders>
            <w:noWrap/>
            <w:tcMar>
              <w:left w:w="28" w:type="dxa"/>
              <w:right w:w="28" w:type="dxa"/>
            </w:tcMar>
          </w:tcPr>
          <w:p w14:paraId="372EA4B0" w14:textId="77777777" w:rsidR="0064124E" w:rsidRPr="00F728BA" w:rsidRDefault="0064124E" w:rsidP="000031C5">
            <w:pPr>
              <w:rPr>
                <w:rFonts w:ascii="Times New Roman" w:hAnsi="Times New Roman" w:cs="Times New Roman"/>
                <w:iCs/>
                <w:spacing w:val="-8"/>
                <w:sz w:val="16"/>
                <w:szCs w:val="16"/>
                <w:lang w:val="ru-RU"/>
              </w:rPr>
            </w:pPr>
            <w:r w:rsidRPr="00F728BA">
              <w:rPr>
                <w:rFonts w:ascii="Times New Roman" w:hAnsi="Times New Roman" w:cs="Times New Roman"/>
                <w:iCs/>
                <w:spacing w:val="-8"/>
                <w:sz w:val="16"/>
                <w:szCs w:val="16"/>
                <w:lang w:val="ru-RU"/>
              </w:rPr>
              <w:t>1,266,395.8</w:t>
            </w:r>
          </w:p>
          <w:p w14:paraId="1370B62D" w14:textId="77777777" w:rsidR="0064124E" w:rsidRPr="000031C5" w:rsidRDefault="0064124E" w:rsidP="000031C5">
            <w:pPr>
              <w:jc w:val="center"/>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(2017)</w:t>
            </w:r>
          </w:p>
        </w:tc>
        <w:tc>
          <w:tcPr>
            <w:tcW w:w="664" w:type="dxa"/>
            <w:tcBorders>
              <w:top w:val="nil"/>
              <w:left w:val="nil"/>
              <w:bottom w:val="single" w:sz="4" w:space="0" w:color="auto"/>
              <w:right w:val="single" w:sz="4" w:space="0" w:color="auto"/>
            </w:tcBorders>
            <w:noWrap/>
            <w:tcMar>
              <w:left w:w="28" w:type="dxa"/>
              <w:right w:w="28" w:type="dxa"/>
            </w:tcMar>
          </w:tcPr>
          <w:p w14:paraId="6609A5B3" w14:textId="77777777" w:rsidR="0064124E" w:rsidRPr="000031C5" w:rsidRDefault="0064124E" w:rsidP="000031C5">
            <w:pPr>
              <w:rPr>
                <w:rFonts w:ascii="Times New Roman" w:hAnsi="Times New Roman" w:cs="Times New Roman"/>
                <w:iCs/>
                <w:spacing w:val="-6"/>
                <w:sz w:val="16"/>
                <w:szCs w:val="16"/>
                <w:lang w:val="ru-RU"/>
              </w:rPr>
            </w:pPr>
            <w:r w:rsidRPr="000031C5">
              <w:rPr>
                <w:rFonts w:ascii="Times New Roman" w:hAnsi="Times New Roman" w:cs="Times New Roman"/>
                <w:iCs/>
                <w:spacing w:val="-6"/>
                <w:sz w:val="16"/>
                <w:szCs w:val="16"/>
                <w:lang w:val="ru-RU"/>
              </w:rPr>
              <w:t>255,132.6</w:t>
            </w:r>
          </w:p>
        </w:tc>
        <w:tc>
          <w:tcPr>
            <w:tcW w:w="825" w:type="dxa"/>
            <w:tcBorders>
              <w:top w:val="nil"/>
              <w:left w:val="nil"/>
              <w:bottom w:val="single" w:sz="4" w:space="0" w:color="auto"/>
              <w:right w:val="single" w:sz="4" w:space="0" w:color="auto"/>
            </w:tcBorders>
            <w:noWrap/>
            <w:tcMar>
              <w:left w:w="28" w:type="dxa"/>
              <w:right w:w="28" w:type="dxa"/>
            </w:tcMar>
          </w:tcPr>
          <w:p w14:paraId="1B26BD90" w14:textId="77777777" w:rsidR="0064124E" w:rsidRPr="000031C5" w:rsidRDefault="0064124E" w:rsidP="00F728BA">
            <w:pPr>
              <w:rPr>
                <w:rFonts w:ascii="Times New Roman" w:hAnsi="Times New Roman" w:cs="Times New Roman"/>
                <w:iCs/>
                <w:spacing w:val="-6"/>
                <w:sz w:val="16"/>
                <w:szCs w:val="16"/>
                <w:lang w:val="ru-RU"/>
              </w:rPr>
            </w:pPr>
            <w:r w:rsidRPr="000031C5">
              <w:rPr>
                <w:rFonts w:ascii="Times New Roman" w:hAnsi="Times New Roman" w:cs="Times New Roman"/>
                <w:iCs/>
                <w:spacing w:val="-6"/>
                <w:sz w:val="16"/>
                <w:szCs w:val="16"/>
                <w:lang w:val="ru-RU"/>
              </w:rPr>
              <w:t>1,273,892.9</w:t>
            </w:r>
          </w:p>
        </w:tc>
        <w:tc>
          <w:tcPr>
            <w:tcW w:w="480" w:type="dxa"/>
            <w:tcBorders>
              <w:top w:val="nil"/>
              <w:left w:val="nil"/>
              <w:bottom w:val="single" w:sz="4" w:space="0" w:color="auto"/>
              <w:right w:val="single" w:sz="4" w:space="0" w:color="auto"/>
            </w:tcBorders>
            <w:noWrap/>
            <w:tcMar>
              <w:left w:w="28" w:type="dxa"/>
              <w:right w:w="28" w:type="dxa"/>
            </w:tcMar>
          </w:tcPr>
          <w:p w14:paraId="3843089E" w14:textId="77777777" w:rsidR="0064124E" w:rsidRPr="000031C5" w:rsidRDefault="0064124E" w:rsidP="0064124E">
            <w:pPr>
              <w:jc w:val="right"/>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111.0</w:t>
            </w:r>
          </w:p>
        </w:tc>
        <w:tc>
          <w:tcPr>
            <w:tcW w:w="728" w:type="dxa"/>
            <w:tcBorders>
              <w:top w:val="nil"/>
              <w:left w:val="nil"/>
              <w:bottom w:val="single" w:sz="4" w:space="0" w:color="auto"/>
              <w:right w:val="single" w:sz="4" w:space="0" w:color="auto"/>
            </w:tcBorders>
            <w:noWrap/>
            <w:tcMar>
              <w:left w:w="28" w:type="dxa"/>
              <w:right w:w="28" w:type="dxa"/>
            </w:tcMar>
          </w:tcPr>
          <w:p w14:paraId="7EAE5DED" w14:textId="77777777" w:rsidR="0064124E" w:rsidRPr="000031C5" w:rsidRDefault="0064124E" w:rsidP="0064124E">
            <w:pPr>
              <w:jc w:val="right"/>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2,833.9</w:t>
            </w:r>
          </w:p>
        </w:tc>
        <w:tc>
          <w:tcPr>
            <w:tcW w:w="590" w:type="dxa"/>
            <w:tcBorders>
              <w:top w:val="nil"/>
              <w:left w:val="nil"/>
              <w:bottom w:val="single" w:sz="4" w:space="0" w:color="auto"/>
              <w:right w:val="single" w:sz="4" w:space="0" w:color="auto"/>
            </w:tcBorders>
            <w:noWrap/>
            <w:tcMar>
              <w:left w:w="28" w:type="dxa"/>
              <w:right w:w="28" w:type="dxa"/>
            </w:tcMar>
          </w:tcPr>
          <w:p w14:paraId="025646B6" w14:textId="77777777" w:rsidR="0064124E" w:rsidRPr="000031C5" w:rsidRDefault="0064124E" w:rsidP="0064124E">
            <w:pPr>
              <w:jc w:val="right"/>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70.2</w:t>
            </w:r>
          </w:p>
        </w:tc>
        <w:tc>
          <w:tcPr>
            <w:tcW w:w="628" w:type="dxa"/>
            <w:tcBorders>
              <w:top w:val="nil"/>
              <w:left w:val="nil"/>
              <w:bottom w:val="single" w:sz="4" w:space="0" w:color="auto"/>
              <w:right w:val="single" w:sz="4" w:space="0" w:color="auto"/>
            </w:tcBorders>
            <w:noWrap/>
            <w:tcMar>
              <w:left w:w="17" w:type="dxa"/>
              <w:right w:w="17" w:type="dxa"/>
            </w:tcMar>
          </w:tcPr>
          <w:p w14:paraId="42E3601A" w14:textId="77777777" w:rsidR="0064124E" w:rsidRPr="00F728BA" w:rsidRDefault="0064124E" w:rsidP="000031C5">
            <w:pPr>
              <w:rPr>
                <w:rFonts w:ascii="Times New Roman" w:hAnsi="Times New Roman" w:cs="Times New Roman"/>
                <w:iCs/>
                <w:spacing w:val="-8"/>
                <w:sz w:val="16"/>
                <w:szCs w:val="16"/>
                <w:lang w:val="ru-RU"/>
              </w:rPr>
            </w:pPr>
            <w:r w:rsidRPr="00F728BA">
              <w:rPr>
                <w:rFonts w:ascii="Times New Roman" w:hAnsi="Times New Roman" w:cs="Times New Roman"/>
                <w:iCs/>
                <w:spacing w:val="-8"/>
                <w:sz w:val="16"/>
                <w:szCs w:val="16"/>
                <w:lang w:val="ru-RU"/>
              </w:rPr>
              <w:t>130,231.6</w:t>
            </w:r>
          </w:p>
        </w:tc>
        <w:tc>
          <w:tcPr>
            <w:tcW w:w="590" w:type="dxa"/>
            <w:tcBorders>
              <w:top w:val="nil"/>
              <w:left w:val="nil"/>
              <w:bottom w:val="single" w:sz="4" w:space="0" w:color="auto"/>
              <w:right w:val="single" w:sz="4" w:space="0" w:color="auto"/>
            </w:tcBorders>
            <w:noWrap/>
            <w:tcMar>
              <w:left w:w="28" w:type="dxa"/>
              <w:right w:w="28" w:type="dxa"/>
            </w:tcMar>
          </w:tcPr>
          <w:p w14:paraId="27EA90D4" w14:textId="77777777" w:rsidR="0064124E" w:rsidRPr="000031C5" w:rsidRDefault="0064124E" w:rsidP="0064124E">
            <w:pPr>
              <w:jc w:val="right"/>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3,663.8</w:t>
            </w:r>
          </w:p>
        </w:tc>
        <w:tc>
          <w:tcPr>
            <w:tcW w:w="664" w:type="dxa"/>
            <w:tcBorders>
              <w:top w:val="nil"/>
              <w:left w:val="nil"/>
              <w:bottom w:val="single" w:sz="4" w:space="0" w:color="auto"/>
              <w:right w:val="single" w:sz="4" w:space="0" w:color="auto"/>
            </w:tcBorders>
            <w:noWrap/>
            <w:tcMar>
              <w:left w:w="28" w:type="dxa"/>
              <w:right w:w="28" w:type="dxa"/>
            </w:tcMar>
          </w:tcPr>
          <w:p w14:paraId="6CC2D527" w14:textId="77777777" w:rsidR="0064124E" w:rsidRPr="000031C5" w:rsidRDefault="0064124E" w:rsidP="0064124E">
            <w:pPr>
              <w:jc w:val="right"/>
              <w:rPr>
                <w:rFonts w:ascii="Times New Roman" w:hAnsi="Times New Roman" w:cs="Times New Roman"/>
                <w:iCs/>
                <w:spacing w:val="-4"/>
                <w:sz w:val="16"/>
                <w:szCs w:val="16"/>
                <w:lang w:val="ru-RU"/>
              </w:rPr>
            </w:pPr>
            <w:r w:rsidRPr="000031C5">
              <w:rPr>
                <w:rFonts w:ascii="Times New Roman" w:hAnsi="Times New Roman" w:cs="Times New Roman"/>
                <w:iCs/>
                <w:spacing w:val="-4"/>
                <w:sz w:val="16"/>
                <w:szCs w:val="16"/>
                <w:lang w:val="ru-RU"/>
              </w:rPr>
              <w:t>638.1</w:t>
            </w:r>
          </w:p>
        </w:tc>
      </w:tr>
      <w:tr w:rsidR="00092C31" w:rsidRPr="00BE12C4" w14:paraId="50EB3139" w14:textId="77777777" w:rsidTr="00F728BA">
        <w:trPr>
          <w:trHeight w:val="366"/>
        </w:trPr>
        <w:tc>
          <w:tcPr>
            <w:tcW w:w="758"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6146E566" w14:textId="77777777" w:rsidR="0064124E" w:rsidRPr="00BE12C4" w:rsidRDefault="0064124E" w:rsidP="0064124E">
            <w:pPr>
              <w:rPr>
                <w:rFonts w:ascii="Times New Roman" w:hAnsi="Times New Roman" w:cs="Times New Roman"/>
                <w:iCs/>
                <w:sz w:val="16"/>
                <w:szCs w:val="16"/>
                <w:lang w:val="ru-RU"/>
              </w:rPr>
            </w:pPr>
            <w:r w:rsidRPr="00BE12C4">
              <w:rPr>
                <w:rFonts w:ascii="Times New Roman" w:hAnsi="Times New Roman" w:cs="Times New Roman"/>
                <w:iCs/>
                <w:sz w:val="16"/>
                <w:szCs w:val="16"/>
              </w:rPr>
              <w:t xml:space="preserve">Russian </w:t>
            </w:r>
            <w:r w:rsidRPr="00092C31">
              <w:rPr>
                <w:rFonts w:ascii="Times New Roman" w:hAnsi="Times New Roman" w:cs="Times New Roman"/>
                <w:iCs/>
                <w:spacing w:val="-6"/>
                <w:sz w:val="16"/>
                <w:szCs w:val="16"/>
              </w:rPr>
              <w:t>Helicopters</w:t>
            </w:r>
          </w:p>
        </w:tc>
        <w:tc>
          <w:tcPr>
            <w:tcW w:w="664" w:type="dxa"/>
            <w:tcBorders>
              <w:top w:val="nil"/>
              <w:left w:val="nil"/>
              <w:bottom w:val="single" w:sz="4" w:space="0" w:color="auto"/>
              <w:right w:val="single" w:sz="4" w:space="0" w:color="auto"/>
            </w:tcBorders>
            <w:noWrap/>
            <w:tcMar>
              <w:left w:w="28" w:type="dxa"/>
              <w:right w:w="28" w:type="dxa"/>
            </w:tcMar>
            <w:hideMark/>
          </w:tcPr>
          <w:p w14:paraId="77DB683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323.8</w:t>
            </w:r>
          </w:p>
        </w:tc>
        <w:tc>
          <w:tcPr>
            <w:tcW w:w="770" w:type="dxa"/>
            <w:tcBorders>
              <w:top w:val="nil"/>
              <w:left w:val="nil"/>
              <w:bottom w:val="single" w:sz="4" w:space="0" w:color="auto"/>
              <w:right w:val="single" w:sz="4" w:space="0" w:color="auto"/>
            </w:tcBorders>
            <w:noWrap/>
            <w:tcMar>
              <w:left w:w="28" w:type="dxa"/>
              <w:right w:w="28" w:type="dxa"/>
            </w:tcMar>
          </w:tcPr>
          <w:p w14:paraId="373946D1"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90,523.3</w:t>
            </w:r>
          </w:p>
        </w:tc>
        <w:tc>
          <w:tcPr>
            <w:tcW w:w="664" w:type="dxa"/>
            <w:tcBorders>
              <w:top w:val="nil"/>
              <w:left w:val="nil"/>
              <w:bottom w:val="single" w:sz="4" w:space="0" w:color="auto"/>
              <w:right w:val="single" w:sz="4" w:space="0" w:color="auto"/>
            </w:tcBorders>
            <w:noWrap/>
            <w:tcMar>
              <w:left w:w="28" w:type="dxa"/>
              <w:right w:w="28" w:type="dxa"/>
            </w:tcMar>
          </w:tcPr>
          <w:p w14:paraId="2B5E951F"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2,412.3</w:t>
            </w:r>
          </w:p>
        </w:tc>
        <w:tc>
          <w:tcPr>
            <w:tcW w:w="825" w:type="dxa"/>
            <w:tcBorders>
              <w:top w:val="nil"/>
              <w:left w:val="nil"/>
              <w:bottom w:val="single" w:sz="4" w:space="0" w:color="auto"/>
              <w:right w:val="single" w:sz="4" w:space="0" w:color="auto"/>
            </w:tcBorders>
            <w:noWrap/>
            <w:tcMar>
              <w:left w:w="28" w:type="dxa"/>
              <w:right w:w="28" w:type="dxa"/>
            </w:tcMar>
          </w:tcPr>
          <w:p w14:paraId="668B8DE4"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154,852.0</w:t>
            </w:r>
          </w:p>
        </w:tc>
        <w:tc>
          <w:tcPr>
            <w:tcW w:w="480" w:type="dxa"/>
            <w:tcBorders>
              <w:top w:val="nil"/>
              <w:left w:val="nil"/>
              <w:bottom w:val="single" w:sz="4" w:space="0" w:color="auto"/>
              <w:right w:val="single" w:sz="4" w:space="0" w:color="auto"/>
            </w:tcBorders>
            <w:noWrap/>
            <w:tcMar>
              <w:left w:w="28" w:type="dxa"/>
              <w:right w:w="28" w:type="dxa"/>
            </w:tcMar>
          </w:tcPr>
          <w:p w14:paraId="12CF568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775.7</w:t>
            </w:r>
          </w:p>
        </w:tc>
        <w:tc>
          <w:tcPr>
            <w:tcW w:w="728" w:type="dxa"/>
            <w:tcBorders>
              <w:top w:val="nil"/>
              <w:left w:val="nil"/>
              <w:bottom w:val="single" w:sz="4" w:space="0" w:color="auto"/>
              <w:right w:val="single" w:sz="4" w:space="0" w:color="auto"/>
            </w:tcBorders>
            <w:noWrap/>
            <w:tcMar>
              <w:left w:w="28" w:type="dxa"/>
              <w:right w:w="28" w:type="dxa"/>
            </w:tcMar>
          </w:tcPr>
          <w:p w14:paraId="3737EFD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35,528.5</w:t>
            </w:r>
          </w:p>
        </w:tc>
        <w:tc>
          <w:tcPr>
            <w:tcW w:w="590" w:type="dxa"/>
            <w:tcBorders>
              <w:top w:val="nil"/>
              <w:left w:val="nil"/>
              <w:bottom w:val="single" w:sz="4" w:space="0" w:color="auto"/>
              <w:right w:val="single" w:sz="4" w:space="0" w:color="auto"/>
            </w:tcBorders>
            <w:noWrap/>
            <w:tcMar>
              <w:left w:w="28" w:type="dxa"/>
              <w:right w:w="28" w:type="dxa"/>
            </w:tcMar>
          </w:tcPr>
          <w:p w14:paraId="77F98AD5"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271.0</w:t>
            </w:r>
          </w:p>
        </w:tc>
        <w:tc>
          <w:tcPr>
            <w:tcW w:w="628" w:type="dxa"/>
            <w:tcBorders>
              <w:top w:val="nil"/>
              <w:left w:val="nil"/>
              <w:bottom w:val="single" w:sz="4" w:space="0" w:color="auto"/>
              <w:right w:val="single" w:sz="4" w:space="0" w:color="auto"/>
            </w:tcBorders>
            <w:noWrap/>
            <w:tcMar>
              <w:left w:w="28" w:type="dxa"/>
              <w:right w:w="28" w:type="dxa"/>
            </w:tcMar>
          </w:tcPr>
          <w:p w14:paraId="3B500B42" w14:textId="06CCC8CF" w:rsidR="0064124E" w:rsidRPr="00F728BA" w:rsidRDefault="0064124E" w:rsidP="00F728BA">
            <w:pPr>
              <w:rPr>
                <w:rFonts w:ascii="Times New Roman" w:hAnsi="Times New Roman" w:cs="Times New Roman"/>
                <w:iCs/>
                <w:spacing w:val="-2"/>
                <w:sz w:val="16"/>
                <w:szCs w:val="16"/>
                <w:lang w:val="ru-RU"/>
              </w:rPr>
            </w:pPr>
            <w:r w:rsidRPr="00F728BA">
              <w:rPr>
                <w:rFonts w:ascii="Times New Roman" w:hAnsi="Times New Roman" w:cs="Times New Roman"/>
                <w:iCs/>
                <w:spacing w:val="-2"/>
                <w:sz w:val="16"/>
                <w:szCs w:val="16"/>
                <w:lang w:val="ru-RU"/>
              </w:rPr>
              <w:t>19,966.7</w:t>
            </w:r>
          </w:p>
        </w:tc>
        <w:tc>
          <w:tcPr>
            <w:tcW w:w="590" w:type="dxa"/>
            <w:tcBorders>
              <w:top w:val="nil"/>
              <w:left w:val="nil"/>
              <w:bottom w:val="single" w:sz="4" w:space="0" w:color="auto"/>
              <w:right w:val="single" w:sz="4" w:space="0" w:color="auto"/>
            </w:tcBorders>
            <w:noWrap/>
            <w:tcMar>
              <w:left w:w="28" w:type="dxa"/>
              <w:right w:w="28" w:type="dxa"/>
            </w:tcMar>
          </w:tcPr>
          <w:p w14:paraId="08CCC2D0"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1,585.2</w:t>
            </w:r>
          </w:p>
        </w:tc>
        <w:tc>
          <w:tcPr>
            <w:tcW w:w="664" w:type="dxa"/>
            <w:tcBorders>
              <w:top w:val="nil"/>
              <w:left w:val="nil"/>
              <w:bottom w:val="single" w:sz="4" w:space="0" w:color="auto"/>
              <w:right w:val="single" w:sz="4" w:space="0" w:color="auto"/>
            </w:tcBorders>
            <w:noWrap/>
            <w:tcMar>
              <w:left w:w="28" w:type="dxa"/>
              <w:right w:w="28" w:type="dxa"/>
            </w:tcMar>
          </w:tcPr>
          <w:p w14:paraId="325A6541"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23,793.4</w:t>
            </w:r>
          </w:p>
        </w:tc>
      </w:tr>
      <w:tr w:rsidR="00092C31" w:rsidRPr="00BE12C4" w14:paraId="6930A177" w14:textId="77777777" w:rsidTr="00713BCE">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70A4B3FB" w14:textId="77777777" w:rsidR="000031C5" w:rsidRDefault="0064124E" w:rsidP="0064124E">
            <w:pPr>
              <w:rPr>
                <w:rFonts w:ascii="Times New Roman" w:hAnsi="Times New Roman" w:cs="Times New Roman"/>
                <w:iCs/>
                <w:sz w:val="16"/>
                <w:szCs w:val="16"/>
              </w:rPr>
            </w:pPr>
            <w:r w:rsidRPr="006C0F8A">
              <w:rPr>
                <w:rFonts w:ascii="Times New Roman" w:hAnsi="Times New Roman" w:cs="Times New Roman"/>
                <w:iCs/>
                <w:sz w:val="16"/>
                <w:szCs w:val="16"/>
              </w:rPr>
              <w:t>United</w:t>
            </w:r>
          </w:p>
          <w:p w14:paraId="69CC43E7" w14:textId="5C5E3C4C" w:rsidR="0064124E" w:rsidRPr="00F728BA" w:rsidRDefault="0064124E" w:rsidP="0064124E">
            <w:pPr>
              <w:rPr>
                <w:rFonts w:ascii="Times New Roman" w:hAnsi="Times New Roman" w:cs="Times New Roman"/>
                <w:iCs/>
                <w:sz w:val="16"/>
                <w:szCs w:val="16"/>
              </w:rPr>
            </w:pPr>
            <w:r w:rsidRPr="006C0F8A">
              <w:rPr>
                <w:rFonts w:ascii="Times New Roman" w:hAnsi="Times New Roman" w:cs="Times New Roman"/>
                <w:iCs/>
                <w:sz w:val="16"/>
                <w:szCs w:val="16"/>
              </w:rPr>
              <w:t>Engine</w:t>
            </w:r>
            <w:r w:rsidR="00F728BA">
              <w:rPr>
                <w:rFonts w:ascii="Times New Roman" w:hAnsi="Times New Roman" w:cs="Times New Roman"/>
                <w:iCs/>
                <w:sz w:val="16"/>
                <w:szCs w:val="16"/>
              </w:rPr>
              <w:t xml:space="preserve"> </w:t>
            </w:r>
            <w:r w:rsidRPr="006C0F8A">
              <w:rPr>
                <w:rFonts w:ascii="Times New Roman" w:hAnsi="Times New Roman" w:cs="Times New Roman"/>
                <w:iCs/>
                <w:sz w:val="16"/>
                <w:szCs w:val="16"/>
              </w:rPr>
              <w:t>C.</w:t>
            </w:r>
          </w:p>
        </w:tc>
        <w:tc>
          <w:tcPr>
            <w:tcW w:w="664" w:type="dxa"/>
            <w:tcBorders>
              <w:top w:val="nil"/>
              <w:left w:val="nil"/>
              <w:bottom w:val="single" w:sz="4" w:space="0" w:color="auto"/>
              <w:right w:val="single" w:sz="4" w:space="0" w:color="auto"/>
            </w:tcBorders>
            <w:noWrap/>
            <w:tcMar>
              <w:left w:w="28" w:type="dxa"/>
              <w:right w:w="28" w:type="dxa"/>
            </w:tcMar>
            <w:hideMark/>
          </w:tcPr>
          <w:p w14:paraId="5C55D9D8"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129.7</w:t>
            </w:r>
          </w:p>
        </w:tc>
        <w:tc>
          <w:tcPr>
            <w:tcW w:w="770" w:type="dxa"/>
            <w:tcBorders>
              <w:top w:val="nil"/>
              <w:left w:val="nil"/>
              <w:bottom w:val="single" w:sz="4" w:space="0" w:color="auto"/>
              <w:right w:val="single" w:sz="4" w:space="0" w:color="auto"/>
            </w:tcBorders>
            <w:noWrap/>
            <w:tcMar>
              <w:left w:w="28" w:type="dxa"/>
              <w:right w:w="28" w:type="dxa"/>
            </w:tcMar>
          </w:tcPr>
          <w:p w14:paraId="6493270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203,126.8</w:t>
            </w:r>
          </w:p>
        </w:tc>
        <w:tc>
          <w:tcPr>
            <w:tcW w:w="664" w:type="dxa"/>
            <w:tcBorders>
              <w:top w:val="nil"/>
              <w:left w:val="nil"/>
              <w:bottom w:val="single" w:sz="4" w:space="0" w:color="auto"/>
              <w:right w:val="single" w:sz="4" w:space="0" w:color="auto"/>
            </w:tcBorders>
            <w:noWrap/>
            <w:tcMar>
              <w:left w:w="28" w:type="dxa"/>
              <w:right w:w="28" w:type="dxa"/>
            </w:tcMar>
          </w:tcPr>
          <w:p w14:paraId="7C4C550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185.9</w:t>
            </w:r>
          </w:p>
        </w:tc>
        <w:tc>
          <w:tcPr>
            <w:tcW w:w="825" w:type="dxa"/>
            <w:tcBorders>
              <w:top w:val="nil"/>
              <w:left w:val="nil"/>
              <w:bottom w:val="single" w:sz="4" w:space="0" w:color="auto"/>
              <w:right w:val="single" w:sz="4" w:space="0" w:color="auto"/>
            </w:tcBorders>
            <w:noWrap/>
            <w:tcMar>
              <w:left w:w="28" w:type="dxa"/>
              <w:right w:w="28" w:type="dxa"/>
            </w:tcMar>
          </w:tcPr>
          <w:p w14:paraId="17663367"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309,837.1</w:t>
            </w:r>
          </w:p>
        </w:tc>
        <w:tc>
          <w:tcPr>
            <w:tcW w:w="480" w:type="dxa"/>
            <w:tcBorders>
              <w:top w:val="nil"/>
              <w:left w:val="nil"/>
              <w:bottom w:val="single" w:sz="4" w:space="0" w:color="auto"/>
              <w:right w:val="single" w:sz="4" w:space="0" w:color="auto"/>
            </w:tcBorders>
            <w:noWrap/>
            <w:tcMar>
              <w:left w:w="11" w:type="dxa"/>
              <w:right w:w="11" w:type="dxa"/>
            </w:tcMar>
          </w:tcPr>
          <w:p w14:paraId="46CEABB1" w14:textId="77777777" w:rsidR="0064124E" w:rsidRPr="0087169D" w:rsidRDefault="0064124E" w:rsidP="0087169D">
            <w:pPr>
              <w:rPr>
                <w:rFonts w:ascii="Times New Roman" w:hAnsi="Times New Roman" w:cs="Times New Roman"/>
                <w:iCs/>
                <w:spacing w:val="-4"/>
                <w:sz w:val="16"/>
                <w:szCs w:val="16"/>
                <w:lang w:val="ru-RU"/>
              </w:rPr>
            </w:pPr>
            <w:r w:rsidRPr="0087169D">
              <w:rPr>
                <w:rFonts w:ascii="Times New Roman" w:hAnsi="Times New Roman" w:cs="Times New Roman"/>
                <w:iCs/>
                <w:spacing w:val="-4"/>
                <w:sz w:val="16"/>
                <w:szCs w:val="16"/>
                <w:lang w:val="ru-RU"/>
              </w:rPr>
              <w:t>3,998.2</w:t>
            </w:r>
          </w:p>
        </w:tc>
        <w:tc>
          <w:tcPr>
            <w:tcW w:w="728" w:type="dxa"/>
            <w:tcBorders>
              <w:top w:val="nil"/>
              <w:left w:val="nil"/>
              <w:bottom w:val="single" w:sz="4" w:space="0" w:color="auto"/>
              <w:right w:val="single" w:sz="4" w:space="0" w:color="auto"/>
            </w:tcBorders>
            <w:noWrap/>
            <w:tcMar>
              <w:left w:w="28" w:type="dxa"/>
              <w:right w:w="28" w:type="dxa"/>
            </w:tcMar>
          </w:tcPr>
          <w:p w14:paraId="019D84C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42,185.0</w:t>
            </w:r>
          </w:p>
        </w:tc>
        <w:tc>
          <w:tcPr>
            <w:tcW w:w="590" w:type="dxa"/>
            <w:tcBorders>
              <w:top w:val="nil"/>
              <w:left w:val="nil"/>
              <w:bottom w:val="single" w:sz="4" w:space="0" w:color="auto"/>
              <w:right w:val="single" w:sz="4" w:space="0" w:color="auto"/>
            </w:tcBorders>
            <w:noWrap/>
            <w:tcMar>
              <w:left w:w="28" w:type="dxa"/>
              <w:right w:w="28" w:type="dxa"/>
            </w:tcMar>
          </w:tcPr>
          <w:p w14:paraId="12FAF00E"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106.1</w:t>
            </w:r>
          </w:p>
        </w:tc>
        <w:tc>
          <w:tcPr>
            <w:tcW w:w="628" w:type="dxa"/>
            <w:tcBorders>
              <w:top w:val="nil"/>
              <w:left w:val="nil"/>
              <w:bottom w:val="single" w:sz="4" w:space="0" w:color="auto"/>
              <w:right w:val="single" w:sz="4" w:space="0" w:color="auto"/>
            </w:tcBorders>
            <w:noWrap/>
            <w:tcMar>
              <w:left w:w="28" w:type="dxa"/>
              <w:right w:w="28" w:type="dxa"/>
            </w:tcMar>
          </w:tcPr>
          <w:p w14:paraId="3FD7F9F1"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7,737.2</w:t>
            </w:r>
          </w:p>
        </w:tc>
        <w:tc>
          <w:tcPr>
            <w:tcW w:w="590" w:type="dxa"/>
            <w:tcBorders>
              <w:top w:val="nil"/>
              <w:left w:val="nil"/>
              <w:bottom w:val="single" w:sz="4" w:space="0" w:color="auto"/>
              <w:right w:val="single" w:sz="4" w:space="0" w:color="auto"/>
            </w:tcBorders>
            <w:noWrap/>
            <w:tcMar>
              <w:left w:w="28" w:type="dxa"/>
              <w:right w:w="28" w:type="dxa"/>
            </w:tcMar>
          </w:tcPr>
          <w:p w14:paraId="5B9C620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.107</w:t>
            </w:r>
          </w:p>
        </w:tc>
        <w:tc>
          <w:tcPr>
            <w:tcW w:w="664" w:type="dxa"/>
            <w:tcBorders>
              <w:top w:val="nil"/>
              <w:left w:val="nil"/>
              <w:bottom w:val="single" w:sz="4" w:space="0" w:color="auto"/>
              <w:right w:val="single" w:sz="4" w:space="0" w:color="auto"/>
            </w:tcBorders>
            <w:noWrap/>
            <w:tcMar>
              <w:left w:w="28" w:type="dxa"/>
              <w:right w:w="28" w:type="dxa"/>
            </w:tcMar>
          </w:tcPr>
          <w:p w14:paraId="1968EBF4"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41,678.8</w:t>
            </w:r>
          </w:p>
        </w:tc>
      </w:tr>
      <w:tr w:rsidR="00092C31" w:rsidRPr="00BE12C4" w14:paraId="796AFA5E" w14:textId="77777777" w:rsidTr="00F728BA">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42DE03A2" w14:textId="77777777" w:rsidR="000031C5" w:rsidRDefault="0064124E" w:rsidP="0087169D">
            <w:pPr>
              <w:spacing w:line="216" w:lineRule="auto"/>
              <w:rPr>
                <w:rFonts w:ascii="Times New Roman" w:hAnsi="Times New Roman" w:cs="Times New Roman"/>
                <w:iCs/>
                <w:sz w:val="16"/>
                <w:szCs w:val="16"/>
                <w:lang w:val="ru-RU"/>
              </w:rPr>
            </w:pPr>
            <w:r w:rsidRPr="006C0F8A">
              <w:rPr>
                <w:rFonts w:ascii="Times New Roman" w:hAnsi="Times New Roman" w:cs="Times New Roman"/>
                <w:iCs/>
                <w:sz w:val="16"/>
                <w:szCs w:val="16"/>
                <w:lang w:val="ru-RU"/>
              </w:rPr>
              <w:t xml:space="preserve">High </w:t>
            </w:r>
          </w:p>
          <w:p w14:paraId="09AF4A6B" w14:textId="16AE96DB" w:rsidR="0064124E" w:rsidRPr="00BE12C4" w:rsidRDefault="0064124E" w:rsidP="0087169D">
            <w:pPr>
              <w:spacing w:line="216" w:lineRule="auto"/>
              <w:rPr>
                <w:rFonts w:ascii="Times New Roman" w:hAnsi="Times New Roman" w:cs="Times New Roman"/>
                <w:iCs/>
                <w:sz w:val="16"/>
                <w:szCs w:val="16"/>
                <w:lang w:val="ru-RU"/>
              </w:rPr>
            </w:pPr>
            <w:r w:rsidRPr="006C0F8A">
              <w:rPr>
                <w:rFonts w:ascii="Times New Roman" w:hAnsi="Times New Roman" w:cs="Times New Roman"/>
                <w:iCs/>
                <w:sz w:val="16"/>
                <w:szCs w:val="16"/>
                <w:lang w:val="ru-RU"/>
              </w:rPr>
              <w:t>Precision Systems</w:t>
            </w:r>
          </w:p>
        </w:tc>
        <w:tc>
          <w:tcPr>
            <w:tcW w:w="664" w:type="dxa"/>
            <w:tcBorders>
              <w:top w:val="nil"/>
              <w:left w:val="nil"/>
              <w:bottom w:val="single" w:sz="4" w:space="0" w:color="auto"/>
              <w:right w:val="single" w:sz="4" w:space="0" w:color="auto"/>
            </w:tcBorders>
            <w:noWrap/>
            <w:tcMar>
              <w:left w:w="28" w:type="dxa"/>
              <w:right w:w="28" w:type="dxa"/>
            </w:tcMar>
            <w:hideMark/>
          </w:tcPr>
          <w:p w14:paraId="24C6ABD6" w14:textId="77777777" w:rsidR="0064124E" w:rsidRPr="00BE12C4" w:rsidRDefault="0064124E" w:rsidP="0087169D">
            <w:pPr>
              <w:spacing w:line="192" w:lineRule="auto"/>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14.4</w:t>
            </w:r>
          </w:p>
        </w:tc>
        <w:tc>
          <w:tcPr>
            <w:tcW w:w="770" w:type="dxa"/>
            <w:tcBorders>
              <w:top w:val="nil"/>
              <w:left w:val="nil"/>
              <w:bottom w:val="single" w:sz="4" w:space="0" w:color="auto"/>
              <w:right w:val="single" w:sz="4" w:space="0" w:color="auto"/>
            </w:tcBorders>
            <w:noWrap/>
            <w:tcMar>
              <w:left w:w="28" w:type="dxa"/>
              <w:right w:w="28" w:type="dxa"/>
            </w:tcMar>
          </w:tcPr>
          <w:p w14:paraId="74BAF6B9" w14:textId="77777777" w:rsidR="0064124E" w:rsidRPr="00BE12C4" w:rsidRDefault="0064124E" w:rsidP="0087169D">
            <w:pPr>
              <w:spacing w:line="192" w:lineRule="auto"/>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70,070.7</w:t>
            </w:r>
          </w:p>
        </w:tc>
        <w:tc>
          <w:tcPr>
            <w:tcW w:w="664" w:type="dxa"/>
            <w:tcBorders>
              <w:top w:val="nil"/>
              <w:left w:val="nil"/>
              <w:bottom w:val="single" w:sz="4" w:space="0" w:color="auto"/>
              <w:right w:val="single" w:sz="4" w:space="0" w:color="auto"/>
            </w:tcBorders>
            <w:noWrap/>
            <w:tcMar>
              <w:left w:w="28" w:type="dxa"/>
              <w:right w:w="28" w:type="dxa"/>
            </w:tcMar>
          </w:tcPr>
          <w:p w14:paraId="43980A1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16512</w:t>
            </w:r>
          </w:p>
        </w:tc>
        <w:tc>
          <w:tcPr>
            <w:tcW w:w="825" w:type="dxa"/>
            <w:tcBorders>
              <w:top w:val="nil"/>
              <w:left w:val="nil"/>
              <w:bottom w:val="single" w:sz="4" w:space="0" w:color="auto"/>
              <w:right w:val="single" w:sz="4" w:space="0" w:color="auto"/>
            </w:tcBorders>
            <w:noWrap/>
            <w:tcMar>
              <w:left w:w="28" w:type="dxa"/>
              <w:right w:w="28" w:type="dxa"/>
            </w:tcMar>
          </w:tcPr>
          <w:p w14:paraId="3AC73FE9"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71,596.8</w:t>
            </w:r>
          </w:p>
        </w:tc>
        <w:tc>
          <w:tcPr>
            <w:tcW w:w="480" w:type="dxa"/>
            <w:tcBorders>
              <w:top w:val="nil"/>
              <w:left w:val="nil"/>
              <w:bottom w:val="single" w:sz="4" w:space="0" w:color="auto"/>
              <w:right w:val="single" w:sz="4" w:space="0" w:color="auto"/>
            </w:tcBorders>
            <w:noWrap/>
            <w:tcMar>
              <w:left w:w="28" w:type="dxa"/>
              <w:right w:w="28" w:type="dxa"/>
            </w:tcMar>
          </w:tcPr>
          <w:p w14:paraId="08EBB2A7"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13.7</w:t>
            </w:r>
          </w:p>
        </w:tc>
        <w:tc>
          <w:tcPr>
            <w:tcW w:w="728" w:type="dxa"/>
            <w:tcBorders>
              <w:top w:val="nil"/>
              <w:left w:val="nil"/>
              <w:bottom w:val="single" w:sz="4" w:space="0" w:color="auto"/>
              <w:right w:val="single" w:sz="4" w:space="0" w:color="auto"/>
            </w:tcBorders>
            <w:noWrap/>
            <w:tcMar>
              <w:left w:w="28" w:type="dxa"/>
              <w:right w:w="28" w:type="dxa"/>
            </w:tcMar>
          </w:tcPr>
          <w:p w14:paraId="55315E7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8,607.9</w:t>
            </w:r>
          </w:p>
        </w:tc>
        <w:tc>
          <w:tcPr>
            <w:tcW w:w="590" w:type="dxa"/>
            <w:tcBorders>
              <w:top w:val="nil"/>
              <w:left w:val="nil"/>
              <w:bottom w:val="single" w:sz="4" w:space="0" w:color="auto"/>
              <w:right w:val="single" w:sz="4" w:space="0" w:color="auto"/>
            </w:tcBorders>
            <w:noWrap/>
            <w:tcMar>
              <w:left w:w="28" w:type="dxa"/>
              <w:right w:w="28" w:type="dxa"/>
            </w:tcMar>
          </w:tcPr>
          <w:p w14:paraId="62013AF1" w14:textId="01D7EC55"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w:t>
            </w:r>
            <w:r w:rsidR="0087169D">
              <w:rPr>
                <w:rFonts w:ascii="Times New Roman" w:hAnsi="Times New Roman" w:cs="Times New Roman"/>
                <w:iCs/>
                <w:sz w:val="16"/>
                <w:szCs w:val="16"/>
                <w:lang w:val="en-US"/>
              </w:rPr>
              <w:t xml:space="preserve"> </w:t>
            </w:r>
            <w:r w:rsidRPr="00BE12C4">
              <w:rPr>
                <w:rFonts w:ascii="Times New Roman" w:hAnsi="Times New Roman" w:cs="Times New Roman"/>
                <w:iCs/>
                <w:sz w:val="16"/>
                <w:szCs w:val="16"/>
                <w:lang w:val="ru-RU"/>
              </w:rPr>
              <w:t>.646</w:t>
            </w:r>
          </w:p>
        </w:tc>
        <w:tc>
          <w:tcPr>
            <w:tcW w:w="628" w:type="dxa"/>
            <w:tcBorders>
              <w:top w:val="nil"/>
              <w:left w:val="nil"/>
              <w:bottom w:val="single" w:sz="4" w:space="0" w:color="auto"/>
              <w:right w:val="single" w:sz="4" w:space="0" w:color="auto"/>
            </w:tcBorders>
            <w:noWrap/>
            <w:tcMar>
              <w:left w:w="28" w:type="dxa"/>
              <w:right w:w="28" w:type="dxa"/>
            </w:tcMar>
          </w:tcPr>
          <w:p w14:paraId="643F0F3B"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5,525.0</w:t>
            </w:r>
          </w:p>
        </w:tc>
        <w:tc>
          <w:tcPr>
            <w:tcW w:w="590" w:type="dxa"/>
            <w:tcBorders>
              <w:top w:val="nil"/>
              <w:left w:val="nil"/>
              <w:bottom w:val="single" w:sz="4" w:space="0" w:color="auto"/>
              <w:right w:val="single" w:sz="4" w:space="0" w:color="auto"/>
            </w:tcBorders>
            <w:noWrap/>
            <w:tcMar>
              <w:left w:w="28" w:type="dxa"/>
              <w:right w:w="28" w:type="dxa"/>
            </w:tcMar>
          </w:tcPr>
          <w:p w14:paraId="623848E9"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0</w:t>
            </w:r>
          </w:p>
        </w:tc>
        <w:tc>
          <w:tcPr>
            <w:tcW w:w="664" w:type="dxa"/>
            <w:tcBorders>
              <w:top w:val="nil"/>
              <w:left w:val="nil"/>
              <w:bottom w:val="single" w:sz="4" w:space="0" w:color="auto"/>
              <w:right w:val="single" w:sz="4" w:space="0" w:color="auto"/>
            </w:tcBorders>
            <w:noWrap/>
            <w:tcMar>
              <w:left w:w="28" w:type="dxa"/>
              <w:right w:w="28" w:type="dxa"/>
            </w:tcMar>
          </w:tcPr>
          <w:p w14:paraId="245203DD"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1.5</w:t>
            </w:r>
          </w:p>
        </w:tc>
      </w:tr>
      <w:tr w:rsidR="00092C31" w:rsidRPr="00BE12C4" w14:paraId="1E92CE9C" w14:textId="77777777" w:rsidTr="00F728BA">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1813D41F" w14:textId="77777777" w:rsidR="0064124E" w:rsidRPr="00BE12C4" w:rsidRDefault="0064124E" w:rsidP="0064124E">
            <w:pPr>
              <w:rPr>
                <w:rFonts w:ascii="Times New Roman" w:hAnsi="Times New Roman" w:cs="Times New Roman"/>
                <w:iCs/>
                <w:sz w:val="16"/>
                <w:szCs w:val="16"/>
                <w:lang w:val="ru-RU"/>
              </w:rPr>
            </w:pPr>
            <w:r w:rsidRPr="0064124E">
              <w:rPr>
                <w:rFonts w:ascii="Times New Roman" w:hAnsi="Times New Roman" w:cs="Times New Roman"/>
                <w:iCs/>
                <w:sz w:val="16"/>
                <w:szCs w:val="16"/>
                <w:lang w:val="ru-RU"/>
              </w:rPr>
              <w:t>KRET</w:t>
            </w:r>
          </w:p>
        </w:tc>
        <w:tc>
          <w:tcPr>
            <w:tcW w:w="664" w:type="dxa"/>
            <w:tcBorders>
              <w:top w:val="nil"/>
              <w:left w:val="nil"/>
              <w:bottom w:val="single" w:sz="4" w:space="0" w:color="auto"/>
              <w:right w:val="single" w:sz="4" w:space="0" w:color="auto"/>
            </w:tcBorders>
            <w:noWrap/>
            <w:tcMar>
              <w:left w:w="28" w:type="dxa"/>
              <w:right w:w="28" w:type="dxa"/>
            </w:tcMar>
            <w:vAlign w:val="center"/>
            <w:hideMark/>
          </w:tcPr>
          <w:p w14:paraId="4BBD795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15.0</w:t>
            </w:r>
          </w:p>
        </w:tc>
        <w:tc>
          <w:tcPr>
            <w:tcW w:w="770" w:type="dxa"/>
            <w:tcBorders>
              <w:top w:val="nil"/>
              <w:left w:val="nil"/>
              <w:bottom w:val="single" w:sz="4" w:space="0" w:color="auto"/>
              <w:right w:val="single" w:sz="4" w:space="0" w:color="auto"/>
            </w:tcBorders>
            <w:noWrap/>
            <w:tcMar>
              <w:left w:w="28" w:type="dxa"/>
              <w:right w:w="28" w:type="dxa"/>
            </w:tcMar>
            <w:vAlign w:val="center"/>
          </w:tcPr>
          <w:p w14:paraId="3EE59EEE"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75,973.9</w:t>
            </w:r>
          </w:p>
        </w:tc>
        <w:tc>
          <w:tcPr>
            <w:tcW w:w="664" w:type="dxa"/>
            <w:tcBorders>
              <w:top w:val="nil"/>
              <w:left w:val="nil"/>
              <w:bottom w:val="single" w:sz="4" w:space="0" w:color="auto"/>
              <w:right w:val="single" w:sz="4" w:space="0" w:color="auto"/>
            </w:tcBorders>
            <w:noWrap/>
            <w:tcMar>
              <w:left w:w="28" w:type="dxa"/>
              <w:right w:w="28" w:type="dxa"/>
            </w:tcMar>
            <w:vAlign w:val="center"/>
          </w:tcPr>
          <w:p w14:paraId="0A0EE881"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14.6</w:t>
            </w:r>
          </w:p>
        </w:tc>
        <w:tc>
          <w:tcPr>
            <w:tcW w:w="825" w:type="dxa"/>
            <w:tcBorders>
              <w:top w:val="nil"/>
              <w:left w:val="nil"/>
              <w:bottom w:val="single" w:sz="4" w:space="0" w:color="auto"/>
              <w:right w:val="single" w:sz="4" w:space="0" w:color="auto"/>
            </w:tcBorders>
            <w:noWrap/>
            <w:tcMar>
              <w:left w:w="28" w:type="dxa"/>
              <w:right w:w="28" w:type="dxa"/>
            </w:tcMar>
            <w:vAlign w:val="center"/>
          </w:tcPr>
          <w:p w14:paraId="78FA60BF"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101,771.4</w:t>
            </w:r>
          </w:p>
        </w:tc>
        <w:tc>
          <w:tcPr>
            <w:tcW w:w="480" w:type="dxa"/>
            <w:tcBorders>
              <w:top w:val="nil"/>
              <w:left w:val="nil"/>
              <w:bottom w:val="single" w:sz="4" w:space="0" w:color="auto"/>
              <w:right w:val="single" w:sz="4" w:space="0" w:color="auto"/>
            </w:tcBorders>
            <w:noWrap/>
            <w:tcMar>
              <w:left w:w="28" w:type="dxa"/>
              <w:right w:w="28" w:type="dxa"/>
            </w:tcMar>
            <w:vAlign w:val="center"/>
          </w:tcPr>
          <w:p w14:paraId="385E6EF5"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0</w:t>
            </w:r>
          </w:p>
        </w:tc>
        <w:tc>
          <w:tcPr>
            <w:tcW w:w="728" w:type="dxa"/>
            <w:tcBorders>
              <w:top w:val="nil"/>
              <w:left w:val="nil"/>
              <w:bottom w:val="single" w:sz="4" w:space="0" w:color="auto"/>
              <w:right w:val="single" w:sz="4" w:space="0" w:color="auto"/>
            </w:tcBorders>
            <w:noWrap/>
            <w:tcMar>
              <w:left w:w="28" w:type="dxa"/>
              <w:right w:w="28" w:type="dxa"/>
            </w:tcMar>
            <w:vAlign w:val="center"/>
          </w:tcPr>
          <w:p w14:paraId="19D37251"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28,714.2</w:t>
            </w:r>
          </w:p>
        </w:tc>
        <w:tc>
          <w:tcPr>
            <w:tcW w:w="590" w:type="dxa"/>
            <w:tcBorders>
              <w:top w:val="nil"/>
              <w:left w:val="nil"/>
              <w:bottom w:val="single" w:sz="4" w:space="0" w:color="auto"/>
              <w:right w:val="single" w:sz="4" w:space="0" w:color="auto"/>
            </w:tcBorders>
            <w:noWrap/>
            <w:tcMar>
              <w:left w:w="28" w:type="dxa"/>
              <w:right w:w="28" w:type="dxa"/>
            </w:tcMar>
            <w:vAlign w:val="center"/>
          </w:tcPr>
          <w:p w14:paraId="5FD5419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- 1.277</w:t>
            </w:r>
          </w:p>
        </w:tc>
        <w:tc>
          <w:tcPr>
            <w:tcW w:w="628" w:type="dxa"/>
            <w:tcBorders>
              <w:top w:val="nil"/>
              <w:left w:val="nil"/>
              <w:bottom w:val="single" w:sz="4" w:space="0" w:color="auto"/>
              <w:right w:val="single" w:sz="4" w:space="0" w:color="auto"/>
            </w:tcBorders>
            <w:noWrap/>
            <w:tcMar>
              <w:left w:w="28" w:type="dxa"/>
              <w:right w:w="28" w:type="dxa"/>
            </w:tcMar>
            <w:vAlign w:val="center"/>
          </w:tcPr>
          <w:p w14:paraId="13418E6E"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7,960.2</w:t>
            </w:r>
          </w:p>
        </w:tc>
        <w:tc>
          <w:tcPr>
            <w:tcW w:w="590" w:type="dxa"/>
            <w:tcBorders>
              <w:top w:val="nil"/>
              <w:left w:val="nil"/>
              <w:bottom w:val="single" w:sz="4" w:space="0" w:color="auto"/>
              <w:right w:val="single" w:sz="4" w:space="0" w:color="auto"/>
            </w:tcBorders>
            <w:noWrap/>
            <w:tcMar>
              <w:left w:w="28" w:type="dxa"/>
              <w:right w:w="28" w:type="dxa"/>
            </w:tcMar>
            <w:vAlign w:val="center"/>
          </w:tcPr>
          <w:p w14:paraId="5501C64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0</w:t>
            </w:r>
          </w:p>
        </w:tc>
        <w:tc>
          <w:tcPr>
            <w:tcW w:w="664" w:type="dxa"/>
            <w:tcBorders>
              <w:top w:val="nil"/>
              <w:left w:val="nil"/>
              <w:bottom w:val="single" w:sz="4" w:space="0" w:color="auto"/>
              <w:right w:val="single" w:sz="4" w:space="0" w:color="auto"/>
            </w:tcBorders>
            <w:noWrap/>
            <w:tcMar>
              <w:left w:w="28" w:type="dxa"/>
              <w:right w:w="28" w:type="dxa"/>
            </w:tcMar>
            <w:vAlign w:val="center"/>
          </w:tcPr>
          <w:p w14:paraId="401FC9F0"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6,668.1</w:t>
            </w:r>
          </w:p>
        </w:tc>
      </w:tr>
      <w:tr w:rsidR="00713BCE" w:rsidRPr="00BE12C4" w14:paraId="74581E38" w14:textId="77777777" w:rsidTr="00713BCE">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hideMark/>
          </w:tcPr>
          <w:p w14:paraId="010D0906" w14:textId="628BC1B4" w:rsidR="0064124E" w:rsidRPr="00BE12C4" w:rsidRDefault="0064124E" w:rsidP="0064124E">
            <w:pPr>
              <w:rPr>
                <w:rFonts w:ascii="Times New Roman" w:hAnsi="Times New Roman" w:cs="Times New Roman"/>
                <w:iCs/>
                <w:sz w:val="16"/>
                <w:szCs w:val="16"/>
                <w:lang w:val="ru-RU"/>
              </w:rPr>
            </w:pPr>
            <w:r w:rsidRPr="0064124E">
              <w:rPr>
                <w:rFonts w:ascii="Times New Roman" w:hAnsi="Times New Roman" w:cs="Times New Roman"/>
                <w:iCs/>
                <w:sz w:val="16"/>
                <w:szCs w:val="16"/>
              </w:rPr>
              <w:t>UAC</w:t>
            </w:r>
          </w:p>
        </w:tc>
        <w:tc>
          <w:tcPr>
            <w:tcW w:w="664" w:type="dxa"/>
            <w:tcBorders>
              <w:top w:val="nil"/>
              <w:left w:val="nil"/>
              <w:bottom w:val="single" w:sz="4" w:space="0" w:color="auto"/>
              <w:right w:val="single" w:sz="4" w:space="0" w:color="auto"/>
            </w:tcBorders>
            <w:noWrap/>
            <w:tcMar>
              <w:left w:w="28" w:type="dxa"/>
              <w:right w:w="28" w:type="dxa"/>
            </w:tcMar>
            <w:hideMark/>
          </w:tcPr>
          <w:p w14:paraId="6C1FD031" w14:textId="77777777" w:rsidR="0064124E" w:rsidRPr="00572E92" w:rsidRDefault="0064124E" w:rsidP="00F728BA">
            <w:pPr>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146,578.7</w:t>
            </w:r>
          </w:p>
        </w:tc>
        <w:tc>
          <w:tcPr>
            <w:tcW w:w="770" w:type="dxa"/>
            <w:tcBorders>
              <w:top w:val="nil"/>
              <w:left w:val="nil"/>
              <w:bottom w:val="single" w:sz="4" w:space="0" w:color="auto"/>
              <w:right w:val="single" w:sz="4" w:space="0" w:color="auto"/>
            </w:tcBorders>
            <w:noWrap/>
            <w:tcMar>
              <w:left w:w="28" w:type="dxa"/>
              <w:right w:w="28" w:type="dxa"/>
            </w:tcMar>
          </w:tcPr>
          <w:p w14:paraId="1B82DDAB"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310,226.3</w:t>
            </w:r>
          </w:p>
        </w:tc>
        <w:tc>
          <w:tcPr>
            <w:tcW w:w="664" w:type="dxa"/>
            <w:tcBorders>
              <w:top w:val="nil"/>
              <w:left w:val="nil"/>
              <w:bottom w:val="single" w:sz="4" w:space="0" w:color="auto"/>
              <w:right w:val="single" w:sz="4" w:space="0" w:color="auto"/>
            </w:tcBorders>
            <w:noWrap/>
            <w:tcMar>
              <w:left w:w="28" w:type="dxa"/>
              <w:right w:w="28" w:type="dxa"/>
            </w:tcMar>
          </w:tcPr>
          <w:p w14:paraId="067E9D80" w14:textId="77777777" w:rsidR="0064124E" w:rsidRPr="00572E92" w:rsidRDefault="0064124E" w:rsidP="00F728BA">
            <w:pPr>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171,085.4</w:t>
            </w:r>
          </w:p>
        </w:tc>
        <w:tc>
          <w:tcPr>
            <w:tcW w:w="825" w:type="dxa"/>
            <w:tcBorders>
              <w:top w:val="nil"/>
              <w:left w:val="nil"/>
              <w:bottom w:val="single" w:sz="4" w:space="0" w:color="auto"/>
              <w:right w:val="single" w:sz="4" w:space="0" w:color="auto"/>
            </w:tcBorders>
            <w:noWrap/>
            <w:tcMar>
              <w:left w:w="28" w:type="dxa"/>
              <w:right w:w="28" w:type="dxa"/>
            </w:tcMar>
          </w:tcPr>
          <w:p w14:paraId="426CE9B4"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468,790.8</w:t>
            </w:r>
          </w:p>
        </w:tc>
        <w:tc>
          <w:tcPr>
            <w:tcW w:w="480" w:type="dxa"/>
            <w:tcBorders>
              <w:top w:val="nil"/>
              <w:left w:val="nil"/>
              <w:bottom w:val="single" w:sz="4" w:space="0" w:color="auto"/>
              <w:right w:val="single" w:sz="4" w:space="0" w:color="auto"/>
            </w:tcBorders>
            <w:noWrap/>
            <w:tcMar>
              <w:left w:w="11" w:type="dxa"/>
              <w:right w:w="11" w:type="dxa"/>
            </w:tcMar>
          </w:tcPr>
          <w:p w14:paraId="674E6CB0" w14:textId="77777777" w:rsidR="0064124E" w:rsidRPr="00713BCE" w:rsidRDefault="0064124E" w:rsidP="0087169D">
            <w:pPr>
              <w:rPr>
                <w:rFonts w:ascii="Times New Roman" w:hAnsi="Times New Roman" w:cs="Times New Roman"/>
                <w:iCs/>
                <w:spacing w:val="-4"/>
                <w:sz w:val="16"/>
                <w:szCs w:val="16"/>
                <w:lang w:val="ru-RU"/>
              </w:rPr>
            </w:pPr>
            <w:r w:rsidRPr="00713BCE">
              <w:rPr>
                <w:rFonts w:ascii="Times New Roman" w:hAnsi="Times New Roman" w:cs="Times New Roman"/>
                <w:iCs/>
                <w:spacing w:val="-4"/>
                <w:sz w:val="16"/>
                <w:szCs w:val="16"/>
                <w:lang w:val="ru-RU"/>
              </w:rPr>
              <w:t>3,414.6</w:t>
            </w:r>
          </w:p>
        </w:tc>
        <w:tc>
          <w:tcPr>
            <w:tcW w:w="728" w:type="dxa"/>
            <w:tcBorders>
              <w:top w:val="nil"/>
              <w:left w:val="nil"/>
              <w:bottom w:val="single" w:sz="4" w:space="0" w:color="auto"/>
              <w:right w:val="single" w:sz="4" w:space="0" w:color="auto"/>
            </w:tcBorders>
            <w:noWrap/>
            <w:tcMar>
              <w:left w:w="28" w:type="dxa"/>
              <w:right w:w="28" w:type="dxa"/>
            </w:tcMar>
          </w:tcPr>
          <w:p w14:paraId="46AC9506"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52,678.3</w:t>
            </w:r>
          </w:p>
        </w:tc>
        <w:tc>
          <w:tcPr>
            <w:tcW w:w="590" w:type="dxa"/>
            <w:tcBorders>
              <w:top w:val="nil"/>
              <w:left w:val="nil"/>
              <w:bottom w:val="single" w:sz="4" w:space="0" w:color="auto"/>
              <w:right w:val="single" w:sz="4" w:space="0" w:color="auto"/>
            </w:tcBorders>
            <w:noWrap/>
            <w:tcMar>
              <w:left w:w="11" w:type="dxa"/>
              <w:right w:w="11" w:type="dxa"/>
            </w:tcMar>
          </w:tcPr>
          <w:p w14:paraId="65DDCF09" w14:textId="338799DE" w:rsidR="0064124E" w:rsidRPr="00572E92" w:rsidRDefault="00572E92" w:rsidP="0064124E">
            <w:pPr>
              <w:jc w:val="right"/>
              <w:rPr>
                <w:rFonts w:ascii="Times New Roman" w:hAnsi="Times New Roman" w:cs="Times New Roman"/>
                <w:iCs/>
                <w:spacing w:val="-8"/>
                <w:sz w:val="16"/>
                <w:szCs w:val="16"/>
                <w:lang w:val="ru-RU"/>
              </w:rPr>
            </w:pPr>
            <w:r w:rsidRPr="00572E92">
              <w:rPr>
                <w:rFonts w:ascii="Times New Roman" w:hAnsi="Times New Roman" w:cs="Times New Roman"/>
                <w:iCs/>
                <w:spacing w:val="-8"/>
                <w:sz w:val="16"/>
                <w:szCs w:val="16"/>
                <w:lang w:val="en-US"/>
              </w:rPr>
              <w:t>-</w:t>
            </w:r>
            <w:r w:rsidR="0064124E" w:rsidRPr="00572E92">
              <w:rPr>
                <w:rFonts w:ascii="Times New Roman" w:hAnsi="Times New Roman" w:cs="Times New Roman"/>
                <w:iCs/>
                <w:spacing w:val="-8"/>
                <w:sz w:val="16"/>
                <w:szCs w:val="16"/>
                <w:lang w:val="ru-RU"/>
              </w:rPr>
              <w:t>10,067.7</w:t>
            </w:r>
          </w:p>
        </w:tc>
        <w:tc>
          <w:tcPr>
            <w:tcW w:w="628" w:type="dxa"/>
            <w:tcBorders>
              <w:top w:val="nil"/>
              <w:left w:val="nil"/>
              <w:bottom w:val="single" w:sz="4" w:space="0" w:color="auto"/>
              <w:right w:val="single" w:sz="4" w:space="0" w:color="auto"/>
            </w:tcBorders>
            <w:noWrap/>
            <w:tcMar>
              <w:left w:w="11" w:type="dxa"/>
              <w:right w:w="11" w:type="dxa"/>
            </w:tcMar>
          </w:tcPr>
          <w:p w14:paraId="095C6D88" w14:textId="77777777" w:rsidR="0064124E" w:rsidRPr="00572E92" w:rsidRDefault="0064124E" w:rsidP="0064124E">
            <w:pPr>
              <w:jc w:val="right"/>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-29,995.3</w:t>
            </w:r>
          </w:p>
        </w:tc>
        <w:tc>
          <w:tcPr>
            <w:tcW w:w="590" w:type="dxa"/>
            <w:tcBorders>
              <w:top w:val="nil"/>
              <w:left w:val="nil"/>
              <w:bottom w:val="single" w:sz="4" w:space="0" w:color="auto"/>
              <w:right w:val="single" w:sz="4" w:space="0" w:color="auto"/>
            </w:tcBorders>
            <w:noWrap/>
            <w:tcMar>
              <w:left w:w="11" w:type="dxa"/>
              <w:right w:w="11" w:type="dxa"/>
            </w:tcMar>
          </w:tcPr>
          <w:p w14:paraId="39E2A50B" w14:textId="77777777" w:rsidR="0064124E" w:rsidRPr="00572E92" w:rsidRDefault="0064124E" w:rsidP="0064124E">
            <w:pPr>
              <w:jc w:val="right"/>
              <w:rPr>
                <w:rFonts w:ascii="Times New Roman" w:hAnsi="Times New Roman" w:cs="Times New Roman"/>
                <w:iCs/>
                <w:spacing w:val="-2"/>
                <w:sz w:val="16"/>
                <w:szCs w:val="16"/>
                <w:lang w:val="ru-RU"/>
              </w:rPr>
            </w:pPr>
            <w:r w:rsidRPr="00572E92">
              <w:rPr>
                <w:rFonts w:ascii="Times New Roman" w:hAnsi="Times New Roman" w:cs="Times New Roman"/>
                <w:iCs/>
                <w:spacing w:val="-2"/>
                <w:sz w:val="16"/>
                <w:szCs w:val="16"/>
                <w:lang w:val="ru-RU"/>
              </w:rPr>
              <w:t>17,597.5</w:t>
            </w:r>
          </w:p>
        </w:tc>
        <w:tc>
          <w:tcPr>
            <w:tcW w:w="664" w:type="dxa"/>
            <w:tcBorders>
              <w:top w:val="nil"/>
              <w:left w:val="nil"/>
              <w:bottom w:val="single" w:sz="4" w:space="0" w:color="auto"/>
              <w:right w:val="single" w:sz="4" w:space="0" w:color="auto"/>
            </w:tcBorders>
            <w:noWrap/>
            <w:tcMar>
              <w:left w:w="28" w:type="dxa"/>
              <w:right w:w="28" w:type="dxa"/>
            </w:tcMar>
          </w:tcPr>
          <w:p w14:paraId="46E25809"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56,460.8</w:t>
            </w:r>
          </w:p>
        </w:tc>
      </w:tr>
      <w:tr w:rsidR="00092C31" w:rsidRPr="00BE12C4" w14:paraId="61927926" w14:textId="77777777" w:rsidTr="00572E92">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hideMark/>
          </w:tcPr>
          <w:p w14:paraId="738C3916" w14:textId="6B317440" w:rsidR="0064124E" w:rsidRPr="00BE12C4" w:rsidRDefault="0064124E" w:rsidP="0064124E">
            <w:pPr>
              <w:rPr>
                <w:rFonts w:ascii="Times New Roman" w:hAnsi="Times New Roman" w:cs="Times New Roman"/>
                <w:iCs/>
                <w:sz w:val="16"/>
                <w:szCs w:val="16"/>
                <w:lang w:val="ru-RU"/>
              </w:rPr>
            </w:pPr>
            <w:r w:rsidRPr="0064124E">
              <w:rPr>
                <w:rFonts w:ascii="Times New Roman" w:hAnsi="Times New Roman" w:cs="Times New Roman"/>
                <w:iCs/>
                <w:sz w:val="16"/>
                <w:szCs w:val="16"/>
                <w:lang w:val="ru-RU"/>
              </w:rPr>
              <w:t>USC</w:t>
            </w:r>
          </w:p>
        </w:tc>
        <w:tc>
          <w:tcPr>
            <w:tcW w:w="664" w:type="dxa"/>
            <w:tcBorders>
              <w:top w:val="nil"/>
              <w:left w:val="nil"/>
              <w:bottom w:val="single" w:sz="4" w:space="0" w:color="auto"/>
              <w:right w:val="single" w:sz="4" w:space="0" w:color="auto"/>
            </w:tcBorders>
            <w:noWrap/>
            <w:tcMar>
              <w:left w:w="11" w:type="dxa"/>
              <w:right w:w="11" w:type="dxa"/>
            </w:tcMar>
            <w:hideMark/>
          </w:tcPr>
          <w:p w14:paraId="6576ECD0" w14:textId="77777777" w:rsidR="0064124E" w:rsidRPr="00572E92" w:rsidRDefault="0064124E" w:rsidP="00572E92">
            <w:pPr>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117,128.4</w:t>
            </w:r>
          </w:p>
        </w:tc>
        <w:tc>
          <w:tcPr>
            <w:tcW w:w="770" w:type="dxa"/>
            <w:tcBorders>
              <w:top w:val="nil"/>
              <w:left w:val="nil"/>
              <w:bottom w:val="single" w:sz="4" w:space="0" w:color="auto"/>
              <w:right w:val="single" w:sz="4" w:space="0" w:color="auto"/>
            </w:tcBorders>
            <w:noWrap/>
            <w:tcMar>
              <w:left w:w="28" w:type="dxa"/>
              <w:right w:w="28" w:type="dxa"/>
            </w:tcMar>
          </w:tcPr>
          <w:p w14:paraId="1E67D017"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249,827.5</w:t>
            </w:r>
          </w:p>
        </w:tc>
        <w:tc>
          <w:tcPr>
            <w:tcW w:w="664" w:type="dxa"/>
            <w:tcBorders>
              <w:top w:val="nil"/>
              <w:left w:val="nil"/>
              <w:bottom w:val="single" w:sz="4" w:space="0" w:color="auto"/>
              <w:right w:val="single" w:sz="4" w:space="0" w:color="auto"/>
            </w:tcBorders>
            <w:noWrap/>
            <w:tcMar>
              <w:left w:w="28" w:type="dxa"/>
              <w:right w:w="28" w:type="dxa"/>
            </w:tcMar>
          </w:tcPr>
          <w:p w14:paraId="0FA6C4BF" w14:textId="77777777" w:rsidR="0064124E" w:rsidRPr="00572E92" w:rsidRDefault="0064124E" w:rsidP="00572E92">
            <w:pPr>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136,277.1</w:t>
            </w:r>
          </w:p>
        </w:tc>
        <w:tc>
          <w:tcPr>
            <w:tcW w:w="825" w:type="dxa"/>
            <w:tcBorders>
              <w:top w:val="nil"/>
              <w:left w:val="nil"/>
              <w:bottom w:val="single" w:sz="4" w:space="0" w:color="auto"/>
              <w:right w:val="single" w:sz="4" w:space="0" w:color="auto"/>
            </w:tcBorders>
            <w:noWrap/>
            <w:tcMar>
              <w:left w:w="28" w:type="dxa"/>
              <w:right w:w="28" w:type="dxa"/>
            </w:tcMar>
          </w:tcPr>
          <w:p w14:paraId="0BD6845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795,157.2</w:t>
            </w:r>
          </w:p>
        </w:tc>
        <w:tc>
          <w:tcPr>
            <w:tcW w:w="480" w:type="dxa"/>
            <w:tcBorders>
              <w:top w:val="nil"/>
              <w:left w:val="nil"/>
              <w:bottom w:val="single" w:sz="4" w:space="0" w:color="auto"/>
              <w:right w:val="single" w:sz="4" w:space="0" w:color="auto"/>
            </w:tcBorders>
            <w:noWrap/>
            <w:tcMar>
              <w:left w:w="28" w:type="dxa"/>
              <w:right w:w="28" w:type="dxa"/>
            </w:tcMar>
          </w:tcPr>
          <w:p w14:paraId="3F9EE25B"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104.0</w:t>
            </w:r>
          </w:p>
        </w:tc>
        <w:tc>
          <w:tcPr>
            <w:tcW w:w="728" w:type="dxa"/>
            <w:tcBorders>
              <w:top w:val="nil"/>
              <w:left w:val="nil"/>
              <w:bottom w:val="single" w:sz="4" w:space="0" w:color="auto"/>
              <w:right w:val="single" w:sz="4" w:space="0" w:color="auto"/>
            </w:tcBorders>
            <w:noWrap/>
            <w:tcMar>
              <w:left w:w="28" w:type="dxa"/>
              <w:right w:w="28" w:type="dxa"/>
            </w:tcMar>
          </w:tcPr>
          <w:p w14:paraId="4D5E891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61,996.0</w:t>
            </w:r>
          </w:p>
        </w:tc>
        <w:tc>
          <w:tcPr>
            <w:tcW w:w="590" w:type="dxa"/>
            <w:tcBorders>
              <w:top w:val="nil"/>
              <w:left w:val="nil"/>
              <w:bottom w:val="single" w:sz="4" w:space="0" w:color="auto"/>
              <w:right w:val="single" w:sz="4" w:space="0" w:color="auto"/>
            </w:tcBorders>
            <w:noWrap/>
            <w:tcMar>
              <w:left w:w="28" w:type="dxa"/>
              <w:right w:w="28" w:type="dxa"/>
            </w:tcMar>
          </w:tcPr>
          <w:p w14:paraId="3EBEDF06"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96.2</w:t>
            </w:r>
          </w:p>
        </w:tc>
        <w:tc>
          <w:tcPr>
            <w:tcW w:w="628" w:type="dxa"/>
            <w:tcBorders>
              <w:top w:val="nil"/>
              <w:left w:val="nil"/>
              <w:bottom w:val="single" w:sz="4" w:space="0" w:color="auto"/>
              <w:right w:val="single" w:sz="4" w:space="0" w:color="auto"/>
            </w:tcBorders>
            <w:noWrap/>
            <w:tcMar>
              <w:left w:w="28" w:type="dxa"/>
              <w:right w:w="28" w:type="dxa"/>
            </w:tcMar>
          </w:tcPr>
          <w:p w14:paraId="3B7EB994"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294.6</w:t>
            </w:r>
          </w:p>
        </w:tc>
        <w:tc>
          <w:tcPr>
            <w:tcW w:w="590" w:type="dxa"/>
            <w:tcBorders>
              <w:top w:val="nil"/>
              <w:left w:val="nil"/>
              <w:bottom w:val="single" w:sz="4" w:space="0" w:color="auto"/>
              <w:right w:val="single" w:sz="4" w:space="0" w:color="auto"/>
            </w:tcBorders>
            <w:noWrap/>
            <w:tcMar>
              <w:left w:w="28" w:type="dxa"/>
              <w:right w:w="28" w:type="dxa"/>
            </w:tcMar>
          </w:tcPr>
          <w:p w14:paraId="07A238C9" w14:textId="77777777" w:rsidR="0064124E" w:rsidRPr="00572E92" w:rsidRDefault="0064124E" w:rsidP="00572E92">
            <w:pPr>
              <w:rPr>
                <w:rFonts w:ascii="Times New Roman" w:hAnsi="Times New Roman" w:cs="Times New Roman"/>
                <w:iCs/>
                <w:spacing w:val="-4"/>
                <w:sz w:val="16"/>
                <w:szCs w:val="16"/>
                <w:lang w:val="ru-RU"/>
              </w:rPr>
            </w:pPr>
            <w:r w:rsidRPr="00572E92">
              <w:rPr>
                <w:rFonts w:ascii="Times New Roman" w:hAnsi="Times New Roman" w:cs="Times New Roman"/>
                <w:iCs/>
                <w:spacing w:val="-4"/>
                <w:sz w:val="16"/>
                <w:szCs w:val="16"/>
                <w:lang w:val="ru-RU"/>
              </w:rPr>
              <w:t>11,624.8</w:t>
            </w:r>
          </w:p>
        </w:tc>
        <w:tc>
          <w:tcPr>
            <w:tcW w:w="664" w:type="dxa"/>
            <w:tcBorders>
              <w:top w:val="nil"/>
              <w:left w:val="nil"/>
              <w:bottom w:val="single" w:sz="4" w:space="0" w:color="auto"/>
              <w:right w:val="single" w:sz="4" w:space="0" w:color="auto"/>
            </w:tcBorders>
            <w:noWrap/>
            <w:tcMar>
              <w:left w:w="28" w:type="dxa"/>
              <w:right w:w="28" w:type="dxa"/>
            </w:tcMar>
          </w:tcPr>
          <w:p w14:paraId="75693E93" w14:textId="77777777" w:rsidR="0064124E" w:rsidRPr="00572E92" w:rsidRDefault="0064124E" w:rsidP="00572E92">
            <w:pPr>
              <w:rPr>
                <w:rFonts w:ascii="Times New Roman" w:hAnsi="Times New Roman" w:cs="Times New Roman"/>
                <w:iCs/>
                <w:spacing w:val="-6"/>
                <w:sz w:val="16"/>
                <w:szCs w:val="16"/>
                <w:lang w:val="ru-RU"/>
              </w:rPr>
            </w:pPr>
            <w:r w:rsidRPr="00572E92">
              <w:rPr>
                <w:rFonts w:ascii="Times New Roman" w:hAnsi="Times New Roman" w:cs="Times New Roman"/>
                <w:iCs/>
                <w:spacing w:val="-6"/>
                <w:sz w:val="16"/>
                <w:szCs w:val="16"/>
                <w:lang w:val="ru-RU"/>
              </w:rPr>
              <w:t>492,015.2</w:t>
            </w:r>
          </w:p>
        </w:tc>
      </w:tr>
      <w:tr w:rsidR="00092C31" w:rsidRPr="00BE12C4" w14:paraId="0D644484" w14:textId="77777777" w:rsidTr="0087169D">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hideMark/>
          </w:tcPr>
          <w:p w14:paraId="4534A1D7" w14:textId="77777777" w:rsidR="000031C5" w:rsidRDefault="0064124E" w:rsidP="0064124E">
            <w:pPr>
              <w:rPr>
                <w:rFonts w:ascii="Times New Roman" w:hAnsi="Times New Roman" w:cs="Times New Roman"/>
                <w:iCs/>
                <w:sz w:val="16"/>
                <w:szCs w:val="16"/>
              </w:rPr>
            </w:pPr>
            <w:r w:rsidRPr="0064124E">
              <w:rPr>
                <w:rFonts w:ascii="Times New Roman" w:hAnsi="Times New Roman" w:cs="Times New Roman"/>
                <w:iCs/>
                <w:sz w:val="16"/>
                <w:szCs w:val="16"/>
              </w:rPr>
              <w:t>Almaz-</w:t>
            </w:r>
          </w:p>
          <w:p w14:paraId="4B3E8870" w14:textId="5CB274B8" w:rsidR="0064124E" w:rsidRPr="00BE12C4" w:rsidRDefault="0064124E" w:rsidP="0064124E">
            <w:pPr>
              <w:rPr>
                <w:rFonts w:ascii="Times New Roman" w:hAnsi="Times New Roman" w:cs="Times New Roman"/>
                <w:iCs/>
                <w:sz w:val="16"/>
                <w:szCs w:val="16"/>
                <w:lang w:val="ru-RU"/>
              </w:rPr>
            </w:pPr>
            <w:r w:rsidRPr="0064124E">
              <w:rPr>
                <w:rFonts w:ascii="Times New Roman" w:hAnsi="Times New Roman" w:cs="Times New Roman"/>
                <w:iCs/>
                <w:sz w:val="16"/>
                <w:szCs w:val="16"/>
              </w:rPr>
              <w:t>Antey</w:t>
            </w:r>
          </w:p>
        </w:tc>
        <w:tc>
          <w:tcPr>
            <w:tcW w:w="664" w:type="dxa"/>
            <w:tcBorders>
              <w:top w:val="nil"/>
              <w:left w:val="nil"/>
              <w:bottom w:val="single" w:sz="4" w:space="0" w:color="auto"/>
              <w:right w:val="single" w:sz="4" w:space="0" w:color="auto"/>
            </w:tcBorders>
            <w:noWrap/>
            <w:tcMar>
              <w:left w:w="28" w:type="dxa"/>
              <w:right w:w="28" w:type="dxa"/>
            </w:tcMar>
            <w:hideMark/>
          </w:tcPr>
          <w:p w14:paraId="3904FE2A"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50,542.2</w:t>
            </w:r>
          </w:p>
        </w:tc>
        <w:tc>
          <w:tcPr>
            <w:tcW w:w="770" w:type="dxa"/>
            <w:tcBorders>
              <w:top w:val="nil"/>
              <w:left w:val="nil"/>
              <w:bottom w:val="single" w:sz="4" w:space="0" w:color="auto"/>
              <w:right w:val="single" w:sz="4" w:space="0" w:color="auto"/>
            </w:tcBorders>
            <w:noWrap/>
            <w:tcMar>
              <w:left w:w="28" w:type="dxa"/>
              <w:right w:w="28" w:type="dxa"/>
            </w:tcMar>
          </w:tcPr>
          <w:p w14:paraId="0F97640F"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12,789,8</w:t>
            </w:r>
          </w:p>
          <w:p w14:paraId="3DE63BE9" w14:textId="77777777" w:rsidR="0064124E" w:rsidRPr="00BE12C4" w:rsidRDefault="0064124E" w:rsidP="0087169D">
            <w:pPr>
              <w:jc w:val="center"/>
              <w:rPr>
                <w:rFonts w:ascii="Times New Roman" w:hAnsi="Times New Roman" w:cs="Times New Roman"/>
                <w:iCs/>
                <w:sz w:val="16"/>
                <w:szCs w:val="16"/>
                <w:lang w:val="ru-RU"/>
              </w:rPr>
            </w:pPr>
            <w:r w:rsidRPr="00BE12C4">
              <w:rPr>
                <w:rFonts w:ascii="Times New Roman" w:hAnsi="Times New Roman" w:cs="Times New Roman"/>
                <w:iCs/>
                <w:sz w:val="16"/>
                <w:szCs w:val="16"/>
                <w:lang w:val="ru-RU"/>
              </w:rPr>
              <w:t>(2016)</w:t>
            </w:r>
          </w:p>
        </w:tc>
        <w:tc>
          <w:tcPr>
            <w:tcW w:w="664" w:type="dxa"/>
            <w:tcBorders>
              <w:top w:val="nil"/>
              <w:left w:val="nil"/>
              <w:bottom w:val="single" w:sz="4" w:space="0" w:color="auto"/>
              <w:right w:val="single" w:sz="4" w:space="0" w:color="auto"/>
            </w:tcBorders>
            <w:noWrap/>
            <w:tcMar>
              <w:left w:w="28" w:type="dxa"/>
              <w:right w:w="28" w:type="dxa"/>
            </w:tcMar>
          </w:tcPr>
          <w:p w14:paraId="449536C8"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82,622.9</w:t>
            </w:r>
          </w:p>
        </w:tc>
        <w:tc>
          <w:tcPr>
            <w:tcW w:w="825" w:type="dxa"/>
            <w:tcBorders>
              <w:top w:val="nil"/>
              <w:left w:val="nil"/>
              <w:bottom w:val="single" w:sz="4" w:space="0" w:color="auto"/>
              <w:right w:val="single" w:sz="4" w:space="0" w:color="auto"/>
            </w:tcBorders>
            <w:noWrap/>
            <w:tcMar>
              <w:left w:w="28" w:type="dxa"/>
              <w:right w:w="28" w:type="dxa"/>
            </w:tcMar>
          </w:tcPr>
          <w:p w14:paraId="2B636808"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408,203.0</w:t>
            </w:r>
          </w:p>
        </w:tc>
        <w:tc>
          <w:tcPr>
            <w:tcW w:w="480" w:type="dxa"/>
            <w:tcBorders>
              <w:top w:val="nil"/>
              <w:left w:val="nil"/>
              <w:bottom w:val="single" w:sz="4" w:space="0" w:color="auto"/>
              <w:right w:val="single" w:sz="4" w:space="0" w:color="auto"/>
            </w:tcBorders>
            <w:noWrap/>
            <w:tcMar>
              <w:left w:w="11" w:type="dxa"/>
              <w:right w:w="11" w:type="dxa"/>
            </w:tcMar>
          </w:tcPr>
          <w:p w14:paraId="1F9AB86D" w14:textId="17F11BD4" w:rsidR="0064124E" w:rsidRPr="0087169D" w:rsidRDefault="0064124E" w:rsidP="00572E92">
            <w:pPr>
              <w:rPr>
                <w:rFonts w:ascii="Times New Roman" w:hAnsi="Times New Roman" w:cs="Times New Roman"/>
                <w:iCs/>
                <w:spacing w:val="-6"/>
                <w:sz w:val="16"/>
                <w:szCs w:val="16"/>
                <w:lang w:val="en-US"/>
              </w:rPr>
            </w:pPr>
            <w:r w:rsidRPr="0087169D">
              <w:rPr>
                <w:rFonts w:ascii="Times New Roman" w:hAnsi="Times New Roman" w:cs="Times New Roman"/>
                <w:iCs/>
                <w:spacing w:val="-6"/>
                <w:sz w:val="16"/>
                <w:szCs w:val="16"/>
                <w:lang w:val="ru-RU"/>
              </w:rPr>
              <w:t>15,889.</w:t>
            </w:r>
          </w:p>
        </w:tc>
        <w:tc>
          <w:tcPr>
            <w:tcW w:w="728" w:type="dxa"/>
            <w:tcBorders>
              <w:top w:val="nil"/>
              <w:left w:val="nil"/>
              <w:bottom w:val="single" w:sz="4" w:space="0" w:color="auto"/>
              <w:right w:val="single" w:sz="4" w:space="0" w:color="auto"/>
            </w:tcBorders>
            <w:noWrap/>
            <w:tcMar>
              <w:left w:w="28" w:type="dxa"/>
              <w:right w:w="28" w:type="dxa"/>
            </w:tcMar>
          </w:tcPr>
          <w:p w14:paraId="0DA1E5F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212,439.1</w:t>
            </w:r>
          </w:p>
        </w:tc>
        <w:tc>
          <w:tcPr>
            <w:tcW w:w="590" w:type="dxa"/>
            <w:tcBorders>
              <w:top w:val="nil"/>
              <w:left w:val="nil"/>
              <w:bottom w:val="single" w:sz="4" w:space="0" w:color="auto"/>
              <w:right w:val="single" w:sz="4" w:space="0" w:color="auto"/>
            </w:tcBorders>
            <w:noWrap/>
            <w:tcMar>
              <w:left w:w="28" w:type="dxa"/>
              <w:right w:w="28" w:type="dxa"/>
            </w:tcMar>
          </w:tcPr>
          <w:p w14:paraId="16FF3F2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1,181.9</w:t>
            </w:r>
          </w:p>
        </w:tc>
        <w:tc>
          <w:tcPr>
            <w:tcW w:w="628" w:type="dxa"/>
            <w:tcBorders>
              <w:top w:val="nil"/>
              <w:left w:val="nil"/>
              <w:bottom w:val="single" w:sz="4" w:space="0" w:color="auto"/>
              <w:right w:val="single" w:sz="4" w:space="0" w:color="auto"/>
            </w:tcBorders>
            <w:noWrap/>
            <w:tcMar>
              <w:left w:w="28" w:type="dxa"/>
              <w:right w:w="28" w:type="dxa"/>
            </w:tcMar>
          </w:tcPr>
          <w:p w14:paraId="59272EAF"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1,125.3</w:t>
            </w:r>
          </w:p>
        </w:tc>
        <w:tc>
          <w:tcPr>
            <w:tcW w:w="590" w:type="dxa"/>
            <w:tcBorders>
              <w:top w:val="nil"/>
              <w:left w:val="nil"/>
              <w:bottom w:val="single" w:sz="4" w:space="0" w:color="auto"/>
              <w:right w:val="single" w:sz="4" w:space="0" w:color="auto"/>
            </w:tcBorders>
            <w:noWrap/>
            <w:tcMar>
              <w:left w:w="28" w:type="dxa"/>
              <w:right w:w="28" w:type="dxa"/>
            </w:tcMar>
          </w:tcPr>
          <w:p w14:paraId="4F36D627"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1,846.0</w:t>
            </w:r>
          </w:p>
        </w:tc>
        <w:tc>
          <w:tcPr>
            <w:tcW w:w="664" w:type="dxa"/>
            <w:tcBorders>
              <w:top w:val="nil"/>
              <w:left w:val="nil"/>
              <w:bottom w:val="single" w:sz="4" w:space="0" w:color="auto"/>
              <w:right w:val="single" w:sz="4" w:space="0" w:color="auto"/>
            </w:tcBorders>
            <w:noWrap/>
            <w:tcMar>
              <w:left w:w="28" w:type="dxa"/>
              <w:right w:w="28" w:type="dxa"/>
            </w:tcMar>
          </w:tcPr>
          <w:p w14:paraId="05C2633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66,963.4</w:t>
            </w:r>
          </w:p>
        </w:tc>
      </w:tr>
      <w:tr w:rsidR="00092C31" w:rsidRPr="0064124E" w14:paraId="63BA190A" w14:textId="77777777" w:rsidTr="00713BCE">
        <w:trPr>
          <w:trHeight w:val="286"/>
        </w:trPr>
        <w:tc>
          <w:tcPr>
            <w:tcW w:w="758" w:type="dxa"/>
            <w:tcBorders>
              <w:top w:val="nil"/>
              <w:left w:val="single" w:sz="4" w:space="0" w:color="auto"/>
              <w:bottom w:val="single" w:sz="4" w:space="0" w:color="auto"/>
              <w:right w:val="single" w:sz="4" w:space="0" w:color="auto"/>
            </w:tcBorders>
            <w:noWrap/>
            <w:tcMar>
              <w:left w:w="28" w:type="dxa"/>
              <w:right w:w="28" w:type="dxa"/>
            </w:tcMar>
            <w:hideMark/>
          </w:tcPr>
          <w:p w14:paraId="5AA53D24" w14:textId="4BEB5831" w:rsidR="0064124E" w:rsidRPr="00BE12C4" w:rsidRDefault="0064124E" w:rsidP="0087169D">
            <w:pPr>
              <w:rPr>
                <w:rFonts w:ascii="Times New Roman" w:hAnsi="Times New Roman" w:cs="Times New Roman"/>
                <w:iCs/>
                <w:sz w:val="16"/>
                <w:szCs w:val="16"/>
                <w:lang w:val="ru-RU"/>
              </w:rPr>
            </w:pPr>
            <w:r w:rsidRPr="0064124E">
              <w:rPr>
                <w:rFonts w:ascii="Times New Roman" w:hAnsi="Times New Roman" w:cs="Times New Roman"/>
                <w:iCs/>
                <w:sz w:val="16"/>
                <w:szCs w:val="16"/>
              </w:rPr>
              <w:t xml:space="preserve">Tactical </w:t>
            </w:r>
            <w:r w:rsidRPr="0087169D">
              <w:rPr>
                <w:rFonts w:ascii="Times New Roman" w:hAnsi="Times New Roman" w:cs="Times New Roman"/>
                <w:iCs/>
                <w:spacing w:val="-4"/>
                <w:sz w:val="16"/>
                <w:szCs w:val="16"/>
              </w:rPr>
              <w:t>Missiles</w:t>
            </w:r>
            <w:r w:rsidR="0087169D" w:rsidRPr="0087169D">
              <w:rPr>
                <w:rFonts w:ascii="Times New Roman" w:hAnsi="Times New Roman" w:cs="Times New Roman"/>
                <w:iCs/>
                <w:spacing w:val="-4"/>
                <w:sz w:val="16"/>
                <w:szCs w:val="16"/>
              </w:rPr>
              <w:t xml:space="preserve"> </w:t>
            </w:r>
            <w:r w:rsidRPr="0087169D">
              <w:rPr>
                <w:rFonts w:ascii="Times New Roman" w:hAnsi="Times New Roman" w:cs="Times New Roman"/>
                <w:iCs/>
                <w:spacing w:val="-4"/>
                <w:sz w:val="16"/>
                <w:szCs w:val="16"/>
              </w:rPr>
              <w:t>C.</w:t>
            </w:r>
          </w:p>
        </w:tc>
        <w:tc>
          <w:tcPr>
            <w:tcW w:w="664" w:type="dxa"/>
            <w:tcBorders>
              <w:top w:val="nil"/>
              <w:left w:val="nil"/>
              <w:bottom w:val="single" w:sz="4" w:space="0" w:color="auto"/>
              <w:right w:val="single" w:sz="4" w:space="0" w:color="auto"/>
            </w:tcBorders>
            <w:noWrap/>
            <w:tcMar>
              <w:left w:w="28" w:type="dxa"/>
              <w:right w:w="28" w:type="dxa"/>
            </w:tcMar>
            <w:hideMark/>
          </w:tcPr>
          <w:p w14:paraId="102768F8"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26,098.2</w:t>
            </w:r>
          </w:p>
        </w:tc>
        <w:tc>
          <w:tcPr>
            <w:tcW w:w="770" w:type="dxa"/>
            <w:tcBorders>
              <w:top w:val="nil"/>
              <w:left w:val="nil"/>
              <w:bottom w:val="single" w:sz="4" w:space="0" w:color="auto"/>
              <w:right w:val="single" w:sz="4" w:space="0" w:color="auto"/>
            </w:tcBorders>
            <w:noWrap/>
            <w:tcMar>
              <w:left w:w="28" w:type="dxa"/>
              <w:right w:w="28" w:type="dxa"/>
            </w:tcMar>
          </w:tcPr>
          <w:p w14:paraId="52F2B23B"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76,268.3</w:t>
            </w:r>
          </w:p>
          <w:p w14:paraId="43AC6DDB" w14:textId="77777777" w:rsidR="0064124E" w:rsidRPr="00BE12C4" w:rsidRDefault="0064124E" w:rsidP="0087169D">
            <w:pPr>
              <w:jc w:val="center"/>
              <w:rPr>
                <w:rFonts w:ascii="Times New Roman" w:hAnsi="Times New Roman" w:cs="Times New Roman"/>
                <w:iCs/>
                <w:sz w:val="16"/>
                <w:szCs w:val="16"/>
                <w:lang w:val="ru-RU"/>
              </w:rPr>
            </w:pPr>
            <w:r w:rsidRPr="00BE12C4">
              <w:rPr>
                <w:rFonts w:ascii="Times New Roman" w:hAnsi="Times New Roman" w:cs="Times New Roman"/>
                <w:iCs/>
                <w:sz w:val="16"/>
                <w:szCs w:val="16"/>
                <w:lang w:val="ru-RU"/>
              </w:rPr>
              <w:t>(2016)</w:t>
            </w:r>
          </w:p>
        </w:tc>
        <w:tc>
          <w:tcPr>
            <w:tcW w:w="664" w:type="dxa"/>
            <w:tcBorders>
              <w:top w:val="nil"/>
              <w:left w:val="nil"/>
              <w:bottom w:val="single" w:sz="4" w:space="0" w:color="auto"/>
              <w:right w:val="single" w:sz="4" w:space="0" w:color="auto"/>
            </w:tcBorders>
            <w:noWrap/>
            <w:tcMar>
              <w:left w:w="28" w:type="dxa"/>
              <w:right w:w="28" w:type="dxa"/>
            </w:tcMar>
          </w:tcPr>
          <w:p w14:paraId="48FF3E07"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34,574.8</w:t>
            </w:r>
          </w:p>
        </w:tc>
        <w:tc>
          <w:tcPr>
            <w:tcW w:w="825" w:type="dxa"/>
            <w:tcBorders>
              <w:top w:val="nil"/>
              <w:left w:val="nil"/>
              <w:bottom w:val="single" w:sz="4" w:space="0" w:color="auto"/>
              <w:right w:val="single" w:sz="4" w:space="0" w:color="auto"/>
            </w:tcBorders>
            <w:noWrap/>
            <w:tcMar>
              <w:left w:w="28" w:type="dxa"/>
              <w:right w:w="28" w:type="dxa"/>
            </w:tcMar>
          </w:tcPr>
          <w:p w14:paraId="02FB79B9"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136,632.5</w:t>
            </w:r>
          </w:p>
        </w:tc>
        <w:tc>
          <w:tcPr>
            <w:tcW w:w="480" w:type="dxa"/>
            <w:tcBorders>
              <w:top w:val="nil"/>
              <w:left w:val="nil"/>
              <w:bottom w:val="single" w:sz="4" w:space="0" w:color="auto"/>
              <w:right w:val="single" w:sz="4" w:space="0" w:color="auto"/>
            </w:tcBorders>
            <w:noWrap/>
            <w:tcMar>
              <w:left w:w="11" w:type="dxa"/>
              <w:right w:w="11" w:type="dxa"/>
            </w:tcMar>
          </w:tcPr>
          <w:p w14:paraId="04796642" w14:textId="77777777" w:rsidR="0064124E" w:rsidRPr="0087169D" w:rsidRDefault="0064124E" w:rsidP="0087169D">
            <w:pPr>
              <w:rPr>
                <w:rFonts w:ascii="Times New Roman" w:hAnsi="Times New Roman" w:cs="Times New Roman"/>
                <w:iCs/>
                <w:spacing w:val="-2"/>
                <w:sz w:val="16"/>
                <w:szCs w:val="16"/>
                <w:lang w:val="ru-RU"/>
              </w:rPr>
            </w:pPr>
            <w:r w:rsidRPr="0087169D">
              <w:rPr>
                <w:rFonts w:ascii="Times New Roman" w:hAnsi="Times New Roman" w:cs="Times New Roman"/>
                <w:iCs/>
                <w:spacing w:val="-2"/>
                <w:sz w:val="16"/>
                <w:szCs w:val="16"/>
                <w:lang w:val="ru-RU"/>
              </w:rPr>
              <w:t>8,</w:t>
            </w:r>
            <w:r w:rsidRPr="00713BCE">
              <w:rPr>
                <w:rFonts w:ascii="Times New Roman" w:hAnsi="Times New Roman" w:cs="Times New Roman"/>
                <w:iCs/>
                <w:spacing w:val="-4"/>
                <w:sz w:val="16"/>
                <w:szCs w:val="16"/>
                <w:lang w:val="ru-RU"/>
              </w:rPr>
              <w:t>291.8</w:t>
            </w:r>
          </w:p>
        </w:tc>
        <w:tc>
          <w:tcPr>
            <w:tcW w:w="728" w:type="dxa"/>
            <w:tcBorders>
              <w:top w:val="nil"/>
              <w:left w:val="nil"/>
              <w:bottom w:val="single" w:sz="4" w:space="0" w:color="auto"/>
              <w:right w:val="single" w:sz="4" w:space="0" w:color="auto"/>
            </w:tcBorders>
            <w:noWrap/>
            <w:tcMar>
              <w:left w:w="28" w:type="dxa"/>
              <w:right w:w="28" w:type="dxa"/>
            </w:tcMar>
          </w:tcPr>
          <w:p w14:paraId="4054A05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26,839.1</w:t>
            </w:r>
          </w:p>
        </w:tc>
        <w:tc>
          <w:tcPr>
            <w:tcW w:w="590" w:type="dxa"/>
            <w:tcBorders>
              <w:top w:val="nil"/>
              <w:left w:val="nil"/>
              <w:bottom w:val="single" w:sz="4" w:space="0" w:color="auto"/>
              <w:right w:val="single" w:sz="4" w:space="0" w:color="auto"/>
            </w:tcBorders>
            <w:noWrap/>
            <w:tcMar>
              <w:left w:w="28" w:type="dxa"/>
              <w:right w:w="28" w:type="dxa"/>
            </w:tcMar>
          </w:tcPr>
          <w:p w14:paraId="0998C49B"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492.9</w:t>
            </w:r>
          </w:p>
        </w:tc>
        <w:tc>
          <w:tcPr>
            <w:tcW w:w="628" w:type="dxa"/>
            <w:tcBorders>
              <w:top w:val="nil"/>
              <w:left w:val="nil"/>
              <w:bottom w:val="single" w:sz="4" w:space="0" w:color="auto"/>
              <w:right w:val="single" w:sz="4" w:space="0" w:color="auto"/>
            </w:tcBorders>
            <w:noWrap/>
            <w:tcMar>
              <w:left w:w="28" w:type="dxa"/>
              <w:right w:w="28" w:type="dxa"/>
            </w:tcMar>
          </w:tcPr>
          <w:p w14:paraId="44BB14AC"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1,321.8</w:t>
            </w:r>
          </w:p>
        </w:tc>
        <w:tc>
          <w:tcPr>
            <w:tcW w:w="590" w:type="dxa"/>
            <w:tcBorders>
              <w:top w:val="nil"/>
              <w:left w:val="nil"/>
              <w:bottom w:val="single" w:sz="4" w:space="0" w:color="auto"/>
              <w:right w:val="single" w:sz="4" w:space="0" w:color="auto"/>
            </w:tcBorders>
            <w:noWrap/>
            <w:tcMar>
              <w:left w:w="28" w:type="dxa"/>
              <w:right w:w="28" w:type="dxa"/>
            </w:tcMar>
          </w:tcPr>
          <w:p w14:paraId="5814E452"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3,454.6</w:t>
            </w:r>
          </w:p>
        </w:tc>
        <w:tc>
          <w:tcPr>
            <w:tcW w:w="664" w:type="dxa"/>
            <w:tcBorders>
              <w:top w:val="nil"/>
              <w:left w:val="nil"/>
              <w:bottom w:val="single" w:sz="4" w:space="0" w:color="auto"/>
              <w:right w:val="single" w:sz="4" w:space="0" w:color="auto"/>
            </w:tcBorders>
            <w:noWrap/>
            <w:tcMar>
              <w:left w:w="28" w:type="dxa"/>
              <w:right w:w="28" w:type="dxa"/>
            </w:tcMar>
          </w:tcPr>
          <w:p w14:paraId="348815D3" w14:textId="77777777" w:rsidR="0064124E" w:rsidRPr="00BE12C4" w:rsidRDefault="0064124E" w:rsidP="0064124E">
            <w:pPr>
              <w:jc w:val="right"/>
              <w:rPr>
                <w:rFonts w:ascii="Times New Roman" w:hAnsi="Times New Roman" w:cs="Times New Roman"/>
                <w:iCs/>
                <w:sz w:val="16"/>
                <w:szCs w:val="16"/>
                <w:lang w:val="ru-RU"/>
              </w:rPr>
            </w:pPr>
            <w:r w:rsidRPr="00BE12C4">
              <w:rPr>
                <w:rFonts w:ascii="Times New Roman" w:hAnsi="Times New Roman" w:cs="Times New Roman"/>
                <w:iCs/>
                <w:sz w:val="16"/>
                <w:szCs w:val="16"/>
                <w:lang w:val="ru-RU"/>
              </w:rPr>
              <w:t>16,077.0</w:t>
            </w:r>
          </w:p>
        </w:tc>
      </w:tr>
    </w:tbl>
    <w:p w14:paraId="576C6168" w14:textId="4EDF164D" w:rsidR="00D72113" w:rsidRPr="009B6EF3" w:rsidRDefault="00D72113" w:rsidP="009B4CD0">
      <w:pPr>
        <w:spacing w:before="120" w:after="120"/>
        <w:jc w:val="both"/>
        <w:rPr>
          <w:rFonts w:ascii="Times New Roman" w:hAnsi="Times New Roman" w:cs="Times New Roman"/>
          <w:iCs/>
          <w:sz w:val="18"/>
          <w:szCs w:val="16"/>
          <w:lang w:val="en-US"/>
        </w:rPr>
      </w:pPr>
      <w:r w:rsidRPr="00515017">
        <w:rPr>
          <w:rFonts w:ascii="Times New Roman" w:hAnsi="Times New Roman" w:cs="Times New Roman"/>
          <w:iCs/>
          <w:sz w:val="18"/>
          <w:szCs w:val="16"/>
          <w:lang w:val="en-GB"/>
        </w:rPr>
        <w:t>Source</w:t>
      </w:r>
      <w:r w:rsidRPr="009B6EF3">
        <w:rPr>
          <w:rFonts w:ascii="Times New Roman" w:hAnsi="Times New Roman" w:cs="Times New Roman"/>
          <w:iCs/>
          <w:sz w:val="18"/>
          <w:szCs w:val="16"/>
          <w:lang w:val="en-US"/>
        </w:rPr>
        <w:t xml:space="preserve">: </w:t>
      </w:r>
      <w:r w:rsidR="009B6EF3" w:rsidRPr="009B6EF3">
        <w:rPr>
          <w:rFonts w:ascii="Times New Roman" w:hAnsi="Times New Roman" w:cs="Times New Roman"/>
          <w:iCs/>
          <w:sz w:val="18"/>
          <w:szCs w:val="16"/>
          <w:lang w:val="en-US"/>
        </w:rPr>
        <w:t xml:space="preserve">Compiled by the authors at: </w:t>
      </w:r>
      <w:hyperlink r:id="rId9" w:history="1">
        <w:r w:rsidRPr="009B6EF3">
          <w:rPr>
            <w:rStyle w:val="a6"/>
            <w:rFonts w:ascii="Times New Roman" w:hAnsi="Times New Roman" w:cs="Times New Roman"/>
            <w:iCs/>
            <w:sz w:val="18"/>
            <w:szCs w:val="16"/>
            <w:lang w:val="en-US"/>
          </w:rPr>
          <w:t>http://www.spark-interfax.ru/</w:t>
        </w:r>
      </w:hyperlink>
      <w:r w:rsidRPr="009B6EF3">
        <w:rPr>
          <w:rFonts w:ascii="Times New Roman" w:hAnsi="Times New Roman" w:cs="Times New Roman"/>
          <w:iCs/>
          <w:sz w:val="18"/>
          <w:szCs w:val="16"/>
          <w:lang w:val="en-US"/>
        </w:rPr>
        <w:t>.</w:t>
      </w:r>
    </w:p>
    <w:p w14:paraId="2CA23251" w14:textId="2F9A36DA" w:rsidR="00F15CC8" w:rsidRPr="00F15CC8" w:rsidRDefault="00F15CC8" w:rsidP="00F15CC8">
      <w:pPr>
        <w:ind w:firstLine="284"/>
        <w:jc w:val="both"/>
        <w:rPr>
          <w:rFonts w:ascii="Times New Roman" w:hAnsi="Times New Roman" w:cs="Times New Roman"/>
          <w:iCs/>
          <w:sz w:val="20"/>
          <w:lang w:val="en-US"/>
        </w:rPr>
      </w:pPr>
      <w:r w:rsidRPr="00F15CC8">
        <w:rPr>
          <w:rFonts w:ascii="Times New Roman" w:hAnsi="Times New Roman" w:cs="Times New Roman"/>
          <w:iCs/>
          <w:sz w:val="20"/>
          <w:lang w:val="en-US"/>
        </w:rPr>
        <w:t>The largest Russian military-industrial company in Russia is undoubtedly the state corporation Roste</w:t>
      </w:r>
      <w:r>
        <w:rPr>
          <w:rFonts w:ascii="Times New Roman" w:hAnsi="Times New Roman" w:cs="Times New Roman"/>
          <w:iCs/>
          <w:sz w:val="20"/>
          <w:lang w:val="en-US"/>
        </w:rPr>
        <w:t>c</w:t>
      </w:r>
      <w:r w:rsidRPr="00F15CC8">
        <w:rPr>
          <w:rFonts w:ascii="Times New Roman" w:hAnsi="Times New Roman" w:cs="Times New Roman"/>
          <w:iCs/>
          <w:sz w:val="20"/>
          <w:lang w:val="en-US"/>
        </w:rPr>
        <w:t>. At the moment, she has prepared a development strategy until 2025, the tasks of which are to enter the ten largest world industrial corporations in terms of revenue; an increase in the share of civilian products in revenue above 50%; financing of the investment program primarily at the expense of its own funds, as well as borrowed funds; raising labor productivity to the level of the best quarter of the world's players.</w:t>
      </w:r>
    </w:p>
    <w:p w14:paraId="449FFC78" w14:textId="7AE621D2" w:rsidR="00F15CC8" w:rsidRPr="00F15CC8" w:rsidRDefault="00F15CC8" w:rsidP="00F15CC8">
      <w:pPr>
        <w:ind w:firstLine="284"/>
        <w:jc w:val="both"/>
        <w:rPr>
          <w:rFonts w:ascii="Times New Roman" w:hAnsi="Times New Roman" w:cs="Times New Roman"/>
          <w:iCs/>
          <w:spacing w:val="-2"/>
          <w:sz w:val="20"/>
          <w:lang w:val="en-US"/>
        </w:rPr>
      </w:pPr>
      <w:r w:rsidRPr="00F15CC8">
        <w:rPr>
          <w:rFonts w:ascii="Times New Roman" w:hAnsi="Times New Roman" w:cs="Times New Roman"/>
          <w:iCs/>
          <w:spacing w:val="-2"/>
          <w:sz w:val="20"/>
          <w:lang w:val="en-US"/>
        </w:rPr>
        <w:t>At the beginning of 2009, the value of the corporation's assets was estimated at 255.13 billion rubles. After 9 years, Roste</w:t>
      </w:r>
      <w:r>
        <w:rPr>
          <w:rFonts w:ascii="Times New Roman" w:hAnsi="Times New Roman" w:cs="Times New Roman"/>
          <w:iCs/>
          <w:spacing w:val="-2"/>
          <w:sz w:val="20"/>
          <w:lang w:val="en-US"/>
        </w:rPr>
        <w:t>c</w:t>
      </w:r>
      <w:r w:rsidRPr="00F15CC8">
        <w:rPr>
          <w:rFonts w:ascii="Times New Roman" w:hAnsi="Times New Roman" w:cs="Times New Roman"/>
          <w:iCs/>
          <w:spacing w:val="-2"/>
          <w:sz w:val="20"/>
          <w:lang w:val="en-US"/>
        </w:rPr>
        <w:t>'s assets increased to 1.27 trillion. rubles, which is 5 times higher than in 2009. At first glance, the dynamics of the corporation's revenue and net profit may seem strange. We can notice a positive trend in net profit that is several times higher than the corporation's revenue. Note, however, that we are analyzing unconsolidated financial statements. For many years, Roste</w:t>
      </w:r>
      <w:r>
        <w:rPr>
          <w:rFonts w:ascii="Times New Roman" w:hAnsi="Times New Roman" w:cs="Times New Roman"/>
          <w:iCs/>
          <w:spacing w:val="-2"/>
          <w:sz w:val="20"/>
          <w:lang w:val="en-US"/>
        </w:rPr>
        <w:t>c</w:t>
      </w:r>
      <w:r w:rsidRPr="00F15CC8">
        <w:rPr>
          <w:rFonts w:ascii="Times New Roman" w:hAnsi="Times New Roman" w:cs="Times New Roman"/>
          <w:iCs/>
          <w:spacing w:val="-2"/>
          <w:sz w:val="20"/>
          <w:lang w:val="en-US"/>
        </w:rPr>
        <w:t xml:space="preserve"> received net profit mainly from income from participation in other organizations, other income, and financial investments. Since 2014, the corporation, which includes a huge number of different structures, has increased its net profit by 7 times.</w:t>
      </w:r>
    </w:p>
    <w:p w14:paraId="25B18781" w14:textId="125E190D" w:rsidR="00BE12C4" w:rsidRDefault="009B6EF3" w:rsidP="00F15467">
      <w:pPr>
        <w:ind w:firstLine="284"/>
        <w:jc w:val="both"/>
        <w:rPr>
          <w:rFonts w:ascii="Times New Roman" w:hAnsi="Times New Roman" w:cs="Times New Roman"/>
          <w:iCs/>
          <w:spacing w:val="-4"/>
          <w:sz w:val="20"/>
          <w:lang w:val="en-US"/>
        </w:rPr>
      </w:pPr>
      <w:r w:rsidRPr="009B6EF3">
        <w:rPr>
          <w:rFonts w:ascii="Times New Roman" w:hAnsi="Times New Roman" w:cs="Times New Roman"/>
          <w:iCs/>
          <w:spacing w:val="-2"/>
          <w:sz w:val="20"/>
          <w:lang w:val="en-US"/>
        </w:rPr>
        <w:t>With regard to the efficiency of using equity capital and the financial stability of the company, two indicators were considered: return on equity (indicates how effectively equity capital is used, that is, how much profit was generated for each ruble of borrowed equity) and financial leverage (an indicator indicating change in debt burden).</w:t>
      </w:r>
      <w:r w:rsidRPr="009B6EF3">
        <w:rPr>
          <w:rFonts w:ascii="Times New Roman" w:hAnsi="Times New Roman" w:cs="Times New Roman"/>
          <w:iCs/>
          <w:spacing w:val="-4"/>
          <w:sz w:val="20"/>
          <w:lang w:val="en-US"/>
        </w:rPr>
        <w:t xml:space="preserve"> We can see that since 2012 Rostec has been pursuing a policy of reducing its debt burden, as well as increasing the return on its own funds, which increases the financial strength and stability of the company </w:t>
      </w:r>
      <w:r w:rsidR="00426679" w:rsidRPr="009B6EF3">
        <w:rPr>
          <w:rFonts w:ascii="Times New Roman" w:hAnsi="Times New Roman" w:cs="Times New Roman"/>
          <w:iCs/>
          <w:spacing w:val="-4"/>
          <w:sz w:val="20"/>
          <w:lang w:val="en-US"/>
        </w:rPr>
        <w:t>(</w:t>
      </w:r>
      <w:r w:rsidRPr="009B6EF3">
        <w:rPr>
          <w:rFonts w:ascii="Times New Roman" w:hAnsi="Times New Roman" w:cs="Times New Roman"/>
          <w:iCs/>
          <w:spacing w:val="-4"/>
          <w:sz w:val="20"/>
          <w:lang w:val="en-US"/>
        </w:rPr>
        <w:t>see fig. 1)</w:t>
      </w:r>
      <w:r w:rsidR="00426679" w:rsidRPr="009B6EF3">
        <w:rPr>
          <w:rFonts w:ascii="Times New Roman" w:hAnsi="Times New Roman" w:cs="Times New Roman"/>
          <w:iCs/>
          <w:spacing w:val="-4"/>
          <w:sz w:val="20"/>
          <w:lang w:val="en-US"/>
        </w:rPr>
        <w:t>.</w:t>
      </w:r>
    </w:p>
    <w:p w14:paraId="3EF3C3E4" w14:textId="77777777" w:rsidR="009B6EF3" w:rsidRPr="009B6EF3" w:rsidRDefault="009B6EF3" w:rsidP="009B6EF3">
      <w:pPr>
        <w:ind w:firstLine="284"/>
        <w:jc w:val="both"/>
        <w:rPr>
          <w:rFonts w:ascii="Times New Roman" w:hAnsi="Times New Roman" w:cs="Times New Roman"/>
          <w:iCs/>
          <w:spacing w:val="-4"/>
          <w:sz w:val="20"/>
          <w:lang w:val="en-US"/>
        </w:rPr>
      </w:pPr>
    </w:p>
    <w:p w14:paraId="4AA2FB53" w14:textId="5670F414" w:rsidR="00426679" w:rsidRPr="006D5A33" w:rsidRDefault="00426679" w:rsidP="00426679">
      <w:pPr>
        <w:jc w:val="center"/>
        <w:rPr>
          <w:rFonts w:ascii="Times New Roman" w:hAnsi="Times New Roman" w:cs="Times New Roman"/>
          <w:iCs/>
          <w:sz w:val="20"/>
          <w:lang w:val="ru-RU"/>
        </w:rPr>
      </w:pPr>
      <w:r w:rsidRPr="004B3964">
        <w:rPr>
          <w:rFonts w:ascii="Times New Roman" w:hAnsi="Times New Roman" w:cs="Times New Roman"/>
          <w:noProof/>
          <w:szCs w:val="28"/>
          <w:lang w:eastAsia="ru-RU"/>
        </w:rPr>
        <w:drawing>
          <wp:inline distT="0" distB="0" distL="0" distR="0" wp14:anchorId="46508F03" wp14:editId="78C400C2">
            <wp:extent cx="3691003" cy="1757819"/>
            <wp:effectExtent l="0" t="0" r="5080" b="13970"/>
            <wp:docPr id="13" name="Диаграмма 13">
              <a:extLst xmlns:a="http://schemas.openxmlformats.org/drawingml/2006/main">
                <a:ext uri="{FF2B5EF4-FFF2-40B4-BE49-F238E27FC236}">
                  <a16:creationId xmlns:a16="http://schemas.microsoft.com/office/drawing/2014/main" id="{4B77A672-7878-3C4F-9728-5B39F7574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1197CB" w14:textId="197A2A9D" w:rsidR="00DB7E02" w:rsidRPr="00AE05A2" w:rsidRDefault="00DB7E02" w:rsidP="00DB7E02">
      <w:pPr>
        <w:jc w:val="center"/>
        <w:rPr>
          <w:rFonts w:ascii="Times New Roman" w:hAnsi="Times New Roman" w:cs="Times New Roman"/>
          <w:sz w:val="18"/>
          <w:szCs w:val="18"/>
        </w:rPr>
      </w:pPr>
      <w:r>
        <w:rPr>
          <w:rFonts w:ascii="Times New Roman" w:hAnsi="Times New Roman" w:cs="Times New Roman"/>
          <w:sz w:val="20"/>
        </w:rPr>
        <w:t xml:space="preserve">▬▬ </w:t>
      </w:r>
      <w:r w:rsidRPr="00DB7E02">
        <w:rPr>
          <w:rFonts w:ascii="Times New Roman" w:hAnsi="Times New Roman" w:cs="Times New Roman"/>
          <w:sz w:val="18"/>
          <w:szCs w:val="18"/>
        </w:rPr>
        <w:t>Return on equity</w:t>
      </w:r>
      <w:r w:rsidRPr="00AE05A2">
        <w:rPr>
          <w:rFonts w:ascii="Times New Roman" w:hAnsi="Times New Roman" w:cs="Times New Roman"/>
          <w:sz w:val="20"/>
        </w:rPr>
        <w:t xml:space="preserve">  </w:t>
      </w:r>
      <w:r>
        <w:rPr>
          <w:rFonts w:ascii="Times New Roman" w:hAnsi="Times New Roman" w:cs="Times New Roman"/>
          <w:sz w:val="18"/>
          <w:szCs w:val="18"/>
        </w:rPr>
        <w:t xml:space="preserve">                          </w:t>
      </w:r>
      <w:r w:rsidRPr="00EA198D">
        <w:rPr>
          <w:rFonts w:ascii="Times New Roman" w:hAnsi="Times New Roman" w:cs="Times New Roman"/>
          <w:color w:val="AEAAAA" w:themeColor="background2" w:themeShade="BF"/>
          <w:sz w:val="18"/>
          <w:szCs w:val="18"/>
        </w:rPr>
        <w:t>▬▬</w:t>
      </w:r>
      <w:r>
        <w:rPr>
          <w:rFonts w:ascii="Times New Roman" w:hAnsi="Times New Roman" w:cs="Times New Roman"/>
          <w:sz w:val="18"/>
          <w:szCs w:val="18"/>
        </w:rPr>
        <w:t xml:space="preserve"> </w:t>
      </w:r>
      <w:r w:rsidRPr="00DB7E02">
        <w:rPr>
          <w:rFonts w:ascii="Times New Roman" w:hAnsi="Times New Roman" w:cs="Times New Roman"/>
          <w:sz w:val="18"/>
          <w:szCs w:val="18"/>
        </w:rPr>
        <w:t>Financial leverage</w:t>
      </w:r>
    </w:p>
    <w:p w14:paraId="107E986C" w14:textId="0C34510A" w:rsidR="00DB7E02" w:rsidRDefault="00DB7E02" w:rsidP="009B6EF3">
      <w:pPr>
        <w:spacing w:before="120" w:after="120"/>
        <w:jc w:val="center"/>
        <w:rPr>
          <w:rFonts w:ascii="Times New Roman" w:hAnsi="Times New Roman" w:cs="Times New Roman"/>
          <w:b/>
          <w:bCs/>
          <w:sz w:val="18"/>
          <w:szCs w:val="18"/>
          <w:lang w:val="en-US"/>
        </w:rPr>
      </w:pP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1</w:t>
      </w:r>
      <w:r w:rsidRPr="000E35D4">
        <w:rPr>
          <w:rFonts w:ascii="Times New Roman" w:hAnsi="Times New Roman" w:cs="Times New Roman"/>
          <w:b/>
          <w:bCs/>
          <w:sz w:val="18"/>
          <w:szCs w:val="18"/>
          <w:lang w:val="en-GB"/>
        </w:rPr>
        <w:t>.</w:t>
      </w:r>
      <w:r w:rsidRPr="00DB7E02">
        <w:rPr>
          <w:rFonts w:ascii="Times New Roman" w:hAnsi="Times New Roman" w:cs="Times New Roman"/>
          <w:b/>
          <w:bCs/>
          <w:sz w:val="18"/>
          <w:szCs w:val="18"/>
          <w:lang w:val="en-US"/>
        </w:rPr>
        <w:t xml:space="preserve"> </w:t>
      </w:r>
      <w:r w:rsidRPr="00DB7E02">
        <w:rPr>
          <w:rFonts w:ascii="Times New Roman" w:hAnsi="Times New Roman" w:cs="Times New Roman"/>
          <w:sz w:val="18"/>
          <w:szCs w:val="18"/>
          <w:lang w:val="en-US"/>
        </w:rPr>
        <w:t>Return on equity and Financial leverage of Rostec,% and units</w:t>
      </w:r>
    </w:p>
    <w:p w14:paraId="7B2AD44E" w14:textId="21F15683" w:rsidR="00DB7E02" w:rsidRPr="009B6EF3" w:rsidRDefault="00DB7E02" w:rsidP="009B6EF3">
      <w:pPr>
        <w:spacing w:after="120"/>
        <w:jc w:val="both"/>
        <w:rPr>
          <w:rFonts w:ascii="Times New Roman" w:hAnsi="Times New Roman" w:cs="Times New Roman"/>
          <w:iCs/>
          <w:sz w:val="18"/>
          <w:szCs w:val="16"/>
          <w:lang w:val="en-US"/>
        </w:rPr>
      </w:pPr>
      <w:r w:rsidRPr="000E35D4">
        <w:rPr>
          <w:rFonts w:ascii="Times New Roman" w:hAnsi="Times New Roman" w:cs="Times New Roman"/>
          <w:iCs/>
          <w:sz w:val="18"/>
          <w:szCs w:val="16"/>
          <w:lang w:val="en-GB"/>
        </w:rPr>
        <w:t>Source</w:t>
      </w:r>
      <w:r w:rsidRPr="009B6EF3">
        <w:rPr>
          <w:rFonts w:ascii="Times New Roman" w:hAnsi="Times New Roman" w:cs="Times New Roman"/>
          <w:iCs/>
          <w:sz w:val="18"/>
          <w:szCs w:val="16"/>
          <w:lang w:val="en-US"/>
        </w:rPr>
        <w:t xml:space="preserve">: </w:t>
      </w:r>
      <w:r w:rsidR="009B6EF3" w:rsidRPr="009B6EF3">
        <w:rPr>
          <w:rFonts w:ascii="Times New Roman" w:hAnsi="Times New Roman" w:cs="Times New Roman"/>
          <w:iCs/>
          <w:sz w:val="18"/>
          <w:szCs w:val="16"/>
          <w:lang w:val="en-US"/>
        </w:rPr>
        <w:t xml:space="preserve">Compiled by the authors at: </w:t>
      </w:r>
      <w:hyperlink r:id="rId11" w:history="1">
        <w:r w:rsidRPr="009B6EF3">
          <w:rPr>
            <w:rStyle w:val="a6"/>
            <w:rFonts w:ascii="Times New Roman" w:hAnsi="Times New Roman" w:cs="Times New Roman"/>
            <w:iCs/>
            <w:sz w:val="18"/>
            <w:szCs w:val="16"/>
            <w:lang w:val="en-US"/>
          </w:rPr>
          <w:t>http://www.spark-interfax.ru/</w:t>
        </w:r>
      </w:hyperlink>
      <w:r w:rsidRPr="009B6EF3">
        <w:rPr>
          <w:rFonts w:ascii="Times New Roman" w:hAnsi="Times New Roman" w:cs="Times New Roman"/>
          <w:iCs/>
          <w:sz w:val="18"/>
          <w:szCs w:val="16"/>
          <w:lang w:val="en-US"/>
        </w:rPr>
        <w:t>.</w:t>
      </w:r>
    </w:p>
    <w:p w14:paraId="7F17C7E8" w14:textId="362817CB" w:rsidR="00622EA5" w:rsidRPr="00622EA5" w:rsidRDefault="00622EA5" w:rsidP="005012C8">
      <w:pPr>
        <w:ind w:firstLine="284"/>
        <w:jc w:val="both"/>
        <w:rPr>
          <w:rFonts w:ascii="Times New Roman" w:hAnsi="Times New Roman" w:cs="Times New Roman"/>
          <w:sz w:val="20"/>
          <w:lang w:val="en-US"/>
        </w:rPr>
      </w:pPr>
      <w:r w:rsidRPr="00622EA5">
        <w:rPr>
          <w:rFonts w:ascii="Times New Roman" w:hAnsi="Times New Roman" w:cs="Times New Roman"/>
          <w:sz w:val="20"/>
          <w:lang w:val="en-US"/>
        </w:rPr>
        <w:t>We analyzed the changes in the indicators of the financial condition of all Russian military-industrial companies presented in table. 3 for the specified period. However, the limited scope of this article does not allow us to present all the results obtained. Therefore, we are forced to confine ourselves to considering the financial situation of only two industry corporations that were in the TOP-25 from SIPRI in 2019. We are talking about the companies Almaz-Antey and United Shipbuilding Corporation".</w:t>
      </w:r>
    </w:p>
    <w:p w14:paraId="4A387F2E" w14:textId="1EDF881B" w:rsidR="00B43810" w:rsidRDefault="00B43810" w:rsidP="00B43810">
      <w:pPr>
        <w:ind w:firstLine="284"/>
        <w:jc w:val="both"/>
        <w:rPr>
          <w:rFonts w:ascii="Times New Roman" w:hAnsi="Times New Roman" w:cs="Times New Roman"/>
          <w:iCs/>
          <w:spacing w:val="-4"/>
          <w:sz w:val="20"/>
          <w:lang w:val="en-US"/>
        </w:rPr>
      </w:pPr>
      <w:r w:rsidRPr="00B43810">
        <w:rPr>
          <w:rFonts w:ascii="Times New Roman" w:hAnsi="Times New Roman" w:cs="Times New Roman"/>
          <w:sz w:val="20"/>
          <w:lang w:val="en-US"/>
        </w:rPr>
        <w:t xml:space="preserve">Concern Almaz-Antey was established in 2002 and became the first large holding, created within the framework of the federal target program "Reforming and development of the military-industrial complex in the period 2002-2006". It includes enterprises that develop and produce weapons for air defense and missile defense. In the period from 2003 to 2016, the total value of the group's assets increased 5 times. Over the entire period under review, one can observe a stable growth in the group's revenue, which cannot be said about net profit. For 8 years, revenue increased 13 times and in 2016 amounted to 212.44 billion rubles. Throughout the entire period, the corporation did not go into a loss-making state. In 2016, there was a sharp decline in net profit by 95%. To a greater extent, this is due to the fact that the cost of sales, administrative and other expenses have increased, and other income of the concern has also decreased by more than 2 times. In this regard, we can observe a drop in the return on equity for 2016 </w:t>
      </w:r>
      <w:r w:rsidRPr="009B6EF3">
        <w:rPr>
          <w:rFonts w:ascii="Times New Roman" w:hAnsi="Times New Roman" w:cs="Times New Roman"/>
          <w:iCs/>
          <w:spacing w:val="-4"/>
          <w:sz w:val="20"/>
          <w:lang w:val="en-US"/>
        </w:rPr>
        <w:t xml:space="preserve">(see fig. </w:t>
      </w:r>
      <w:r w:rsidRPr="00B43810">
        <w:rPr>
          <w:rFonts w:ascii="Times New Roman" w:hAnsi="Times New Roman" w:cs="Times New Roman"/>
          <w:iCs/>
          <w:spacing w:val="-4"/>
          <w:sz w:val="20"/>
          <w:lang w:val="en-US"/>
        </w:rPr>
        <w:t>2</w:t>
      </w:r>
      <w:r w:rsidRPr="009B6EF3">
        <w:rPr>
          <w:rFonts w:ascii="Times New Roman" w:hAnsi="Times New Roman" w:cs="Times New Roman"/>
          <w:iCs/>
          <w:spacing w:val="-4"/>
          <w:sz w:val="20"/>
          <w:lang w:val="en-US"/>
        </w:rPr>
        <w:t>).</w:t>
      </w:r>
    </w:p>
    <w:p w14:paraId="4B773195" w14:textId="7473D21D" w:rsidR="00B43810" w:rsidRPr="00B43810" w:rsidRDefault="00B43810" w:rsidP="00B43810">
      <w:pPr>
        <w:ind w:firstLine="284"/>
        <w:jc w:val="both"/>
        <w:rPr>
          <w:rFonts w:ascii="Times New Roman" w:hAnsi="Times New Roman" w:cs="Times New Roman"/>
          <w:sz w:val="20"/>
          <w:lang w:val="en-US"/>
        </w:rPr>
      </w:pPr>
      <w:r w:rsidRPr="00B43810">
        <w:rPr>
          <w:rFonts w:ascii="Times New Roman" w:hAnsi="Times New Roman" w:cs="Times New Roman"/>
          <w:sz w:val="20"/>
          <w:lang w:val="en-US"/>
        </w:rPr>
        <w:t>.</w:t>
      </w:r>
    </w:p>
    <w:p w14:paraId="3AB433A8" w14:textId="3FDD9B3A" w:rsidR="0070595E" w:rsidRDefault="007932B7" w:rsidP="00C00152">
      <w:pPr>
        <w:jc w:val="center"/>
        <w:rPr>
          <w:rFonts w:ascii="Times New Roman" w:hAnsi="Times New Roman" w:cs="Times New Roman"/>
          <w:caps/>
          <w:sz w:val="20"/>
          <w:lang w:val="ru-RU"/>
        </w:rPr>
      </w:pPr>
      <w:r w:rsidRPr="004B3964">
        <w:rPr>
          <w:rFonts w:ascii="Times New Roman" w:hAnsi="Times New Roman"/>
          <w:noProof/>
          <w:sz w:val="28"/>
          <w:lang w:eastAsia="ru-RU"/>
        </w:rPr>
        <w:drawing>
          <wp:inline distT="0" distB="0" distL="0" distR="0" wp14:anchorId="41859A7D" wp14:editId="70851EA7">
            <wp:extent cx="4413337" cy="1820006"/>
            <wp:effectExtent l="0" t="0" r="6350" b="8890"/>
            <wp:docPr id="14" name="Диаграмма 14">
              <a:extLst xmlns:a="http://schemas.openxmlformats.org/drawingml/2006/main">
                <a:ext uri="{FF2B5EF4-FFF2-40B4-BE49-F238E27FC236}">
                  <a16:creationId xmlns:a16="http://schemas.microsoft.com/office/drawing/2014/main" id="{A45BFC93-AA81-2744-8968-BAA30F6DB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B6764F" w14:textId="77777777" w:rsidR="007932B7" w:rsidRPr="00AE05A2" w:rsidRDefault="007932B7" w:rsidP="007932B7">
      <w:pPr>
        <w:jc w:val="center"/>
        <w:rPr>
          <w:rFonts w:ascii="Times New Roman" w:hAnsi="Times New Roman" w:cs="Times New Roman"/>
          <w:sz w:val="18"/>
          <w:szCs w:val="18"/>
        </w:rPr>
      </w:pPr>
      <w:r>
        <w:rPr>
          <w:rFonts w:ascii="Times New Roman" w:hAnsi="Times New Roman" w:cs="Times New Roman"/>
          <w:sz w:val="20"/>
        </w:rPr>
        <w:t xml:space="preserve">▬▬ </w:t>
      </w:r>
      <w:r w:rsidRPr="00455E99">
        <w:rPr>
          <w:rFonts w:ascii="Times New Roman" w:hAnsi="Times New Roman" w:cs="Times New Roman"/>
          <w:sz w:val="20"/>
        </w:rPr>
        <w:t>Net profit</w:t>
      </w:r>
      <w:r w:rsidRPr="00AE05A2">
        <w:rPr>
          <w:rFonts w:ascii="Times New Roman" w:hAnsi="Times New Roman" w:cs="Times New Roman"/>
          <w:sz w:val="20"/>
        </w:rPr>
        <w:t xml:space="preserve"> </w:t>
      </w:r>
      <w:r>
        <w:rPr>
          <w:rFonts w:ascii="Times New Roman" w:hAnsi="Times New Roman" w:cs="Times New Roman"/>
          <w:sz w:val="18"/>
          <w:szCs w:val="18"/>
        </w:rPr>
        <w:t xml:space="preserve">                          </w:t>
      </w:r>
      <w:r w:rsidRPr="00EA198D">
        <w:rPr>
          <w:rFonts w:ascii="Times New Roman" w:hAnsi="Times New Roman" w:cs="Times New Roman"/>
          <w:color w:val="AEAAAA" w:themeColor="background2" w:themeShade="BF"/>
          <w:sz w:val="18"/>
          <w:szCs w:val="18"/>
        </w:rPr>
        <w:t>▬▬</w:t>
      </w:r>
      <w:r>
        <w:rPr>
          <w:rFonts w:ascii="Times New Roman" w:hAnsi="Times New Roman" w:cs="Times New Roman"/>
          <w:sz w:val="18"/>
          <w:szCs w:val="18"/>
        </w:rPr>
        <w:t xml:space="preserve"> </w:t>
      </w:r>
      <w:r w:rsidRPr="00455E99">
        <w:rPr>
          <w:rFonts w:ascii="Times New Roman" w:hAnsi="Times New Roman" w:cs="Times New Roman"/>
          <w:sz w:val="20"/>
        </w:rPr>
        <w:t>Revenue</w:t>
      </w:r>
    </w:p>
    <w:p w14:paraId="3398C47B" w14:textId="6259F587" w:rsidR="007932B7" w:rsidRDefault="007932B7" w:rsidP="00B43810">
      <w:pPr>
        <w:spacing w:before="120" w:after="120"/>
        <w:jc w:val="center"/>
        <w:rPr>
          <w:rFonts w:ascii="Times New Roman" w:hAnsi="Times New Roman" w:cs="Times New Roman"/>
          <w:sz w:val="18"/>
          <w:szCs w:val="18"/>
          <w:lang w:val="en-US"/>
        </w:rPr>
      </w:pP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7932B7">
        <w:rPr>
          <w:rFonts w:ascii="Times New Roman" w:hAnsi="Times New Roman" w:cs="Times New Roman"/>
          <w:b/>
          <w:sz w:val="18"/>
          <w:szCs w:val="18"/>
          <w:lang w:val="en-US"/>
        </w:rPr>
        <w:t>2</w:t>
      </w:r>
      <w:r w:rsidRPr="000E35D4">
        <w:rPr>
          <w:rFonts w:ascii="Times New Roman" w:hAnsi="Times New Roman" w:cs="Times New Roman"/>
          <w:b/>
          <w:bCs/>
          <w:sz w:val="18"/>
          <w:szCs w:val="18"/>
          <w:lang w:val="en-GB"/>
        </w:rPr>
        <w:t>.</w:t>
      </w:r>
      <w:r w:rsidRPr="007932B7">
        <w:rPr>
          <w:rFonts w:ascii="Times New Roman" w:hAnsi="Times New Roman" w:cs="Times New Roman"/>
          <w:b/>
          <w:bCs/>
          <w:sz w:val="18"/>
          <w:szCs w:val="18"/>
          <w:lang w:val="en-US"/>
        </w:rPr>
        <w:t xml:space="preserve"> </w:t>
      </w:r>
      <w:r w:rsidRPr="007932B7">
        <w:rPr>
          <w:rFonts w:ascii="Times New Roman" w:hAnsi="Times New Roman" w:cs="Times New Roman"/>
          <w:sz w:val="18"/>
          <w:szCs w:val="18"/>
          <w:lang w:val="en-US"/>
        </w:rPr>
        <w:t xml:space="preserve">Revenue and net profit </w:t>
      </w:r>
      <w:bookmarkStart w:id="6" w:name="_Hlk76392506"/>
      <w:r w:rsidRPr="007932B7">
        <w:rPr>
          <w:rFonts w:ascii="Times New Roman" w:hAnsi="Times New Roman" w:cs="Times New Roman"/>
          <w:sz w:val="18"/>
          <w:szCs w:val="18"/>
          <w:lang w:val="en-US"/>
        </w:rPr>
        <w:t xml:space="preserve">(loss) </w:t>
      </w:r>
      <w:bookmarkEnd w:id="6"/>
      <w:r w:rsidRPr="007932B7">
        <w:rPr>
          <w:rFonts w:ascii="Times New Roman" w:hAnsi="Times New Roman" w:cs="Times New Roman"/>
          <w:sz w:val="18"/>
          <w:szCs w:val="18"/>
          <w:lang w:val="en-US"/>
        </w:rPr>
        <w:t>of Almaz-Antey, thousand rubles</w:t>
      </w:r>
    </w:p>
    <w:p w14:paraId="375DEB5D" w14:textId="748C7D9F" w:rsidR="007932B7" w:rsidRPr="00B43810" w:rsidRDefault="007932B7" w:rsidP="00B43810">
      <w:pPr>
        <w:spacing w:after="120"/>
        <w:jc w:val="both"/>
        <w:rPr>
          <w:rFonts w:ascii="Times New Roman" w:hAnsi="Times New Roman" w:cs="Times New Roman"/>
          <w:iCs/>
          <w:sz w:val="18"/>
          <w:szCs w:val="16"/>
          <w:lang w:val="en-US"/>
        </w:rPr>
      </w:pPr>
      <w:r w:rsidRPr="000E35D4">
        <w:rPr>
          <w:rFonts w:ascii="Times New Roman" w:hAnsi="Times New Roman" w:cs="Times New Roman"/>
          <w:iCs/>
          <w:sz w:val="18"/>
          <w:szCs w:val="16"/>
          <w:lang w:val="en-GB"/>
        </w:rPr>
        <w:t>Source</w:t>
      </w:r>
      <w:r w:rsidRPr="00B43810">
        <w:rPr>
          <w:rFonts w:ascii="Times New Roman" w:hAnsi="Times New Roman" w:cs="Times New Roman"/>
          <w:iCs/>
          <w:sz w:val="18"/>
          <w:szCs w:val="16"/>
          <w:lang w:val="en-US"/>
        </w:rPr>
        <w:t xml:space="preserve">: </w:t>
      </w:r>
      <w:r w:rsidR="00B43810" w:rsidRPr="009B6EF3">
        <w:rPr>
          <w:rFonts w:ascii="Times New Roman" w:hAnsi="Times New Roman" w:cs="Times New Roman"/>
          <w:iCs/>
          <w:sz w:val="18"/>
          <w:szCs w:val="16"/>
          <w:lang w:val="en-US"/>
        </w:rPr>
        <w:t xml:space="preserve">Compiled by the authors at: </w:t>
      </w:r>
      <w:r w:rsidRPr="00B43810">
        <w:rPr>
          <w:rFonts w:ascii="Times New Roman" w:hAnsi="Times New Roman" w:cs="Times New Roman"/>
          <w:iCs/>
          <w:sz w:val="18"/>
          <w:szCs w:val="16"/>
          <w:lang w:val="en-US"/>
        </w:rPr>
        <w:t xml:space="preserve"> </w:t>
      </w:r>
      <w:hyperlink r:id="rId13" w:history="1">
        <w:r w:rsidRPr="00B43810">
          <w:rPr>
            <w:rStyle w:val="a6"/>
            <w:rFonts w:ascii="Times New Roman" w:hAnsi="Times New Roman" w:cs="Times New Roman"/>
            <w:iCs/>
            <w:sz w:val="18"/>
            <w:szCs w:val="16"/>
            <w:lang w:val="en-US"/>
          </w:rPr>
          <w:t>http://www.spark-interfax.ru/</w:t>
        </w:r>
      </w:hyperlink>
      <w:r w:rsidRPr="00B43810">
        <w:rPr>
          <w:rFonts w:ascii="Times New Roman" w:hAnsi="Times New Roman" w:cs="Times New Roman"/>
          <w:iCs/>
          <w:sz w:val="18"/>
          <w:szCs w:val="16"/>
          <w:lang w:val="en-US"/>
        </w:rPr>
        <w:t>.</w:t>
      </w:r>
    </w:p>
    <w:p w14:paraId="302D2A6A" w14:textId="4E1D13E0" w:rsidR="007932B7" w:rsidRDefault="00B43810" w:rsidP="00B43810">
      <w:pPr>
        <w:ind w:firstLine="284"/>
        <w:jc w:val="both"/>
        <w:rPr>
          <w:rFonts w:ascii="Times New Roman" w:hAnsi="Times New Roman" w:cs="Times New Roman"/>
          <w:sz w:val="20"/>
          <w:lang w:val="en-US"/>
        </w:rPr>
      </w:pPr>
      <w:r w:rsidRPr="00B43810">
        <w:rPr>
          <w:rFonts w:ascii="Times New Roman" w:hAnsi="Times New Roman" w:cs="Times New Roman"/>
          <w:sz w:val="20"/>
          <w:lang w:val="en-US"/>
        </w:rPr>
        <w:t xml:space="preserve">As for the debt burden of the corporation, it can be noted that it was in a very unstable state and by 2016 reached the peak of long-term debt </w:t>
      </w:r>
      <w:r w:rsidRPr="009B6EF3">
        <w:rPr>
          <w:rFonts w:ascii="Times New Roman" w:hAnsi="Times New Roman" w:cs="Times New Roman"/>
          <w:iCs/>
          <w:spacing w:val="-4"/>
          <w:sz w:val="20"/>
          <w:lang w:val="en-US"/>
        </w:rPr>
        <w:t xml:space="preserve">(see fig. </w:t>
      </w:r>
      <w:r w:rsidRPr="00B43810">
        <w:rPr>
          <w:rFonts w:ascii="Times New Roman" w:hAnsi="Times New Roman" w:cs="Times New Roman"/>
          <w:iCs/>
          <w:spacing w:val="-4"/>
          <w:sz w:val="20"/>
          <w:lang w:val="en-US"/>
        </w:rPr>
        <w:t>3</w:t>
      </w:r>
      <w:r w:rsidRPr="009B6EF3">
        <w:rPr>
          <w:rFonts w:ascii="Times New Roman" w:hAnsi="Times New Roman" w:cs="Times New Roman"/>
          <w:iCs/>
          <w:spacing w:val="-4"/>
          <w:sz w:val="20"/>
          <w:lang w:val="en-US"/>
        </w:rPr>
        <w:t>)</w:t>
      </w:r>
      <w:r w:rsidR="007932B7" w:rsidRPr="00B43810">
        <w:rPr>
          <w:rFonts w:ascii="Times New Roman" w:hAnsi="Times New Roman" w:cs="Times New Roman"/>
          <w:sz w:val="20"/>
          <w:lang w:val="en-US"/>
        </w:rPr>
        <w:t>.</w:t>
      </w:r>
    </w:p>
    <w:p w14:paraId="4C906911" w14:textId="77777777" w:rsidR="004F4200" w:rsidRPr="00B43810" w:rsidRDefault="004F4200" w:rsidP="00B43810">
      <w:pPr>
        <w:ind w:firstLine="284"/>
        <w:jc w:val="both"/>
        <w:rPr>
          <w:rFonts w:ascii="Times New Roman" w:hAnsi="Times New Roman" w:cs="Times New Roman"/>
          <w:sz w:val="20"/>
          <w:lang w:val="en-US"/>
        </w:rPr>
      </w:pPr>
    </w:p>
    <w:p w14:paraId="70C181B1" w14:textId="5011079F" w:rsidR="00C00152" w:rsidRDefault="00C00152" w:rsidP="00C00152">
      <w:pPr>
        <w:jc w:val="center"/>
        <w:rPr>
          <w:rFonts w:ascii="Times New Roman" w:hAnsi="Times New Roman" w:cs="Times New Roman"/>
          <w:caps/>
          <w:sz w:val="20"/>
          <w:lang w:val="ru-RU"/>
        </w:rPr>
      </w:pPr>
      <w:r w:rsidRPr="004B3964">
        <w:rPr>
          <w:rFonts w:ascii="Times New Roman" w:hAnsi="Times New Roman"/>
          <w:noProof/>
          <w:sz w:val="28"/>
          <w:lang w:eastAsia="ru-RU"/>
        </w:rPr>
        <w:drawing>
          <wp:inline distT="0" distB="0" distL="0" distR="0" wp14:anchorId="3277790B" wp14:editId="084A24F4">
            <wp:extent cx="3966575" cy="1807080"/>
            <wp:effectExtent l="0" t="0" r="15240" b="3175"/>
            <wp:docPr id="10" name="Диаграмма 10">
              <a:extLst xmlns:a="http://schemas.openxmlformats.org/drawingml/2006/main">
                <a:ext uri="{FF2B5EF4-FFF2-40B4-BE49-F238E27FC236}">
                  <a16:creationId xmlns:a16="http://schemas.microsoft.com/office/drawing/2014/main" id="{2EB99F4C-82BA-7648-BB7C-D57E6AF9B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88D8A4" w14:textId="1AF3B633" w:rsidR="00C00152" w:rsidRDefault="00C00152" w:rsidP="00C00152">
      <w:pPr>
        <w:jc w:val="center"/>
        <w:rPr>
          <w:rFonts w:ascii="Times New Roman" w:hAnsi="Times New Roman" w:cs="Times New Roman"/>
          <w:sz w:val="18"/>
          <w:szCs w:val="18"/>
        </w:rPr>
      </w:pPr>
      <w:r>
        <w:rPr>
          <w:rFonts w:ascii="Times New Roman" w:hAnsi="Times New Roman" w:cs="Times New Roman"/>
          <w:sz w:val="20"/>
        </w:rPr>
        <w:t xml:space="preserve">▬▬ </w:t>
      </w:r>
      <w:r w:rsidRPr="00DB7E02">
        <w:rPr>
          <w:rFonts w:ascii="Times New Roman" w:hAnsi="Times New Roman" w:cs="Times New Roman"/>
          <w:sz w:val="18"/>
          <w:szCs w:val="18"/>
        </w:rPr>
        <w:t>Return on equity</w:t>
      </w:r>
      <w:r w:rsidRPr="00AE05A2">
        <w:rPr>
          <w:rFonts w:ascii="Times New Roman" w:hAnsi="Times New Roman" w:cs="Times New Roman"/>
          <w:sz w:val="20"/>
        </w:rPr>
        <w:t xml:space="preserve">  </w:t>
      </w:r>
      <w:r>
        <w:rPr>
          <w:rFonts w:ascii="Times New Roman" w:hAnsi="Times New Roman" w:cs="Times New Roman"/>
          <w:sz w:val="18"/>
          <w:szCs w:val="18"/>
        </w:rPr>
        <w:t xml:space="preserve">                          </w:t>
      </w:r>
      <w:r w:rsidRPr="00EA198D">
        <w:rPr>
          <w:rFonts w:ascii="Times New Roman" w:hAnsi="Times New Roman" w:cs="Times New Roman"/>
          <w:color w:val="AEAAAA" w:themeColor="background2" w:themeShade="BF"/>
          <w:sz w:val="18"/>
          <w:szCs w:val="18"/>
        </w:rPr>
        <w:t>▬▬</w:t>
      </w:r>
      <w:r>
        <w:rPr>
          <w:rFonts w:ascii="Times New Roman" w:hAnsi="Times New Roman" w:cs="Times New Roman"/>
          <w:sz w:val="18"/>
          <w:szCs w:val="18"/>
        </w:rPr>
        <w:t xml:space="preserve"> </w:t>
      </w:r>
      <w:r w:rsidRPr="00DB7E02">
        <w:rPr>
          <w:rFonts w:ascii="Times New Roman" w:hAnsi="Times New Roman" w:cs="Times New Roman"/>
          <w:sz w:val="18"/>
          <w:szCs w:val="18"/>
        </w:rPr>
        <w:t>Financial leverage</w:t>
      </w:r>
    </w:p>
    <w:p w14:paraId="5A8E8FA0" w14:textId="3F7A3DA3" w:rsidR="00C00152" w:rsidRDefault="00C00152" w:rsidP="004F4200">
      <w:pPr>
        <w:spacing w:before="120" w:after="120"/>
        <w:jc w:val="center"/>
        <w:rPr>
          <w:rFonts w:ascii="Times New Roman" w:hAnsi="Times New Roman" w:cs="Times New Roman"/>
          <w:b/>
          <w:bCs/>
          <w:sz w:val="18"/>
          <w:szCs w:val="18"/>
          <w:lang w:val="en-US"/>
        </w:rPr>
      </w:pP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C00152">
        <w:rPr>
          <w:rFonts w:ascii="Times New Roman" w:hAnsi="Times New Roman" w:cs="Times New Roman"/>
          <w:b/>
          <w:sz w:val="18"/>
          <w:szCs w:val="18"/>
          <w:lang w:val="en-US"/>
        </w:rPr>
        <w:t>3</w:t>
      </w:r>
      <w:r w:rsidRPr="000E35D4">
        <w:rPr>
          <w:rFonts w:ascii="Times New Roman" w:hAnsi="Times New Roman" w:cs="Times New Roman"/>
          <w:b/>
          <w:bCs/>
          <w:sz w:val="18"/>
          <w:szCs w:val="18"/>
          <w:lang w:val="en-GB"/>
        </w:rPr>
        <w:t>.</w:t>
      </w:r>
      <w:r w:rsidRPr="00DB7E02">
        <w:rPr>
          <w:rFonts w:ascii="Times New Roman" w:hAnsi="Times New Roman" w:cs="Times New Roman"/>
          <w:b/>
          <w:bCs/>
          <w:sz w:val="18"/>
          <w:szCs w:val="18"/>
          <w:lang w:val="en-US"/>
        </w:rPr>
        <w:t xml:space="preserve"> </w:t>
      </w:r>
      <w:r w:rsidRPr="00C00152">
        <w:rPr>
          <w:rFonts w:ascii="Times New Roman" w:hAnsi="Times New Roman" w:cs="Times New Roman"/>
          <w:sz w:val="18"/>
          <w:szCs w:val="18"/>
          <w:lang w:val="en-US"/>
        </w:rPr>
        <w:t>Return on equity and financial leverage of Almaz-Antey,% and units.</w:t>
      </w:r>
    </w:p>
    <w:p w14:paraId="2A28CA30" w14:textId="519F8972" w:rsidR="00C00152" w:rsidRPr="004F4200" w:rsidRDefault="00C00152" w:rsidP="004F4200">
      <w:pPr>
        <w:spacing w:after="120"/>
        <w:jc w:val="both"/>
        <w:rPr>
          <w:rFonts w:ascii="Times New Roman" w:hAnsi="Times New Roman" w:cs="Times New Roman"/>
          <w:iCs/>
          <w:sz w:val="18"/>
          <w:szCs w:val="16"/>
          <w:lang w:val="en-US"/>
        </w:rPr>
      </w:pPr>
      <w:r w:rsidRPr="000E35D4">
        <w:rPr>
          <w:rFonts w:ascii="Times New Roman" w:hAnsi="Times New Roman" w:cs="Times New Roman"/>
          <w:iCs/>
          <w:sz w:val="18"/>
          <w:szCs w:val="16"/>
          <w:lang w:val="en-GB"/>
        </w:rPr>
        <w:t>Source</w:t>
      </w:r>
      <w:r w:rsidRPr="004F4200">
        <w:rPr>
          <w:rFonts w:ascii="Times New Roman" w:hAnsi="Times New Roman" w:cs="Times New Roman"/>
          <w:iCs/>
          <w:sz w:val="18"/>
          <w:szCs w:val="16"/>
          <w:lang w:val="en-US"/>
        </w:rPr>
        <w:t xml:space="preserve">: </w:t>
      </w:r>
      <w:bookmarkStart w:id="7" w:name="_Hlk78904890"/>
      <w:r w:rsidR="004F4200" w:rsidRPr="009B6EF3">
        <w:rPr>
          <w:rFonts w:ascii="Times New Roman" w:hAnsi="Times New Roman" w:cs="Times New Roman"/>
          <w:iCs/>
          <w:sz w:val="18"/>
          <w:szCs w:val="16"/>
          <w:lang w:val="en-US"/>
        </w:rPr>
        <w:t xml:space="preserve">Compiled by the authors at: </w:t>
      </w:r>
      <w:bookmarkEnd w:id="7"/>
      <w:r w:rsidR="004F4200" w:rsidRPr="00B43810">
        <w:rPr>
          <w:rFonts w:ascii="Times New Roman" w:hAnsi="Times New Roman" w:cs="Times New Roman"/>
          <w:iCs/>
          <w:sz w:val="18"/>
          <w:szCs w:val="16"/>
          <w:lang w:val="en-US"/>
        </w:rPr>
        <w:t xml:space="preserve"> </w:t>
      </w:r>
      <w:hyperlink r:id="rId15" w:history="1">
        <w:r w:rsidRPr="004F4200">
          <w:rPr>
            <w:rStyle w:val="a6"/>
            <w:rFonts w:ascii="Times New Roman" w:hAnsi="Times New Roman" w:cs="Times New Roman"/>
            <w:iCs/>
            <w:sz w:val="18"/>
            <w:szCs w:val="16"/>
            <w:lang w:val="en-US"/>
          </w:rPr>
          <w:t>http://www.spark-interfax.ru/</w:t>
        </w:r>
      </w:hyperlink>
      <w:r w:rsidRPr="004F4200">
        <w:rPr>
          <w:rFonts w:ascii="Times New Roman" w:hAnsi="Times New Roman" w:cs="Times New Roman"/>
          <w:iCs/>
          <w:sz w:val="18"/>
          <w:szCs w:val="16"/>
          <w:lang w:val="en-US"/>
        </w:rPr>
        <w:t>.</w:t>
      </w:r>
    </w:p>
    <w:p w14:paraId="7C3272CE" w14:textId="77777777" w:rsidR="004F4200" w:rsidRPr="004F4200" w:rsidRDefault="004F4200" w:rsidP="004F4200">
      <w:pPr>
        <w:ind w:firstLine="284"/>
        <w:jc w:val="both"/>
        <w:rPr>
          <w:rFonts w:ascii="Times New Roman" w:hAnsi="Times New Roman" w:cs="Times New Roman"/>
          <w:sz w:val="20"/>
          <w:lang w:val="en-US"/>
        </w:rPr>
      </w:pPr>
      <w:r w:rsidRPr="004F4200">
        <w:rPr>
          <w:rFonts w:ascii="Times New Roman" w:hAnsi="Times New Roman" w:cs="Times New Roman"/>
          <w:sz w:val="20"/>
          <w:lang w:val="en-US"/>
        </w:rPr>
        <w:t>United Shipbuilding Company was established in 2007 and currently includes most of the shipbuilding defense enterprises in Russia. It is important to note that 100% of shares of JSC USC are in federal ownership represented by the Federal Property Management Agency. The corporation was created in order to develop the scientific and production potential of the defense industry, to ensure the security and defense of the state, to concentrate intellectual, industrial and financial resources for the implementation of projects for the construction of warships, the development of civil shipbuilding, as well as the development of the continental shelf and the world maritime market. USC has developed a development strategy until 2030, according to which it is necessary to achieve the following goals: fulfillment of the state defense order and the state armament program in a timely manner; ensuring the competitiveness of Russian-made ships and equipment in terms of technical and financial indicators; increasing the level of quality of production of marine technology, corresponding to the world level.</w:t>
      </w:r>
    </w:p>
    <w:p w14:paraId="1A898053" w14:textId="777EDD5F" w:rsidR="00C00152" w:rsidRPr="001F76AA" w:rsidRDefault="004F4200" w:rsidP="008E4E15">
      <w:pPr>
        <w:ind w:firstLine="284"/>
        <w:jc w:val="both"/>
        <w:rPr>
          <w:rFonts w:ascii="Times New Roman" w:hAnsi="Times New Roman" w:cs="Times New Roman"/>
          <w:spacing w:val="-2"/>
          <w:sz w:val="20"/>
          <w:lang w:val="en-US"/>
        </w:rPr>
      </w:pPr>
      <w:r w:rsidRPr="004F4200">
        <w:rPr>
          <w:rFonts w:ascii="Times New Roman" w:hAnsi="Times New Roman" w:cs="Times New Roman"/>
          <w:sz w:val="20"/>
          <w:lang w:val="en-US"/>
        </w:rPr>
        <w:t xml:space="preserve">The value of the corporation's assets for the period 2009-2018 increased by 5.8 times. For 2018, their cost is 795.16 billion rubles. In general, we can observe a stable growth in the corporation's revenue, which increased 596 times over the 10 years under review, and increased by 38.52% over the period 2017-2018. </w:t>
      </w:r>
      <w:r w:rsidRPr="001F76AA">
        <w:rPr>
          <w:rFonts w:ascii="Times New Roman" w:hAnsi="Times New Roman" w:cs="Times New Roman"/>
          <w:spacing w:val="-2"/>
          <w:sz w:val="20"/>
          <w:lang w:val="en-US"/>
        </w:rPr>
        <w:t xml:space="preserve">Despite this, JSC "USC" in some periods of its activity was in a loss-making state. For example, one of the factors behind the sharp decline in profits in 2016-2017 </w:t>
      </w:r>
      <w:r w:rsidR="001F76AA" w:rsidRPr="001F76AA">
        <w:rPr>
          <w:rFonts w:ascii="Times New Roman" w:hAnsi="Times New Roman" w:cs="Times New Roman"/>
          <w:spacing w:val="-2"/>
          <w:sz w:val="20"/>
          <w:lang w:val="en-US"/>
        </w:rPr>
        <w:t xml:space="preserve">by an average of </w:t>
      </w:r>
      <w:r w:rsidRPr="001F76AA">
        <w:rPr>
          <w:rFonts w:ascii="Times New Roman" w:hAnsi="Times New Roman" w:cs="Times New Roman"/>
          <w:spacing w:val="-2"/>
          <w:sz w:val="20"/>
          <w:lang w:val="en-US"/>
        </w:rPr>
        <w:t>70% is an increase in the cost of sales of products in 2 times. By 2018, the corporation has tripled its net profit compared to 2009</w:t>
      </w:r>
      <w:r w:rsidR="001F76AA" w:rsidRPr="001F76AA">
        <w:rPr>
          <w:rFonts w:ascii="Times New Roman" w:hAnsi="Times New Roman" w:cs="Times New Roman"/>
          <w:spacing w:val="-2"/>
          <w:sz w:val="20"/>
          <w:lang w:val="en-US"/>
        </w:rPr>
        <w:t xml:space="preserve"> </w:t>
      </w:r>
      <w:bookmarkStart w:id="8" w:name="_Hlk78904817"/>
      <w:r w:rsidR="001F76AA" w:rsidRPr="001F76AA">
        <w:rPr>
          <w:rFonts w:ascii="Times New Roman" w:hAnsi="Times New Roman" w:cs="Times New Roman"/>
          <w:iCs/>
          <w:spacing w:val="-2"/>
          <w:sz w:val="20"/>
          <w:lang w:val="en-US"/>
        </w:rPr>
        <w:t>(see fig. 4)</w:t>
      </w:r>
      <w:r w:rsidR="001F76AA" w:rsidRPr="001F76AA">
        <w:rPr>
          <w:rFonts w:ascii="Times New Roman" w:hAnsi="Times New Roman" w:cs="Times New Roman"/>
          <w:spacing w:val="-2"/>
          <w:sz w:val="20"/>
          <w:lang w:val="en-US"/>
        </w:rPr>
        <w:t>.</w:t>
      </w:r>
      <w:bookmarkEnd w:id="8"/>
    </w:p>
    <w:p w14:paraId="58FF87F6" w14:textId="77777777" w:rsidR="001F76AA" w:rsidRPr="001F76AA" w:rsidRDefault="001F76AA" w:rsidP="008E4E15">
      <w:pPr>
        <w:ind w:firstLine="284"/>
        <w:jc w:val="both"/>
        <w:rPr>
          <w:rFonts w:ascii="Times New Roman" w:hAnsi="Times New Roman" w:cs="Times New Roman"/>
          <w:sz w:val="20"/>
          <w:lang w:val="en-US"/>
        </w:rPr>
      </w:pPr>
    </w:p>
    <w:p w14:paraId="600DB5AD" w14:textId="25E55D29" w:rsidR="008E4E15" w:rsidRDefault="008E4E15" w:rsidP="008E4E15">
      <w:pPr>
        <w:jc w:val="center"/>
        <w:rPr>
          <w:rFonts w:ascii="Times New Roman" w:hAnsi="Times New Roman" w:cs="Times New Roman"/>
          <w:sz w:val="20"/>
          <w:lang w:val="ru-RU"/>
        </w:rPr>
      </w:pPr>
      <w:r w:rsidRPr="004B3964">
        <w:rPr>
          <w:rFonts w:ascii="Times New Roman" w:hAnsi="Times New Roman"/>
          <w:noProof/>
          <w:sz w:val="28"/>
          <w:lang w:eastAsia="ru-RU"/>
        </w:rPr>
        <w:drawing>
          <wp:inline distT="0" distB="0" distL="0" distR="0" wp14:anchorId="06C12561" wp14:editId="3AC3AA0B">
            <wp:extent cx="4263024" cy="1886524"/>
            <wp:effectExtent l="0" t="0" r="4445" b="0"/>
            <wp:docPr id="8" name="Диаграмма 8">
              <a:extLst xmlns:a="http://schemas.openxmlformats.org/drawingml/2006/main">
                <a:ext uri="{FF2B5EF4-FFF2-40B4-BE49-F238E27FC236}">
                  <a16:creationId xmlns:a16="http://schemas.microsoft.com/office/drawing/2014/main" id="{0FF5F028-4EA5-434D-9165-4D33493818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B1264D" w14:textId="729F872A" w:rsidR="008E4E15" w:rsidRPr="00AE05A2" w:rsidRDefault="008E4E15" w:rsidP="008E4E15">
      <w:pPr>
        <w:jc w:val="center"/>
        <w:rPr>
          <w:rFonts w:ascii="Times New Roman" w:hAnsi="Times New Roman" w:cs="Times New Roman"/>
          <w:sz w:val="18"/>
          <w:szCs w:val="18"/>
        </w:rPr>
      </w:pPr>
      <w:r>
        <w:rPr>
          <w:rFonts w:ascii="Times New Roman" w:hAnsi="Times New Roman" w:cs="Times New Roman"/>
          <w:sz w:val="20"/>
        </w:rPr>
        <w:t xml:space="preserve">▬▬ </w:t>
      </w:r>
      <w:r w:rsidRPr="000F0895">
        <w:rPr>
          <w:rFonts w:ascii="Times New Roman" w:hAnsi="Times New Roman" w:cs="Times New Roman"/>
          <w:sz w:val="18"/>
          <w:szCs w:val="18"/>
        </w:rPr>
        <w:t xml:space="preserve">Net profit </w:t>
      </w:r>
      <w:r w:rsidR="000F0895" w:rsidRPr="000F0895">
        <w:rPr>
          <w:rFonts w:ascii="Times New Roman" w:hAnsi="Times New Roman" w:cs="Times New Roman"/>
          <w:sz w:val="18"/>
          <w:szCs w:val="18"/>
          <w:lang w:val="en-US"/>
        </w:rPr>
        <w:t xml:space="preserve">(loss) </w:t>
      </w:r>
      <w:r w:rsidRPr="000F089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A198D">
        <w:rPr>
          <w:rFonts w:ascii="Times New Roman" w:hAnsi="Times New Roman" w:cs="Times New Roman"/>
          <w:color w:val="AEAAAA" w:themeColor="background2" w:themeShade="BF"/>
          <w:sz w:val="18"/>
          <w:szCs w:val="18"/>
        </w:rPr>
        <w:t>▬▬</w:t>
      </w:r>
      <w:r>
        <w:rPr>
          <w:rFonts w:ascii="Times New Roman" w:hAnsi="Times New Roman" w:cs="Times New Roman"/>
          <w:sz w:val="18"/>
          <w:szCs w:val="18"/>
        </w:rPr>
        <w:t xml:space="preserve"> </w:t>
      </w:r>
      <w:r w:rsidRPr="000F0895">
        <w:rPr>
          <w:rFonts w:ascii="Times New Roman" w:hAnsi="Times New Roman" w:cs="Times New Roman"/>
          <w:sz w:val="18"/>
          <w:szCs w:val="18"/>
        </w:rPr>
        <w:t>Revenue</w:t>
      </w:r>
    </w:p>
    <w:p w14:paraId="6B33A74A" w14:textId="4DBE0B37" w:rsidR="008E4E15" w:rsidRDefault="000F0895" w:rsidP="00EB73B2">
      <w:pPr>
        <w:spacing w:before="120" w:after="120"/>
        <w:jc w:val="center"/>
        <w:rPr>
          <w:rFonts w:ascii="Times New Roman" w:hAnsi="Times New Roman" w:cs="Times New Roman"/>
          <w:sz w:val="18"/>
          <w:szCs w:val="18"/>
          <w:lang w:val="en-US"/>
        </w:rPr>
      </w:pPr>
      <w:bookmarkStart w:id="9" w:name="_Hlk76393501"/>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DB3CB3">
        <w:rPr>
          <w:rFonts w:ascii="Times New Roman" w:hAnsi="Times New Roman" w:cs="Times New Roman"/>
          <w:b/>
          <w:sz w:val="18"/>
          <w:szCs w:val="18"/>
          <w:lang w:val="en-US"/>
        </w:rPr>
        <w:t>4</w:t>
      </w:r>
      <w:r w:rsidRPr="000E35D4">
        <w:rPr>
          <w:rFonts w:ascii="Times New Roman" w:hAnsi="Times New Roman" w:cs="Times New Roman"/>
          <w:b/>
          <w:bCs/>
          <w:sz w:val="18"/>
          <w:szCs w:val="18"/>
          <w:lang w:val="en-GB"/>
        </w:rPr>
        <w:t>.</w:t>
      </w:r>
      <w:bookmarkEnd w:id="9"/>
      <w:r w:rsidRPr="00DB7E02">
        <w:rPr>
          <w:rFonts w:ascii="Times New Roman" w:hAnsi="Times New Roman" w:cs="Times New Roman"/>
          <w:b/>
          <w:bCs/>
          <w:sz w:val="18"/>
          <w:szCs w:val="18"/>
          <w:lang w:val="en-US"/>
        </w:rPr>
        <w:t xml:space="preserve"> </w:t>
      </w:r>
      <w:r w:rsidRPr="000F0895">
        <w:rPr>
          <w:rFonts w:ascii="Times New Roman" w:hAnsi="Times New Roman" w:cs="Times New Roman"/>
          <w:sz w:val="18"/>
          <w:szCs w:val="18"/>
          <w:lang w:val="en-US"/>
        </w:rPr>
        <w:t>Revenue and net profit (loss) of JSC USC, thousand rubles</w:t>
      </w:r>
    </w:p>
    <w:p w14:paraId="0EC109A3" w14:textId="56839060" w:rsidR="000F0895" w:rsidRPr="00EB73B2" w:rsidRDefault="000F0895" w:rsidP="00EB73B2">
      <w:pPr>
        <w:spacing w:after="120"/>
        <w:jc w:val="both"/>
        <w:rPr>
          <w:rFonts w:ascii="Times New Roman" w:hAnsi="Times New Roman" w:cs="Times New Roman"/>
          <w:iCs/>
          <w:sz w:val="18"/>
          <w:szCs w:val="16"/>
          <w:lang w:val="en-US"/>
        </w:rPr>
      </w:pPr>
      <w:r w:rsidRPr="000E35D4">
        <w:rPr>
          <w:rFonts w:ascii="Times New Roman" w:hAnsi="Times New Roman" w:cs="Times New Roman"/>
          <w:iCs/>
          <w:sz w:val="18"/>
          <w:szCs w:val="16"/>
          <w:lang w:val="en-GB"/>
        </w:rPr>
        <w:t>Source</w:t>
      </w:r>
      <w:r w:rsidRPr="00EB73B2">
        <w:rPr>
          <w:rFonts w:ascii="Times New Roman" w:hAnsi="Times New Roman" w:cs="Times New Roman"/>
          <w:iCs/>
          <w:sz w:val="18"/>
          <w:szCs w:val="16"/>
          <w:lang w:val="en-US"/>
        </w:rPr>
        <w:t xml:space="preserve">: </w:t>
      </w:r>
      <w:r w:rsidR="00EB73B2" w:rsidRPr="00EB73B2">
        <w:rPr>
          <w:rFonts w:ascii="Times New Roman" w:hAnsi="Times New Roman" w:cs="Times New Roman"/>
          <w:iCs/>
          <w:sz w:val="18"/>
          <w:szCs w:val="16"/>
          <w:lang w:val="en-US"/>
        </w:rPr>
        <w:t xml:space="preserve">Compiled by the authors at: </w:t>
      </w:r>
      <w:hyperlink r:id="rId17" w:history="1">
        <w:r w:rsidRPr="00EB73B2">
          <w:rPr>
            <w:rStyle w:val="a6"/>
            <w:rFonts w:ascii="Times New Roman" w:hAnsi="Times New Roman" w:cs="Times New Roman"/>
            <w:iCs/>
            <w:sz w:val="18"/>
            <w:szCs w:val="16"/>
            <w:lang w:val="en-US"/>
          </w:rPr>
          <w:t>http://www.spark-interfax.ru/</w:t>
        </w:r>
      </w:hyperlink>
    </w:p>
    <w:p w14:paraId="77C009EC" w14:textId="6D392D53" w:rsidR="000F0895" w:rsidRDefault="00EB73B2" w:rsidP="00EB73B2">
      <w:pPr>
        <w:ind w:firstLine="284"/>
        <w:jc w:val="both"/>
        <w:rPr>
          <w:rFonts w:ascii="Times New Roman" w:hAnsi="Times New Roman" w:cs="Times New Roman"/>
          <w:iCs/>
          <w:sz w:val="20"/>
          <w:lang w:val="en-US"/>
        </w:rPr>
      </w:pPr>
      <w:r w:rsidRPr="00EB73B2">
        <w:rPr>
          <w:rFonts w:ascii="Times New Roman" w:hAnsi="Times New Roman" w:cs="Times New Roman"/>
          <w:iCs/>
          <w:sz w:val="20"/>
          <w:lang w:val="en-US"/>
        </w:rPr>
        <w:t>Also note that the corporation has been increasing its debt burden for 10 years. With regard to the return on equity, then, given the uneven growth of net profit and the corporation being in a loss-making state for two years (2012-2013), we can conclude that equity capital was not used effectively enough (see fig. 5).</w:t>
      </w:r>
      <w:r w:rsidR="000F0895" w:rsidRPr="00EB73B2">
        <w:rPr>
          <w:rFonts w:ascii="Times New Roman" w:hAnsi="Times New Roman" w:cs="Times New Roman"/>
          <w:iCs/>
          <w:sz w:val="20"/>
          <w:lang w:val="en-US"/>
        </w:rPr>
        <w:t xml:space="preserve"> </w:t>
      </w:r>
    </w:p>
    <w:p w14:paraId="458CAE01" w14:textId="77777777" w:rsidR="00EB73B2" w:rsidRPr="00EB73B2" w:rsidRDefault="00EB73B2" w:rsidP="00EB73B2">
      <w:pPr>
        <w:ind w:firstLine="284"/>
        <w:jc w:val="both"/>
        <w:rPr>
          <w:rFonts w:ascii="Times New Roman" w:hAnsi="Times New Roman" w:cs="Times New Roman"/>
          <w:iCs/>
          <w:sz w:val="20"/>
          <w:lang w:val="en-US"/>
        </w:rPr>
      </w:pPr>
    </w:p>
    <w:p w14:paraId="6337B166" w14:textId="59DF2786" w:rsidR="002E1F42" w:rsidRDefault="002E1F42" w:rsidP="002E1F42">
      <w:pPr>
        <w:jc w:val="center"/>
        <w:rPr>
          <w:rFonts w:ascii="Times New Roman" w:hAnsi="Times New Roman" w:cs="Times New Roman"/>
          <w:iCs/>
          <w:sz w:val="20"/>
          <w:lang w:val="ru-RU"/>
        </w:rPr>
      </w:pPr>
      <w:r w:rsidRPr="004B3964">
        <w:rPr>
          <w:rFonts w:ascii="Times New Roman" w:hAnsi="Times New Roman" w:cs="Times New Roman"/>
          <w:noProof/>
          <w:szCs w:val="28"/>
          <w:lang w:eastAsia="ru-RU"/>
        </w:rPr>
        <w:drawing>
          <wp:inline distT="0" distB="0" distL="0" distR="0" wp14:anchorId="05C3F2DC" wp14:editId="251A54EA">
            <wp:extent cx="3849666" cy="2037567"/>
            <wp:effectExtent l="0" t="0" r="17780" b="1270"/>
            <wp:docPr id="9" name="Диаграмма 9">
              <a:extLst xmlns:a="http://schemas.openxmlformats.org/drawingml/2006/main">
                <a:ext uri="{FF2B5EF4-FFF2-40B4-BE49-F238E27FC236}">
                  <a16:creationId xmlns:a16="http://schemas.microsoft.com/office/drawing/2014/main" id="{7F4143C2-3438-C64D-BC42-ACA12851A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B9B340" w14:textId="77777777" w:rsidR="002E1F42" w:rsidRDefault="002E1F42" w:rsidP="002E1F42">
      <w:pPr>
        <w:jc w:val="center"/>
        <w:rPr>
          <w:rFonts w:ascii="Times New Roman" w:hAnsi="Times New Roman" w:cs="Times New Roman"/>
          <w:sz w:val="18"/>
          <w:szCs w:val="18"/>
        </w:rPr>
      </w:pPr>
      <w:r>
        <w:rPr>
          <w:rFonts w:ascii="Times New Roman" w:hAnsi="Times New Roman" w:cs="Times New Roman"/>
          <w:sz w:val="20"/>
        </w:rPr>
        <w:t xml:space="preserve">▬▬ </w:t>
      </w:r>
      <w:r w:rsidRPr="00DB7E02">
        <w:rPr>
          <w:rFonts w:ascii="Times New Roman" w:hAnsi="Times New Roman" w:cs="Times New Roman"/>
          <w:sz w:val="18"/>
          <w:szCs w:val="18"/>
        </w:rPr>
        <w:t>Return on equity</w:t>
      </w:r>
      <w:r w:rsidRPr="00AE05A2">
        <w:rPr>
          <w:rFonts w:ascii="Times New Roman" w:hAnsi="Times New Roman" w:cs="Times New Roman"/>
          <w:sz w:val="20"/>
        </w:rPr>
        <w:t xml:space="preserve">  </w:t>
      </w:r>
      <w:r>
        <w:rPr>
          <w:rFonts w:ascii="Times New Roman" w:hAnsi="Times New Roman" w:cs="Times New Roman"/>
          <w:sz w:val="18"/>
          <w:szCs w:val="18"/>
        </w:rPr>
        <w:t xml:space="preserve">                          </w:t>
      </w:r>
      <w:r w:rsidRPr="00EA198D">
        <w:rPr>
          <w:rFonts w:ascii="Times New Roman" w:hAnsi="Times New Roman" w:cs="Times New Roman"/>
          <w:color w:val="AEAAAA" w:themeColor="background2" w:themeShade="BF"/>
          <w:sz w:val="18"/>
          <w:szCs w:val="18"/>
        </w:rPr>
        <w:t>▬▬</w:t>
      </w:r>
      <w:r>
        <w:rPr>
          <w:rFonts w:ascii="Times New Roman" w:hAnsi="Times New Roman" w:cs="Times New Roman"/>
          <w:sz w:val="18"/>
          <w:szCs w:val="18"/>
        </w:rPr>
        <w:t xml:space="preserve"> </w:t>
      </w:r>
      <w:r w:rsidRPr="00DB7E02">
        <w:rPr>
          <w:rFonts w:ascii="Times New Roman" w:hAnsi="Times New Roman" w:cs="Times New Roman"/>
          <w:sz w:val="18"/>
          <w:szCs w:val="18"/>
        </w:rPr>
        <w:t>Financial leverage</w:t>
      </w:r>
    </w:p>
    <w:p w14:paraId="60FC153F" w14:textId="6A58DC5A" w:rsidR="002E1F42" w:rsidRDefault="002E1F42" w:rsidP="00EB73B2">
      <w:pPr>
        <w:spacing w:before="120" w:after="120"/>
        <w:jc w:val="center"/>
        <w:rPr>
          <w:rFonts w:ascii="Times New Roman" w:hAnsi="Times New Roman" w:cs="Times New Roman"/>
          <w:iCs/>
          <w:sz w:val="18"/>
          <w:szCs w:val="18"/>
          <w:lang w:val="en-US"/>
        </w:rPr>
      </w:pPr>
      <w:r w:rsidRPr="002E1F42">
        <w:rPr>
          <w:rFonts w:ascii="Times New Roman" w:hAnsi="Times New Roman" w:cs="Times New Roman"/>
          <w:b/>
          <w:iCs/>
          <w:sz w:val="18"/>
          <w:szCs w:val="18"/>
          <w:lang w:val="en-GB"/>
        </w:rPr>
        <w:t xml:space="preserve">Figure </w:t>
      </w:r>
      <w:r w:rsidRPr="00DB3CB3">
        <w:rPr>
          <w:rFonts w:ascii="Times New Roman" w:hAnsi="Times New Roman" w:cs="Times New Roman"/>
          <w:b/>
          <w:iCs/>
          <w:sz w:val="18"/>
          <w:szCs w:val="18"/>
          <w:lang w:val="en-US"/>
        </w:rPr>
        <w:t>5</w:t>
      </w:r>
      <w:r w:rsidRPr="002E1F42">
        <w:rPr>
          <w:rFonts w:ascii="Times New Roman" w:hAnsi="Times New Roman" w:cs="Times New Roman"/>
          <w:b/>
          <w:bCs/>
          <w:iCs/>
          <w:sz w:val="18"/>
          <w:szCs w:val="18"/>
          <w:lang w:val="en-GB"/>
        </w:rPr>
        <w:t>.</w:t>
      </w:r>
      <w:r w:rsidRPr="002E1F42">
        <w:rPr>
          <w:rFonts w:ascii="Times New Roman" w:hAnsi="Times New Roman" w:cs="Times New Roman"/>
          <w:b/>
          <w:bCs/>
          <w:iCs/>
          <w:sz w:val="18"/>
          <w:szCs w:val="18"/>
          <w:lang w:val="en-US"/>
        </w:rPr>
        <w:t xml:space="preserve"> </w:t>
      </w:r>
      <w:r w:rsidRPr="002E1F42">
        <w:rPr>
          <w:rFonts w:ascii="Times New Roman" w:hAnsi="Times New Roman" w:cs="Times New Roman"/>
          <w:iCs/>
          <w:sz w:val="18"/>
          <w:szCs w:val="18"/>
          <w:lang w:val="en-US"/>
        </w:rPr>
        <w:t>Return on equity and financial leverage of JSC "USC",% and units</w:t>
      </w:r>
    </w:p>
    <w:p w14:paraId="6128C7C3" w14:textId="1EAE6E09" w:rsidR="002E1F42" w:rsidRPr="00480535" w:rsidRDefault="002E1F42" w:rsidP="002E1F42">
      <w:pPr>
        <w:jc w:val="both"/>
        <w:rPr>
          <w:rFonts w:ascii="Times New Roman" w:hAnsi="Times New Roman" w:cs="Times New Roman"/>
          <w:iCs/>
          <w:sz w:val="18"/>
          <w:szCs w:val="18"/>
          <w:lang w:val="en-US"/>
        </w:rPr>
      </w:pPr>
      <w:r w:rsidRPr="000E35D4">
        <w:rPr>
          <w:rFonts w:ascii="Times New Roman" w:hAnsi="Times New Roman" w:cs="Times New Roman"/>
          <w:iCs/>
          <w:sz w:val="18"/>
          <w:szCs w:val="16"/>
          <w:lang w:val="en-GB"/>
        </w:rPr>
        <w:t>Source</w:t>
      </w:r>
      <w:r w:rsidRPr="00480535">
        <w:rPr>
          <w:rFonts w:ascii="Times New Roman" w:hAnsi="Times New Roman" w:cs="Times New Roman"/>
          <w:iCs/>
          <w:sz w:val="18"/>
          <w:szCs w:val="16"/>
          <w:lang w:val="en-US"/>
        </w:rPr>
        <w:t xml:space="preserve">: </w:t>
      </w:r>
      <w:bookmarkStart w:id="10" w:name="_Hlk76912445"/>
      <w:r w:rsidR="00EB73B2" w:rsidRPr="00EB73B2">
        <w:rPr>
          <w:rFonts w:ascii="Times New Roman" w:hAnsi="Times New Roman" w:cs="Times New Roman"/>
          <w:iCs/>
          <w:sz w:val="18"/>
          <w:szCs w:val="16"/>
          <w:lang w:val="en-US"/>
        </w:rPr>
        <w:t xml:space="preserve">Compiled by the authors at: </w:t>
      </w:r>
      <w:hyperlink r:id="rId19" w:history="1">
        <w:r w:rsidRPr="00480535">
          <w:rPr>
            <w:rStyle w:val="a6"/>
            <w:rFonts w:ascii="Times New Roman" w:hAnsi="Times New Roman" w:cs="Times New Roman"/>
            <w:iCs/>
            <w:sz w:val="18"/>
            <w:szCs w:val="16"/>
            <w:lang w:val="en-US"/>
          </w:rPr>
          <w:t>http://www.spark-interfax.ru/</w:t>
        </w:r>
      </w:hyperlink>
    </w:p>
    <w:bookmarkEnd w:id="10"/>
    <w:p w14:paraId="5658165B" w14:textId="1643F4CB" w:rsidR="00404C70" w:rsidRPr="0036673D" w:rsidRDefault="00404C70" w:rsidP="00C00152">
      <w:pPr>
        <w:spacing w:before="360" w:after="120"/>
        <w:jc w:val="both"/>
        <w:rPr>
          <w:rFonts w:ascii="Times New Roman" w:hAnsi="Times New Roman" w:cs="Times New Roman"/>
          <w:b/>
          <w:bCs/>
          <w:szCs w:val="24"/>
          <w:lang w:val="en-US"/>
        </w:rPr>
      </w:pPr>
      <w:r w:rsidRPr="0036673D">
        <w:rPr>
          <w:rFonts w:ascii="Times New Roman" w:hAnsi="Times New Roman" w:cs="Times New Roman"/>
          <w:b/>
          <w:bCs/>
          <w:caps/>
          <w:szCs w:val="24"/>
          <w:lang w:val="en-US"/>
        </w:rPr>
        <w:t>4</w:t>
      </w:r>
      <w:r w:rsidRPr="0036673D">
        <w:rPr>
          <w:rFonts w:ascii="Times New Roman" w:hAnsi="Times New Roman" w:cs="Times New Roman"/>
          <w:b/>
          <w:caps/>
          <w:szCs w:val="24"/>
          <w:lang w:val="en-US"/>
        </w:rPr>
        <w:t xml:space="preserve"> </w:t>
      </w:r>
      <w:r w:rsidRPr="00404C70">
        <w:rPr>
          <w:rFonts w:ascii="Times New Roman" w:hAnsi="Times New Roman" w:cs="Times New Roman"/>
          <w:b/>
          <w:bCs/>
          <w:szCs w:val="24"/>
          <w:lang w:val="en-US"/>
        </w:rPr>
        <w:t>Conclusions</w:t>
      </w:r>
    </w:p>
    <w:p w14:paraId="2E0323C1" w14:textId="02F86B8E" w:rsidR="00121E12" w:rsidRPr="00BB3647" w:rsidRDefault="00480535" w:rsidP="00121E12">
      <w:pPr>
        <w:ind w:firstLine="284"/>
        <w:jc w:val="both"/>
        <w:rPr>
          <w:rFonts w:ascii="Times New Roman" w:hAnsi="Times New Roman" w:cs="Times New Roman"/>
          <w:sz w:val="20"/>
          <w:lang w:val="en-US"/>
        </w:rPr>
      </w:pPr>
      <w:r w:rsidRPr="00480535">
        <w:rPr>
          <w:rFonts w:ascii="Times New Roman" w:hAnsi="Times New Roman" w:cs="Times New Roman"/>
          <w:sz w:val="20"/>
          <w:lang w:val="en-US"/>
        </w:rPr>
        <w:t>The global arms trade is undergoing certain changes. Although the leading exporters generally retain their leading positions, new players such as China, UAE,</w:t>
      </w:r>
      <w:r>
        <w:rPr>
          <w:rFonts w:ascii="Times New Roman" w:hAnsi="Times New Roman" w:cs="Times New Roman"/>
          <w:sz w:val="20"/>
          <w:lang w:val="en-US"/>
        </w:rPr>
        <w:t xml:space="preserve"> </w:t>
      </w:r>
      <w:r w:rsidRPr="00480535">
        <w:rPr>
          <w:rFonts w:ascii="Times New Roman" w:hAnsi="Times New Roman" w:cs="Times New Roman"/>
          <w:sz w:val="20"/>
        </w:rPr>
        <w:t>South Korea</w:t>
      </w:r>
      <w:r>
        <w:rPr>
          <w:rFonts w:ascii="Times New Roman" w:hAnsi="Times New Roman" w:cs="Times New Roman"/>
          <w:sz w:val="20"/>
          <w:lang w:val="en-US"/>
        </w:rPr>
        <w:t xml:space="preserve">, </w:t>
      </w:r>
      <w:r w:rsidRPr="00480535">
        <w:rPr>
          <w:rFonts w:ascii="Times New Roman" w:hAnsi="Times New Roman" w:cs="Times New Roman"/>
          <w:sz w:val="20"/>
        </w:rPr>
        <w:t>Saudi Arabia</w:t>
      </w:r>
      <w:r w:rsidRPr="00480535">
        <w:rPr>
          <w:rFonts w:ascii="Times New Roman" w:hAnsi="Times New Roman" w:cs="Times New Roman"/>
          <w:sz w:val="20"/>
          <w:lang w:val="en-US"/>
        </w:rPr>
        <w:t xml:space="preserve"> and some others are trying to squeeze them out. You cannot become a serious player in this market without creating large national or even transnational companies. The leading three</w:t>
      </w:r>
      <w:r>
        <w:rPr>
          <w:rFonts w:ascii="Times New Roman" w:hAnsi="Times New Roman" w:cs="Times New Roman"/>
          <w:sz w:val="20"/>
          <w:lang w:val="en-US"/>
        </w:rPr>
        <w:t xml:space="preserve"> (USA, Russia</w:t>
      </w:r>
      <w:r w:rsidRPr="00480535">
        <w:rPr>
          <w:rFonts w:ascii="Times New Roman" w:hAnsi="Times New Roman" w:cs="Times New Roman"/>
          <w:sz w:val="20"/>
          <w:lang w:val="en-US"/>
        </w:rPr>
        <w:t>,</w:t>
      </w:r>
      <w:r>
        <w:rPr>
          <w:rFonts w:ascii="Times New Roman" w:hAnsi="Times New Roman" w:cs="Times New Roman"/>
          <w:sz w:val="20"/>
          <w:lang w:val="en-US"/>
        </w:rPr>
        <w:t xml:space="preserve"> EU)</w:t>
      </w:r>
      <w:r w:rsidRPr="00480535">
        <w:rPr>
          <w:rFonts w:ascii="Times New Roman" w:hAnsi="Times New Roman" w:cs="Times New Roman"/>
          <w:sz w:val="20"/>
          <w:lang w:val="en-US"/>
        </w:rPr>
        <w:t xml:space="preserve"> in order to maintain and, if possible, strengthen their positions in the arms export market, have to seriously reform their military-industrial complex and look for ways to increase the efficiency of companies producing military products</w:t>
      </w:r>
      <w:r>
        <w:rPr>
          <w:rFonts w:ascii="Times New Roman" w:hAnsi="Times New Roman" w:cs="Times New Roman"/>
          <w:sz w:val="20"/>
          <w:lang w:val="en-US"/>
        </w:rPr>
        <w:t xml:space="preserve"> </w:t>
      </w:r>
      <w:r w:rsidR="00121E12" w:rsidRPr="00BB3647">
        <w:rPr>
          <w:rFonts w:ascii="Times New Roman" w:hAnsi="Times New Roman" w:cs="Times New Roman"/>
          <w:sz w:val="20"/>
          <w:lang w:val="en-US"/>
        </w:rPr>
        <w:t>(</w:t>
      </w:r>
      <w:r w:rsidR="00BC732C" w:rsidRPr="00BB3647">
        <w:rPr>
          <w:rFonts w:ascii="Times New Roman" w:hAnsi="Times New Roman" w:cs="Times New Roman"/>
          <w:sz w:val="20"/>
          <w:lang w:val="en-US"/>
        </w:rPr>
        <w:t xml:space="preserve">Bellais, 2021; </w:t>
      </w:r>
      <w:r w:rsidR="0028418B" w:rsidRPr="00BB3647">
        <w:rPr>
          <w:rFonts w:ascii="Times New Roman" w:hAnsi="Times New Roman" w:cs="Times New Roman"/>
          <w:sz w:val="20"/>
          <w:lang w:val="en-US"/>
        </w:rPr>
        <w:t xml:space="preserve">Kim </w:t>
      </w:r>
      <w:r w:rsidR="0028418B">
        <w:rPr>
          <w:rFonts w:ascii="Times New Roman" w:hAnsi="Times New Roman" w:cs="Times New Roman"/>
          <w:sz w:val="20"/>
          <w:lang w:val="en-US"/>
        </w:rPr>
        <w:t>and</w:t>
      </w:r>
      <w:r w:rsidR="0028418B" w:rsidRPr="00BB3647">
        <w:rPr>
          <w:rFonts w:ascii="Times New Roman" w:hAnsi="Times New Roman" w:cs="Times New Roman"/>
          <w:sz w:val="20"/>
          <w:lang w:val="en-US"/>
        </w:rPr>
        <w:t xml:space="preserve"> Hong, </w:t>
      </w:r>
      <w:r w:rsidR="00F01E24" w:rsidRPr="00BB3647">
        <w:rPr>
          <w:rFonts w:ascii="Times New Roman" w:hAnsi="Times New Roman" w:cs="Times New Roman"/>
          <w:sz w:val="20"/>
          <w:lang w:val="en-US"/>
        </w:rPr>
        <w:t>2015</w:t>
      </w:r>
      <w:r w:rsidR="00121E12" w:rsidRPr="00BB3647">
        <w:rPr>
          <w:rFonts w:ascii="Times New Roman" w:hAnsi="Times New Roman" w:cs="Times New Roman"/>
          <w:sz w:val="20"/>
          <w:lang w:val="en-US"/>
        </w:rPr>
        <w:t>).</w:t>
      </w:r>
    </w:p>
    <w:p w14:paraId="1A4668D0" w14:textId="4A86CEA2" w:rsidR="00BB3647" w:rsidRPr="00BB3647" w:rsidRDefault="00BB3647" w:rsidP="00BB3647">
      <w:pPr>
        <w:ind w:firstLine="284"/>
        <w:jc w:val="both"/>
        <w:rPr>
          <w:rFonts w:ascii="Times New Roman" w:hAnsi="Times New Roman" w:cs="Times New Roman"/>
          <w:sz w:val="20"/>
          <w:lang w:val="en-US"/>
        </w:rPr>
      </w:pPr>
      <w:r w:rsidRPr="00BB3647">
        <w:rPr>
          <w:rFonts w:ascii="Times New Roman" w:hAnsi="Times New Roman" w:cs="Times New Roman"/>
          <w:sz w:val="20"/>
          <w:lang w:val="en-US"/>
        </w:rPr>
        <w:t>Despite the presence of certain problems in the functioning of the Russian military-industrial complex</w:t>
      </w:r>
      <w:r>
        <w:rPr>
          <w:rFonts w:ascii="Times New Roman" w:hAnsi="Times New Roman" w:cs="Times New Roman"/>
          <w:sz w:val="20"/>
          <w:lang w:val="en-US"/>
        </w:rPr>
        <w:t xml:space="preserve"> </w:t>
      </w:r>
      <w:r w:rsidRPr="00BB3647">
        <w:rPr>
          <w:rFonts w:ascii="Times New Roman" w:hAnsi="Times New Roman" w:cs="Times New Roman"/>
          <w:sz w:val="20"/>
          <w:lang w:val="en-US"/>
        </w:rPr>
        <w:t>(Gregova et al., 2021), on the whole, the recent reforms carried out can be considered successful. During the period under review, most of the companies in the Russian defense industry have shown cumulative growth in financial performance. Absolutely all corporations have positive dynamics in increasing the value of their assets. Most of them demonstrate stable growth in net profit and revenue. The growth is especially noticeable since 2013-2014, which is reflected in the implementation of the State Armaments Program - 2020. However, it is worth mentioning the fact that a certain share of corporations is experiencing an increase in debt burden and a decrease in the return on equity, which in turn affects the financial stability and efficiency of using the equity capital of corporations for the worse</w:t>
      </w:r>
      <w:r w:rsidR="00AE63EE">
        <w:rPr>
          <w:rFonts w:ascii="Times New Roman" w:hAnsi="Times New Roman" w:cs="Times New Roman"/>
          <w:sz w:val="20"/>
          <w:lang w:val="en-US"/>
        </w:rPr>
        <w:t xml:space="preserve"> (Dengov &amp; Tulyakova, 2015(1, 2, 3))</w:t>
      </w:r>
      <w:r w:rsidRPr="00BB3647">
        <w:rPr>
          <w:rFonts w:ascii="Times New Roman" w:hAnsi="Times New Roman" w:cs="Times New Roman"/>
          <w:sz w:val="20"/>
          <w:lang w:val="en-US"/>
        </w:rPr>
        <w:t>.</w:t>
      </w:r>
    </w:p>
    <w:p w14:paraId="5CA00F5A" w14:textId="3A80AC7F" w:rsidR="00941865" w:rsidRDefault="00941865" w:rsidP="00BB3647">
      <w:pPr>
        <w:spacing w:before="360" w:after="120"/>
        <w:jc w:val="both"/>
        <w:rPr>
          <w:rFonts w:ascii="Times New Roman" w:hAnsi="Times New Roman" w:cs="Times New Roman"/>
          <w:b/>
          <w:szCs w:val="24"/>
          <w:lang w:val="en-GB"/>
        </w:rPr>
      </w:pPr>
      <w:r w:rsidRPr="000E35D4">
        <w:rPr>
          <w:rFonts w:ascii="Times New Roman" w:hAnsi="Times New Roman" w:cs="Times New Roman"/>
          <w:b/>
          <w:szCs w:val="24"/>
          <w:lang w:val="en-GB"/>
        </w:rPr>
        <w:t>References</w:t>
      </w:r>
    </w:p>
    <w:p w14:paraId="75665A14" w14:textId="729A9837" w:rsidR="00DB3CB3" w:rsidRPr="00DB3CB3" w:rsidRDefault="00DB3CB3" w:rsidP="00BA5499">
      <w:pPr>
        <w:spacing w:before="60"/>
        <w:ind w:left="357"/>
        <w:jc w:val="both"/>
        <w:rPr>
          <w:rFonts w:ascii="Times New Roman" w:hAnsi="Times New Roman" w:cs="Times New Roman"/>
          <w:b/>
          <w:szCs w:val="24"/>
          <w:lang w:val="en-US"/>
        </w:rPr>
      </w:pPr>
      <w:r w:rsidRPr="000E35D4">
        <w:rPr>
          <w:rFonts w:ascii="Times New Roman" w:hAnsi="Times New Roman" w:cs="Times New Roman"/>
          <w:i/>
          <w:sz w:val="20"/>
          <w:lang w:val="en-GB"/>
        </w:rPr>
        <w:t>Journals:</w:t>
      </w:r>
    </w:p>
    <w:p w14:paraId="64F18468" w14:textId="0F5828A9" w:rsidR="00170788" w:rsidRPr="00343945" w:rsidRDefault="00895F16" w:rsidP="00BA5499">
      <w:pPr>
        <w:tabs>
          <w:tab w:val="left" w:pos="284"/>
        </w:tabs>
        <w:spacing w:before="60"/>
        <w:ind w:left="357" w:hanging="357"/>
        <w:jc w:val="both"/>
        <w:rPr>
          <w:rFonts w:ascii="Times New Roman" w:hAnsi="Times New Roman" w:cs="Times New Roman"/>
          <w:bCs/>
          <w:sz w:val="20"/>
          <w:lang w:val="en-US"/>
        </w:rPr>
      </w:pPr>
      <w:bookmarkStart w:id="11" w:name="_Hlk76900662"/>
      <w:r w:rsidRPr="00343945">
        <w:rPr>
          <w:rFonts w:ascii="Times New Roman" w:hAnsi="Times New Roman" w:cs="Times New Roman"/>
          <w:bCs/>
          <w:sz w:val="20"/>
          <w:lang w:val="en-US"/>
        </w:rPr>
        <w:t>1</w:t>
      </w:r>
      <w:r w:rsidR="00170788" w:rsidRPr="00343945">
        <w:rPr>
          <w:rFonts w:ascii="Times New Roman" w:hAnsi="Times New Roman" w:cs="Times New Roman"/>
          <w:bCs/>
          <w:sz w:val="20"/>
          <w:lang w:val="en-US"/>
        </w:rPr>
        <w:t xml:space="preserve">. </w:t>
      </w:r>
      <w:r w:rsidR="00343945">
        <w:rPr>
          <w:rFonts w:ascii="Times New Roman" w:hAnsi="Times New Roman" w:cs="Times New Roman"/>
          <w:bCs/>
          <w:sz w:val="20"/>
          <w:lang w:val="en-US"/>
        </w:rPr>
        <w:t xml:space="preserve">   </w:t>
      </w:r>
      <w:r w:rsidR="00170788" w:rsidRPr="00343945">
        <w:rPr>
          <w:rFonts w:ascii="Times New Roman" w:hAnsi="Times New Roman" w:cs="Times New Roman"/>
          <w:bCs/>
          <w:sz w:val="20"/>
          <w:lang w:val="en-US"/>
        </w:rPr>
        <w:t xml:space="preserve">Blum, J. </w:t>
      </w:r>
      <w:r w:rsidR="00343945" w:rsidRPr="00343945">
        <w:rPr>
          <w:rFonts w:ascii="Times New Roman" w:hAnsi="Times New Roman" w:cs="Times New Roman"/>
          <w:bCs/>
          <w:sz w:val="20"/>
          <w:lang w:val="en-US"/>
        </w:rPr>
        <w:t xml:space="preserve">(2019). </w:t>
      </w:r>
      <w:r w:rsidR="00170788" w:rsidRPr="00343945">
        <w:rPr>
          <w:rFonts w:ascii="Times New Roman" w:hAnsi="Times New Roman" w:cs="Times New Roman"/>
          <w:bCs/>
          <w:sz w:val="20"/>
          <w:lang w:val="en-US"/>
        </w:rPr>
        <w:t>Arms production, national defense spending and arms trade: Examining supply and demand</w:t>
      </w:r>
      <w:r w:rsidR="00343945" w:rsidRPr="00343945">
        <w:rPr>
          <w:rFonts w:ascii="Times New Roman" w:hAnsi="Times New Roman" w:cs="Times New Roman"/>
          <w:bCs/>
          <w:sz w:val="20"/>
          <w:lang w:val="en-US"/>
        </w:rPr>
        <w:t xml:space="preserve">. </w:t>
      </w:r>
      <w:r w:rsidR="00170788" w:rsidRPr="00343945">
        <w:rPr>
          <w:rFonts w:ascii="Times New Roman" w:hAnsi="Times New Roman" w:cs="Times New Roman"/>
          <w:bCs/>
          <w:i/>
          <w:iCs/>
          <w:sz w:val="20"/>
          <w:lang w:val="en-US"/>
        </w:rPr>
        <w:t>European Journal of Political Economy</w:t>
      </w:r>
      <w:r w:rsidR="00343945" w:rsidRPr="00343945">
        <w:rPr>
          <w:rFonts w:ascii="Times New Roman" w:hAnsi="Times New Roman" w:cs="Times New Roman"/>
          <w:bCs/>
          <w:sz w:val="20"/>
          <w:lang w:val="en-US"/>
        </w:rPr>
        <w:t>,</w:t>
      </w:r>
      <w:r w:rsidR="00170788" w:rsidRPr="00343945">
        <w:rPr>
          <w:rFonts w:ascii="Times New Roman" w:hAnsi="Times New Roman" w:cs="Times New Roman"/>
          <w:bCs/>
          <w:sz w:val="20"/>
          <w:lang w:val="en-US"/>
        </w:rPr>
        <w:t xml:space="preserve"> </w:t>
      </w:r>
      <w:r w:rsidR="00343945" w:rsidRPr="00343945">
        <w:rPr>
          <w:rFonts w:ascii="Times New Roman" w:hAnsi="Times New Roman" w:cs="Times New Roman"/>
          <w:bCs/>
          <w:i/>
          <w:iCs/>
          <w:sz w:val="20"/>
          <w:lang w:val="en-US"/>
        </w:rPr>
        <w:t>8</w:t>
      </w:r>
      <w:r w:rsidR="00343945">
        <w:rPr>
          <w:rFonts w:ascii="Times New Roman" w:hAnsi="Times New Roman" w:cs="Times New Roman"/>
          <w:bCs/>
          <w:sz w:val="20"/>
          <w:lang w:val="en-US"/>
        </w:rPr>
        <w:t>,</w:t>
      </w:r>
      <w:r w:rsidR="00170788" w:rsidRPr="00343945">
        <w:rPr>
          <w:rFonts w:ascii="Times New Roman" w:hAnsi="Times New Roman" w:cs="Times New Roman"/>
          <w:bCs/>
          <w:sz w:val="20"/>
          <w:lang w:val="en-US"/>
        </w:rPr>
        <w:t xml:space="preserve"> </w:t>
      </w:r>
      <w:r w:rsidR="00343945" w:rsidRPr="00343945">
        <w:rPr>
          <w:rFonts w:ascii="Times New Roman" w:hAnsi="Times New Roman" w:cs="Times New Roman"/>
          <w:bCs/>
          <w:sz w:val="20"/>
        </w:rPr>
        <w:t>Article</w:t>
      </w:r>
      <w:r w:rsidR="00343945" w:rsidRPr="00343945">
        <w:rPr>
          <w:rFonts w:ascii="Times New Roman" w:hAnsi="Times New Roman" w:cs="Times New Roman"/>
          <w:bCs/>
          <w:sz w:val="20"/>
          <w:lang w:val="en-US"/>
        </w:rPr>
        <w:t xml:space="preserve"> </w:t>
      </w:r>
      <w:r w:rsidR="00170788" w:rsidRPr="00343945">
        <w:rPr>
          <w:rFonts w:ascii="Times New Roman" w:hAnsi="Times New Roman" w:cs="Times New Roman"/>
          <w:bCs/>
          <w:sz w:val="20"/>
          <w:lang w:val="en-US"/>
        </w:rPr>
        <w:t>101814</w:t>
      </w:r>
      <w:r w:rsidR="00343945">
        <w:rPr>
          <w:rFonts w:ascii="Times New Roman" w:hAnsi="Times New Roman" w:cs="Times New Roman"/>
          <w:bCs/>
          <w:sz w:val="20"/>
          <w:lang w:val="en-US"/>
        </w:rPr>
        <w:t>.</w:t>
      </w:r>
      <w:r w:rsidR="00170788" w:rsidRPr="00343945">
        <w:rPr>
          <w:rFonts w:ascii="Times New Roman" w:hAnsi="Times New Roman" w:cs="Times New Roman"/>
          <w:bCs/>
          <w:sz w:val="20"/>
          <w:lang w:val="en-US"/>
        </w:rPr>
        <w:t xml:space="preserve"> </w:t>
      </w:r>
      <w:hyperlink r:id="rId20" w:history="1">
        <w:r w:rsidR="009E1C69" w:rsidRPr="009E1C69">
          <w:t xml:space="preserve"> </w:t>
        </w:r>
        <w:r w:rsidR="009E1C69" w:rsidRPr="009E1C69">
          <w:rPr>
            <w:rStyle w:val="a6"/>
            <w:rFonts w:ascii="Times New Roman" w:hAnsi="Times New Roman" w:cs="Times New Roman"/>
            <w:bCs/>
            <w:sz w:val="20"/>
            <w:lang w:val="en-US"/>
          </w:rPr>
          <w:t>https://doi.org/</w:t>
        </w:r>
        <w:r w:rsidR="003543A4" w:rsidRPr="001135D6">
          <w:rPr>
            <w:rStyle w:val="a6"/>
            <w:rFonts w:ascii="Times New Roman" w:hAnsi="Times New Roman" w:cs="Times New Roman"/>
            <w:bCs/>
            <w:sz w:val="20"/>
            <w:lang w:val="en-US"/>
          </w:rPr>
          <w:t>10.1016/j.ejpoleco</w:t>
        </w:r>
      </w:hyperlink>
      <w:r w:rsidR="003543A4">
        <w:rPr>
          <w:rFonts w:ascii="Times New Roman" w:hAnsi="Times New Roman" w:cs="Times New Roman"/>
          <w:bCs/>
          <w:sz w:val="20"/>
          <w:lang w:val="en-US"/>
        </w:rPr>
        <w:t xml:space="preserve"> </w:t>
      </w:r>
      <w:r w:rsidR="00343945" w:rsidRPr="00343945">
        <w:rPr>
          <w:rFonts w:ascii="Times New Roman" w:hAnsi="Times New Roman" w:cs="Times New Roman"/>
          <w:b/>
          <w:sz w:val="20"/>
          <w:highlight w:val="green"/>
          <w:lang w:val="en-US"/>
        </w:rPr>
        <w:t xml:space="preserve"> Q2</w:t>
      </w:r>
    </w:p>
    <w:p w14:paraId="1F4FDE6E" w14:textId="38275C8E" w:rsidR="00404C70" w:rsidRPr="003543A4" w:rsidRDefault="00895F16" w:rsidP="00343945">
      <w:pPr>
        <w:spacing w:before="60"/>
        <w:ind w:left="357" w:hanging="357"/>
        <w:jc w:val="both"/>
        <w:rPr>
          <w:rFonts w:ascii="Times New Roman" w:hAnsi="Times New Roman" w:cs="Times New Roman"/>
          <w:bCs/>
          <w:sz w:val="20"/>
          <w:lang w:val="en-US"/>
        </w:rPr>
      </w:pPr>
      <w:r w:rsidRPr="00343945">
        <w:rPr>
          <w:rFonts w:ascii="Times New Roman" w:hAnsi="Times New Roman" w:cs="Times New Roman"/>
          <w:bCs/>
          <w:sz w:val="20"/>
          <w:lang w:val="en-US"/>
        </w:rPr>
        <w:t>2</w:t>
      </w:r>
      <w:r w:rsidR="00DB3CB3" w:rsidRPr="00343945">
        <w:rPr>
          <w:rFonts w:ascii="Times New Roman" w:hAnsi="Times New Roman" w:cs="Times New Roman"/>
          <w:bCs/>
          <w:sz w:val="20"/>
          <w:lang w:val="en-US"/>
        </w:rPr>
        <w:t xml:space="preserve">. </w:t>
      </w:r>
      <w:r w:rsidR="00030CEB">
        <w:rPr>
          <w:rFonts w:ascii="Times New Roman" w:hAnsi="Times New Roman" w:cs="Times New Roman"/>
          <w:bCs/>
          <w:sz w:val="20"/>
          <w:lang w:val="en-US"/>
        </w:rPr>
        <w:t xml:space="preserve"> </w:t>
      </w:r>
      <w:r w:rsidR="00030CEB" w:rsidRPr="00343945">
        <w:rPr>
          <w:rFonts w:ascii="Times New Roman" w:hAnsi="Times New Roman" w:cs="Times New Roman"/>
          <w:bCs/>
          <w:sz w:val="20"/>
          <w:lang w:val="en-US"/>
        </w:rPr>
        <w:t>Tulyakova, I</w:t>
      </w:r>
      <w:r w:rsidR="00030CEB">
        <w:rPr>
          <w:rFonts w:ascii="Times New Roman" w:hAnsi="Times New Roman" w:cs="Times New Roman"/>
          <w:bCs/>
          <w:sz w:val="20"/>
          <w:lang w:val="en-US"/>
        </w:rPr>
        <w:t xml:space="preserve">., </w:t>
      </w:r>
      <w:r w:rsidR="00030CEB" w:rsidRPr="00343945">
        <w:rPr>
          <w:rFonts w:ascii="Times New Roman" w:hAnsi="Times New Roman" w:cs="Times New Roman"/>
          <w:bCs/>
          <w:sz w:val="20"/>
          <w:lang w:val="en-US"/>
        </w:rPr>
        <w:t>Gregova, E</w:t>
      </w:r>
      <w:r w:rsidR="00030CEB">
        <w:rPr>
          <w:rFonts w:ascii="Times New Roman" w:hAnsi="Times New Roman" w:cs="Times New Roman"/>
          <w:bCs/>
          <w:sz w:val="20"/>
          <w:lang w:val="en-US"/>
        </w:rPr>
        <w:t xml:space="preserve">., &amp; </w:t>
      </w:r>
      <w:r w:rsidR="00030CEB" w:rsidRPr="00343945">
        <w:rPr>
          <w:rFonts w:ascii="Times New Roman" w:hAnsi="Times New Roman" w:cs="Times New Roman"/>
          <w:bCs/>
          <w:sz w:val="20"/>
          <w:lang w:val="en-US"/>
        </w:rPr>
        <w:t>Dengov, V</w:t>
      </w:r>
      <w:r w:rsidR="00030CEB">
        <w:rPr>
          <w:rFonts w:ascii="Times New Roman" w:hAnsi="Times New Roman" w:cs="Times New Roman"/>
          <w:bCs/>
          <w:sz w:val="20"/>
          <w:lang w:val="en-US"/>
        </w:rPr>
        <w:t xml:space="preserve">. (2017). </w:t>
      </w:r>
      <w:r w:rsidR="00DB3CB3" w:rsidRPr="00343945">
        <w:rPr>
          <w:rFonts w:ascii="Times New Roman" w:hAnsi="Times New Roman" w:cs="Times New Roman"/>
          <w:bCs/>
          <w:sz w:val="20"/>
          <w:lang w:val="en-US"/>
        </w:rPr>
        <w:t>Assessment of Competitiveness of Shipbuilding Industry in Russia</w:t>
      </w:r>
      <w:r w:rsidR="00030CEB">
        <w:rPr>
          <w:rFonts w:ascii="Times New Roman" w:hAnsi="Times New Roman" w:cs="Times New Roman"/>
          <w:bCs/>
          <w:sz w:val="20"/>
          <w:lang w:val="en-US"/>
        </w:rPr>
        <w:t xml:space="preserve">. </w:t>
      </w:r>
      <w:bookmarkStart w:id="12" w:name="_Hlk76680722"/>
      <w:r w:rsidR="00DB3CB3" w:rsidRPr="00030CEB">
        <w:rPr>
          <w:rFonts w:ascii="Times New Roman" w:hAnsi="Times New Roman" w:cs="Times New Roman"/>
          <w:bCs/>
          <w:i/>
          <w:iCs/>
          <w:sz w:val="20"/>
          <w:lang w:val="en-US"/>
        </w:rPr>
        <w:t>Nase</w:t>
      </w:r>
      <w:r w:rsidR="00DB3CB3" w:rsidRPr="0003300A">
        <w:rPr>
          <w:rFonts w:ascii="Times New Roman" w:hAnsi="Times New Roman" w:cs="Times New Roman"/>
          <w:bCs/>
          <w:i/>
          <w:iCs/>
          <w:sz w:val="20"/>
          <w:lang w:val="en-US"/>
        </w:rPr>
        <w:t xml:space="preserve"> </w:t>
      </w:r>
      <w:r w:rsidR="00DB3CB3" w:rsidRPr="00030CEB">
        <w:rPr>
          <w:rFonts w:ascii="Times New Roman" w:hAnsi="Times New Roman" w:cs="Times New Roman"/>
          <w:bCs/>
          <w:i/>
          <w:iCs/>
          <w:sz w:val="20"/>
          <w:lang w:val="en-US"/>
        </w:rPr>
        <w:t>More</w:t>
      </w:r>
      <w:r w:rsidR="00030CEB">
        <w:rPr>
          <w:rFonts w:ascii="Times New Roman" w:hAnsi="Times New Roman" w:cs="Times New Roman"/>
          <w:bCs/>
          <w:i/>
          <w:iCs/>
          <w:sz w:val="20"/>
          <w:lang w:val="en-US"/>
        </w:rPr>
        <w:t>,</w:t>
      </w:r>
      <w:r w:rsidR="00F477E6" w:rsidRPr="0003300A">
        <w:rPr>
          <w:rFonts w:ascii="Times New Roman" w:hAnsi="Times New Roman" w:cs="Times New Roman"/>
          <w:bCs/>
          <w:sz w:val="20"/>
          <w:lang w:val="en-US"/>
        </w:rPr>
        <w:t xml:space="preserve"> </w:t>
      </w:r>
      <w:r w:rsidR="00DB3CB3" w:rsidRPr="0003300A">
        <w:rPr>
          <w:rFonts w:ascii="Times New Roman" w:hAnsi="Times New Roman" w:cs="Times New Roman"/>
          <w:bCs/>
          <w:i/>
          <w:iCs/>
          <w:sz w:val="20"/>
          <w:lang w:val="en-US"/>
        </w:rPr>
        <w:t>64</w:t>
      </w:r>
      <w:r w:rsidR="00030CEB" w:rsidRPr="00030CEB">
        <w:rPr>
          <w:rFonts w:ascii="Times New Roman" w:hAnsi="Times New Roman" w:cs="Times New Roman"/>
          <w:bCs/>
          <w:i/>
          <w:iCs/>
          <w:sz w:val="20"/>
          <w:lang w:val="en-US"/>
        </w:rPr>
        <w:t xml:space="preserve"> (3)</w:t>
      </w:r>
      <w:bookmarkEnd w:id="12"/>
      <w:r w:rsidR="00030CEB">
        <w:rPr>
          <w:rFonts w:ascii="Times New Roman" w:hAnsi="Times New Roman" w:cs="Times New Roman"/>
          <w:bCs/>
          <w:sz w:val="20"/>
          <w:lang w:val="en-US"/>
        </w:rPr>
        <w:t xml:space="preserve">, </w:t>
      </w:r>
      <w:r w:rsidR="00DB3CB3" w:rsidRPr="0003300A">
        <w:rPr>
          <w:rFonts w:ascii="Times New Roman" w:hAnsi="Times New Roman" w:cs="Times New Roman"/>
          <w:bCs/>
          <w:sz w:val="20"/>
          <w:lang w:val="en-US"/>
        </w:rPr>
        <w:t>112-119</w:t>
      </w:r>
      <w:r w:rsidR="00030CEB">
        <w:rPr>
          <w:rFonts w:ascii="Times New Roman" w:hAnsi="Times New Roman" w:cs="Times New Roman"/>
          <w:bCs/>
          <w:sz w:val="20"/>
          <w:lang w:val="en-US"/>
        </w:rPr>
        <w:t>.</w:t>
      </w:r>
      <w:r w:rsidR="003543A4" w:rsidRPr="003543A4">
        <w:t xml:space="preserve"> </w:t>
      </w:r>
      <w:hyperlink r:id="rId21" w:history="1">
        <w:r w:rsidR="009E1C69" w:rsidRPr="009E1C69">
          <w:t xml:space="preserve"> </w:t>
        </w:r>
        <w:r w:rsidR="009E1C69" w:rsidRPr="009E1C69">
          <w:rPr>
            <w:rStyle w:val="a6"/>
            <w:rFonts w:ascii="Times New Roman" w:hAnsi="Times New Roman" w:cs="Times New Roman"/>
            <w:bCs/>
            <w:sz w:val="20"/>
            <w:lang w:val="en-US"/>
          </w:rPr>
          <w:t>https://doi.org/</w:t>
        </w:r>
        <w:r w:rsidR="003543A4" w:rsidRPr="001135D6">
          <w:rPr>
            <w:rStyle w:val="a6"/>
            <w:rFonts w:ascii="Times New Roman" w:hAnsi="Times New Roman" w:cs="Times New Roman"/>
            <w:bCs/>
            <w:sz w:val="20"/>
            <w:lang w:val="en-US"/>
          </w:rPr>
          <w:t>10.17818/NM/2017/3.6</w:t>
        </w:r>
      </w:hyperlink>
      <w:r w:rsidR="003543A4">
        <w:rPr>
          <w:rFonts w:ascii="Times New Roman" w:hAnsi="Times New Roman" w:cs="Times New Roman"/>
          <w:bCs/>
          <w:sz w:val="20"/>
          <w:lang w:val="en-US"/>
        </w:rPr>
        <w:t xml:space="preserve"> </w:t>
      </w:r>
      <w:r w:rsidR="00BA5499" w:rsidRPr="003543A4">
        <w:rPr>
          <w:rFonts w:ascii="Times New Roman" w:hAnsi="Times New Roman" w:cs="Times New Roman"/>
          <w:bCs/>
          <w:sz w:val="20"/>
          <w:highlight w:val="green"/>
          <w:lang w:val="en-US"/>
        </w:rPr>
        <w:t>(</w:t>
      </w:r>
      <w:r w:rsidR="00BA5499" w:rsidRPr="00343945">
        <w:rPr>
          <w:rFonts w:ascii="Times New Roman" w:hAnsi="Times New Roman" w:cs="Times New Roman"/>
          <w:bCs/>
          <w:sz w:val="20"/>
          <w:highlight w:val="green"/>
          <w:lang w:val="en-US"/>
        </w:rPr>
        <w:t>Q</w:t>
      </w:r>
      <w:r w:rsidR="00BA5499" w:rsidRPr="003543A4">
        <w:rPr>
          <w:rFonts w:ascii="Times New Roman" w:hAnsi="Times New Roman" w:cs="Times New Roman"/>
          <w:bCs/>
          <w:sz w:val="20"/>
          <w:highlight w:val="green"/>
          <w:lang w:val="en-US"/>
        </w:rPr>
        <w:t>2)</w:t>
      </w:r>
    </w:p>
    <w:p w14:paraId="75F18AAB" w14:textId="334B12B2" w:rsidR="00F477E6" w:rsidRDefault="00895F16" w:rsidP="00343945">
      <w:pPr>
        <w:spacing w:before="60"/>
        <w:ind w:left="357" w:hanging="357"/>
        <w:jc w:val="both"/>
        <w:rPr>
          <w:rFonts w:ascii="Times New Roman" w:hAnsi="Times New Roman" w:cs="Times New Roman"/>
          <w:bCs/>
          <w:sz w:val="20"/>
        </w:rPr>
      </w:pPr>
      <w:r w:rsidRPr="00343945">
        <w:rPr>
          <w:rFonts w:ascii="Times New Roman" w:hAnsi="Times New Roman" w:cs="Times New Roman"/>
          <w:bCs/>
          <w:sz w:val="20"/>
          <w:lang w:val="en-US"/>
        </w:rPr>
        <w:t>3</w:t>
      </w:r>
      <w:r w:rsidR="00DB3CB3" w:rsidRPr="00343945">
        <w:rPr>
          <w:rFonts w:ascii="Times New Roman" w:hAnsi="Times New Roman" w:cs="Times New Roman"/>
          <w:bCs/>
          <w:sz w:val="20"/>
          <w:lang w:val="en-US"/>
        </w:rPr>
        <w:t xml:space="preserve">. </w:t>
      </w:r>
      <w:r w:rsidR="003543A4">
        <w:rPr>
          <w:rFonts w:ascii="Times New Roman" w:hAnsi="Times New Roman" w:cs="Times New Roman"/>
          <w:bCs/>
          <w:sz w:val="20"/>
          <w:lang w:val="en-US"/>
        </w:rPr>
        <w:t xml:space="preserve"> </w:t>
      </w:r>
      <w:r w:rsidR="003543A4" w:rsidRPr="00343945">
        <w:rPr>
          <w:rFonts w:ascii="Times New Roman" w:hAnsi="Times New Roman" w:cs="Times New Roman"/>
          <w:bCs/>
          <w:sz w:val="20"/>
          <w:lang w:val="en-US"/>
        </w:rPr>
        <w:t>Tulyakova, I</w:t>
      </w:r>
      <w:r w:rsidR="003543A4">
        <w:rPr>
          <w:rFonts w:ascii="Times New Roman" w:hAnsi="Times New Roman" w:cs="Times New Roman"/>
          <w:bCs/>
          <w:sz w:val="20"/>
          <w:lang w:val="en-US"/>
        </w:rPr>
        <w:t xml:space="preserve">., </w:t>
      </w:r>
      <w:r w:rsidR="003543A4" w:rsidRPr="00343945">
        <w:rPr>
          <w:rFonts w:ascii="Times New Roman" w:hAnsi="Times New Roman" w:cs="Times New Roman"/>
          <w:bCs/>
          <w:sz w:val="20"/>
          <w:lang w:val="en-US"/>
        </w:rPr>
        <w:t>Dengov, V</w:t>
      </w:r>
      <w:r w:rsidR="003543A4">
        <w:rPr>
          <w:rFonts w:ascii="Times New Roman" w:hAnsi="Times New Roman" w:cs="Times New Roman"/>
          <w:bCs/>
          <w:sz w:val="20"/>
          <w:lang w:val="en-US"/>
        </w:rPr>
        <w:t>., &amp;</w:t>
      </w:r>
      <w:r w:rsidR="003543A4" w:rsidRPr="003543A4">
        <w:rPr>
          <w:rFonts w:ascii="Times New Roman" w:hAnsi="Times New Roman" w:cs="Times New Roman"/>
          <w:bCs/>
          <w:sz w:val="20"/>
          <w:lang w:val="en-US"/>
        </w:rPr>
        <w:t xml:space="preserve"> </w:t>
      </w:r>
      <w:r w:rsidR="003543A4" w:rsidRPr="00343945">
        <w:rPr>
          <w:rFonts w:ascii="Times New Roman" w:hAnsi="Times New Roman" w:cs="Times New Roman"/>
          <w:bCs/>
          <w:sz w:val="20"/>
          <w:lang w:val="en-US"/>
        </w:rPr>
        <w:t>Gregova, E</w:t>
      </w:r>
      <w:r w:rsidR="003543A4">
        <w:rPr>
          <w:rFonts w:ascii="Times New Roman" w:hAnsi="Times New Roman" w:cs="Times New Roman"/>
          <w:bCs/>
          <w:sz w:val="20"/>
          <w:lang w:val="en-US"/>
        </w:rPr>
        <w:t xml:space="preserve">. (2019). </w:t>
      </w:r>
      <w:r w:rsidR="00F477E6" w:rsidRPr="00343945">
        <w:rPr>
          <w:rFonts w:ascii="Times New Roman" w:hAnsi="Times New Roman" w:cs="Times New Roman"/>
          <w:bCs/>
          <w:sz w:val="20"/>
          <w:lang w:val="en-US"/>
        </w:rPr>
        <w:t>The Positions of Russia and Croatia Shipbuilding Products on World Markets and</w:t>
      </w:r>
      <w:r w:rsidR="003543A4">
        <w:rPr>
          <w:rFonts w:ascii="Times New Roman" w:hAnsi="Times New Roman" w:cs="Times New Roman"/>
          <w:bCs/>
          <w:sz w:val="20"/>
          <w:lang w:val="en-US"/>
        </w:rPr>
        <w:t xml:space="preserve"> </w:t>
      </w:r>
      <w:r w:rsidR="00F477E6" w:rsidRPr="00343945">
        <w:rPr>
          <w:rFonts w:ascii="Times New Roman" w:hAnsi="Times New Roman" w:cs="Times New Roman"/>
          <w:bCs/>
          <w:sz w:val="20"/>
          <w:lang w:val="en-US"/>
        </w:rPr>
        <w:t>Prospects of Co-Operation (Analytical Overview)</w:t>
      </w:r>
      <w:r w:rsidR="003543A4">
        <w:rPr>
          <w:rFonts w:ascii="Times New Roman" w:hAnsi="Times New Roman" w:cs="Times New Roman"/>
          <w:bCs/>
          <w:sz w:val="20"/>
          <w:lang w:val="en-US"/>
        </w:rPr>
        <w:t xml:space="preserve">. </w:t>
      </w:r>
      <w:r w:rsidR="003543A4" w:rsidRPr="00030CEB">
        <w:rPr>
          <w:rFonts w:ascii="Times New Roman" w:hAnsi="Times New Roman" w:cs="Times New Roman"/>
          <w:bCs/>
          <w:i/>
          <w:iCs/>
          <w:sz w:val="20"/>
          <w:lang w:val="en-US"/>
        </w:rPr>
        <w:t>Nase</w:t>
      </w:r>
      <w:r w:rsidR="003543A4" w:rsidRPr="003543A4">
        <w:rPr>
          <w:rFonts w:ascii="Times New Roman" w:hAnsi="Times New Roman" w:cs="Times New Roman"/>
          <w:bCs/>
          <w:i/>
          <w:iCs/>
          <w:sz w:val="20"/>
          <w:lang w:val="en-US"/>
        </w:rPr>
        <w:t xml:space="preserve"> </w:t>
      </w:r>
      <w:r w:rsidR="003543A4" w:rsidRPr="00030CEB">
        <w:rPr>
          <w:rFonts w:ascii="Times New Roman" w:hAnsi="Times New Roman" w:cs="Times New Roman"/>
          <w:bCs/>
          <w:i/>
          <w:iCs/>
          <w:sz w:val="20"/>
          <w:lang w:val="en-US"/>
        </w:rPr>
        <w:t>More</w:t>
      </w:r>
      <w:r w:rsidR="003543A4">
        <w:rPr>
          <w:rFonts w:ascii="Times New Roman" w:hAnsi="Times New Roman" w:cs="Times New Roman"/>
          <w:bCs/>
          <w:i/>
          <w:iCs/>
          <w:sz w:val="20"/>
          <w:lang w:val="en-US"/>
        </w:rPr>
        <w:t>,</w:t>
      </w:r>
      <w:r w:rsidR="003543A4" w:rsidRPr="003543A4">
        <w:rPr>
          <w:rFonts w:ascii="Times New Roman" w:hAnsi="Times New Roman" w:cs="Times New Roman"/>
          <w:bCs/>
          <w:sz w:val="20"/>
          <w:lang w:val="en-US"/>
        </w:rPr>
        <w:t xml:space="preserve"> </w:t>
      </w:r>
      <w:r w:rsidR="003543A4" w:rsidRPr="003543A4">
        <w:rPr>
          <w:rFonts w:ascii="Times New Roman" w:hAnsi="Times New Roman" w:cs="Times New Roman"/>
          <w:bCs/>
          <w:i/>
          <w:iCs/>
          <w:sz w:val="20"/>
          <w:lang w:val="en-US"/>
        </w:rPr>
        <w:t>6</w:t>
      </w:r>
      <w:r w:rsidR="003543A4">
        <w:rPr>
          <w:rFonts w:ascii="Times New Roman" w:hAnsi="Times New Roman" w:cs="Times New Roman"/>
          <w:bCs/>
          <w:i/>
          <w:iCs/>
          <w:sz w:val="20"/>
          <w:lang w:val="en-US"/>
        </w:rPr>
        <w:t>6</w:t>
      </w:r>
      <w:r w:rsidR="003543A4" w:rsidRPr="00030CEB">
        <w:rPr>
          <w:rFonts w:ascii="Times New Roman" w:hAnsi="Times New Roman" w:cs="Times New Roman"/>
          <w:bCs/>
          <w:i/>
          <w:iCs/>
          <w:sz w:val="20"/>
          <w:lang w:val="en-US"/>
        </w:rPr>
        <w:t xml:space="preserve"> (3</w:t>
      </w:r>
      <w:r w:rsidR="003543A4">
        <w:rPr>
          <w:rFonts w:ascii="Times New Roman" w:hAnsi="Times New Roman" w:cs="Times New Roman"/>
          <w:bCs/>
          <w:i/>
          <w:iCs/>
          <w:sz w:val="20"/>
          <w:lang w:val="en-US"/>
        </w:rPr>
        <w:t>S</w:t>
      </w:r>
      <w:r w:rsidR="003543A4" w:rsidRPr="00030CEB">
        <w:rPr>
          <w:rFonts w:ascii="Times New Roman" w:hAnsi="Times New Roman" w:cs="Times New Roman"/>
          <w:bCs/>
          <w:i/>
          <w:iCs/>
          <w:sz w:val="20"/>
          <w:lang w:val="en-US"/>
        </w:rPr>
        <w:t>)</w:t>
      </w:r>
      <w:r w:rsidR="003543A4">
        <w:rPr>
          <w:rFonts w:ascii="Times New Roman" w:hAnsi="Times New Roman" w:cs="Times New Roman"/>
          <w:bCs/>
          <w:i/>
          <w:iCs/>
          <w:sz w:val="20"/>
          <w:lang w:val="en-US"/>
        </w:rPr>
        <w:t xml:space="preserve">, </w:t>
      </w:r>
      <w:r w:rsidR="003543A4" w:rsidRPr="003543A4">
        <w:rPr>
          <w:rFonts w:ascii="Times New Roman" w:hAnsi="Times New Roman" w:cs="Times New Roman"/>
          <w:bCs/>
          <w:sz w:val="20"/>
          <w:lang w:val="en-US"/>
        </w:rPr>
        <w:t>13-21</w:t>
      </w:r>
      <w:r w:rsidR="003543A4">
        <w:rPr>
          <w:rFonts w:ascii="Times New Roman" w:hAnsi="Times New Roman" w:cs="Times New Roman"/>
          <w:bCs/>
          <w:i/>
          <w:iCs/>
          <w:sz w:val="20"/>
          <w:lang w:val="en-US"/>
        </w:rPr>
        <w:t>.</w:t>
      </w:r>
      <w:r w:rsidR="003543A4">
        <w:rPr>
          <w:rFonts w:ascii="Times New Roman" w:hAnsi="Times New Roman" w:cs="Times New Roman"/>
          <w:bCs/>
          <w:sz w:val="20"/>
          <w:lang w:val="en-US"/>
        </w:rPr>
        <w:t xml:space="preserve"> </w:t>
      </w:r>
      <w:hyperlink r:id="rId22" w:history="1">
        <w:r w:rsidR="009E1C69" w:rsidRPr="009E1C69">
          <w:t xml:space="preserve"> </w:t>
        </w:r>
        <w:r w:rsidR="009E1C69" w:rsidRPr="009E1C69">
          <w:rPr>
            <w:rStyle w:val="a6"/>
            <w:rFonts w:ascii="Times New Roman" w:hAnsi="Times New Roman" w:cs="Times New Roman"/>
            <w:bCs/>
            <w:sz w:val="20"/>
            <w:lang w:val="en-US"/>
          </w:rPr>
          <w:t>https://doi.org/</w:t>
        </w:r>
        <w:r w:rsidR="003543A4" w:rsidRPr="001135D6">
          <w:rPr>
            <w:rStyle w:val="a6"/>
            <w:rFonts w:ascii="Times New Roman" w:hAnsi="Times New Roman" w:cs="Times New Roman"/>
            <w:bCs/>
            <w:sz w:val="20"/>
          </w:rPr>
          <w:t>10.17818/NM/2019/3.9</w:t>
        </w:r>
      </w:hyperlink>
      <w:r w:rsidR="003543A4">
        <w:rPr>
          <w:rFonts w:ascii="Times New Roman" w:hAnsi="Times New Roman" w:cs="Times New Roman"/>
          <w:bCs/>
          <w:sz w:val="20"/>
          <w:lang w:val="en-US"/>
        </w:rPr>
        <w:t xml:space="preserve"> </w:t>
      </w:r>
      <w:r w:rsidR="003543A4" w:rsidRPr="003543A4">
        <w:rPr>
          <w:rFonts w:ascii="Times New Roman" w:hAnsi="Times New Roman" w:cs="Times New Roman"/>
          <w:bCs/>
          <w:sz w:val="20"/>
          <w:highlight w:val="green"/>
          <w:lang w:val="en-US"/>
        </w:rPr>
        <w:t>(</w:t>
      </w:r>
      <w:r w:rsidR="003543A4" w:rsidRPr="00343945">
        <w:rPr>
          <w:rFonts w:ascii="Times New Roman" w:hAnsi="Times New Roman" w:cs="Times New Roman"/>
          <w:bCs/>
          <w:sz w:val="20"/>
          <w:highlight w:val="green"/>
          <w:lang w:val="en-US"/>
        </w:rPr>
        <w:t>Q</w:t>
      </w:r>
      <w:r w:rsidR="003543A4" w:rsidRPr="003543A4">
        <w:rPr>
          <w:rFonts w:ascii="Times New Roman" w:hAnsi="Times New Roman" w:cs="Times New Roman"/>
          <w:bCs/>
          <w:sz w:val="20"/>
          <w:highlight w:val="green"/>
          <w:lang w:val="en-US"/>
        </w:rPr>
        <w:t>2)</w:t>
      </w:r>
    </w:p>
    <w:bookmarkEnd w:id="11"/>
    <w:p w14:paraId="124B01A0" w14:textId="4B03F2D6" w:rsidR="001F160C" w:rsidRDefault="006C35A3" w:rsidP="00995897">
      <w:pPr>
        <w:spacing w:before="60"/>
        <w:ind w:left="357" w:hanging="357"/>
        <w:jc w:val="both"/>
        <w:rPr>
          <w:rFonts w:ascii="Times New Roman" w:hAnsi="Times New Roman" w:cs="Times New Roman"/>
          <w:iCs/>
          <w:sz w:val="20"/>
          <w:lang w:val="en-US"/>
        </w:rPr>
      </w:pPr>
      <w:r>
        <w:rPr>
          <w:rFonts w:ascii="Times New Roman" w:hAnsi="Times New Roman" w:cs="Times New Roman"/>
          <w:iCs/>
          <w:sz w:val="20"/>
          <w:lang w:val="en-US"/>
        </w:rPr>
        <w:t>4</w:t>
      </w:r>
      <w:r w:rsidR="001F160C" w:rsidRPr="001F160C">
        <w:rPr>
          <w:rFonts w:ascii="Times New Roman" w:hAnsi="Times New Roman" w:cs="Times New Roman"/>
          <w:iCs/>
          <w:sz w:val="20"/>
          <w:lang w:val="en-US"/>
        </w:rPr>
        <w:t xml:space="preserve">. </w:t>
      </w:r>
      <w:r>
        <w:rPr>
          <w:rFonts w:ascii="Times New Roman" w:hAnsi="Times New Roman" w:cs="Times New Roman"/>
          <w:iCs/>
          <w:sz w:val="20"/>
          <w:lang w:val="en-US"/>
        </w:rPr>
        <w:t xml:space="preserve">   </w:t>
      </w:r>
      <w:r w:rsidR="001F160C" w:rsidRPr="00995897">
        <w:rPr>
          <w:rFonts w:ascii="Times New Roman" w:hAnsi="Times New Roman" w:cs="Times New Roman"/>
          <w:iCs/>
          <w:sz w:val="20"/>
          <w:lang w:val="en-US"/>
        </w:rPr>
        <w:t>Bitzinger, R</w:t>
      </w:r>
      <w:r w:rsidRPr="00995897">
        <w:rPr>
          <w:rFonts w:ascii="Times New Roman" w:hAnsi="Times New Roman" w:cs="Times New Roman"/>
          <w:iCs/>
          <w:sz w:val="20"/>
          <w:lang w:val="en-US"/>
        </w:rPr>
        <w:t>.,</w:t>
      </w:r>
      <w:r w:rsidR="001F160C" w:rsidRPr="00995897">
        <w:rPr>
          <w:rFonts w:ascii="Times New Roman" w:hAnsi="Times New Roman" w:cs="Times New Roman"/>
          <w:iCs/>
          <w:sz w:val="20"/>
          <w:lang w:val="en-US"/>
        </w:rPr>
        <w:t xml:space="preserve"> Fleurant, A</w:t>
      </w:r>
      <w:r w:rsidRPr="00995897">
        <w:rPr>
          <w:rFonts w:ascii="Times New Roman" w:hAnsi="Times New Roman" w:cs="Times New Roman"/>
          <w:iCs/>
          <w:sz w:val="20"/>
          <w:lang w:val="en-US"/>
        </w:rPr>
        <w:t>.,</w:t>
      </w:r>
      <w:r w:rsidR="001F160C" w:rsidRPr="00995897">
        <w:rPr>
          <w:rFonts w:ascii="Times New Roman" w:hAnsi="Times New Roman" w:cs="Times New Roman"/>
          <w:iCs/>
          <w:sz w:val="20"/>
          <w:lang w:val="en-US"/>
        </w:rPr>
        <w:t xml:space="preserve"> Hartley, K</w:t>
      </w:r>
      <w:r w:rsidRPr="00995897">
        <w:rPr>
          <w:rFonts w:ascii="Times New Roman" w:hAnsi="Times New Roman" w:cs="Times New Roman"/>
          <w:iCs/>
          <w:sz w:val="20"/>
          <w:lang w:val="en-US"/>
        </w:rPr>
        <w:t>.,</w:t>
      </w:r>
      <w:r w:rsidR="001F160C" w:rsidRPr="00995897">
        <w:rPr>
          <w:rFonts w:ascii="Times New Roman" w:hAnsi="Times New Roman" w:cs="Times New Roman"/>
          <w:iCs/>
          <w:sz w:val="20"/>
          <w:lang w:val="en-US"/>
        </w:rPr>
        <w:t xml:space="preserve"> Hartung, W</w:t>
      </w:r>
      <w:r w:rsidRPr="00995897">
        <w:rPr>
          <w:rFonts w:ascii="Times New Roman" w:hAnsi="Times New Roman" w:cs="Times New Roman"/>
          <w:iCs/>
          <w:sz w:val="20"/>
          <w:lang w:val="en-US"/>
        </w:rPr>
        <w:t>.,</w:t>
      </w:r>
      <w:r w:rsidR="001F160C" w:rsidRPr="00995897">
        <w:rPr>
          <w:rFonts w:ascii="Times New Roman" w:hAnsi="Times New Roman" w:cs="Times New Roman"/>
          <w:iCs/>
          <w:sz w:val="20"/>
          <w:lang w:val="en-US"/>
        </w:rPr>
        <w:t xml:space="preserve"> Markowski, S</w:t>
      </w:r>
      <w:r w:rsidRPr="00995897">
        <w:rPr>
          <w:rFonts w:ascii="Times New Roman" w:hAnsi="Times New Roman" w:cs="Times New Roman"/>
          <w:iCs/>
          <w:sz w:val="20"/>
          <w:lang w:val="en-US"/>
        </w:rPr>
        <w:t>.,</w:t>
      </w:r>
      <w:r w:rsidR="001F160C" w:rsidRPr="00995897">
        <w:rPr>
          <w:rFonts w:ascii="Times New Roman" w:hAnsi="Times New Roman" w:cs="Times New Roman"/>
          <w:iCs/>
          <w:sz w:val="20"/>
          <w:lang w:val="en-US"/>
        </w:rPr>
        <w:t xml:space="preserve"> Queau, Y</w:t>
      </w:r>
      <w:r w:rsidRPr="00995897">
        <w:rPr>
          <w:rFonts w:ascii="Times New Roman" w:hAnsi="Times New Roman" w:cs="Times New Roman"/>
          <w:iCs/>
          <w:sz w:val="20"/>
          <w:lang w:val="en-US"/>
        </w:rPr>
        <w:t>., &amp;</w:t>
      </w:r>
      <w:r w:rsidR="001F160C" w:rsidRPr="00995897">
        <w:rPr>
          <w:rFonts w:ascii="Times New Roman" w:hAnsi="Times New Roman" w:cs="Times New Roman"/>
          <w:iCs/>
          <w:sz w:val="20"/>
          <w:lang w:val="en-US"/>
        </w:rPr>
        <w:t xml:space="preserve"> Wylie,</w:t>
      </w:r>
      <w:r w:rsidRPr="00995897">
        <w:rPr>
          <w:rFonts w:ascii="Times New Roman" w:hAnsi="Times New Roman" w:cs="Times New Roman"/>
          <w:iCs/>
          <w:sz w:val="20"/>
          <w:lang w:val="en-US"/>
        </w:rPr>
        <w:t xml:space="preserve"> </w:t>
      </w:r>
      <w:r w:rsidR="001F160C" w:rsidRPr="00995897">
        <w:rPr>
          <w:rFonts w:ascii="Times New Roman" w:hAnsi="Times New Roman" w:cs="Times New Roman"/>
          <w:iCs/>
          <w:sz w:val="20"/>
          <w:lang w:val="en-US"/>
        </w:rPr>
        <w:t>R.</w:t>
      </w:r>
      <w:r w:rsidR="00995897" w:rsidRPr="00995897">
        <w:rPr>
          <w:rFonts w:ascii="Times New Roman" w:hAnsi="Times New Roman" w:cs="Times New Roman"/>
          <w:iCs/>
          <w:sz w:val="20"/>
          <w:lang w:val="en-US"/>
        </w:rPr>
        <w:t xml:space="preserve"> (2017).</w:t>
      </w:r>
      <w:r w:rsidR="001F160C" w:rsidRPr="001F160C">
        <w:rPr>
          <w:rFonts w:ascii="Times New Roman" w:hAnsi="Times New Roman" w:cs="Times New Roman"/>
          <w:iCs/>
          <w:sz w:val="20"/>
          <w:lang w:val="en-US"/>
        </w:rPr>
        <w:t xml:space="preserve"> Global perspectives on the European arms industries. </w:t>
      </w:r>
      <w:r w:rsidR="001F160C" w:rsidRPr="006C35A3">
        <w:rPr>
          <w:rFonts w:ascii="Times New Roman" w:hAnsi="Times New Roman" w:cs="Times New Roman"/>
          <w:i/>
          <w:sz w:val="20"/>
        </w:rPr>
        <w:t>Economics of Peace and Security Journal,</w:t>
      </w:r>
      <w:r w:rsidR="001F160C" w:rsidRPr="001F160C">
        <w:rPr>
          <w:rFonts w:ascii="Times New Roman" w:hAnsi="Times New Roman" w:cs="Times New Roman"/>
          <w:iCs/>
          <w:sz w:val="20"/>
          <w:lang w:val="en-US"/>
        </w:rPr>
        <w:t xml:space="preserve"> </w:t>
      </w:r>
      <w:r w:rsidR="001F160C" w:rsidRPr="00995897">
        <w:rPr>
          <w:rFonts w:ascii="Times New Roman" w:hAnsi="Times New Roman" w:cs="Times New Roman"/>
          <w:i/>
          <w:sz w:val="20"/>
          <w:lang w:val="en-US"/>
        </w:rPr>
        <w:t xml:space="preserve">12 </w:t>
      </w:r>
      <w:r w:rsidRPr="00995897">
        <w:rPr>
          <w:rFonts w:ascii="Times New Roman" w:hAnsi="Times New Roman" w:cs="Times New Roman"/>
          <w:i/>
          <w:sz w:val="20"/>
          <w:lang w:val="en-US"/>
        </w:rPr>
        <w:t>(1)</w:t>
      </w:r>
      <w:r w:rsidR="00995897">
        <w:rPr>
          <w:rFonts w:ascii="Times New Roman" w:hAnsi="Times New Roman" w:cs="Times New Roman"/>
          <w:iCs/>
          <w:sz w:val="20"/>
          <w:lang w:val="en-US"/>
        </w:rPr>
        <w:t>,</w:t>
      </w:r>
      <w:r w:rsidR="001F160C" w:rsidRPr="001F160C">
        <w:rPr>
          <w:rFonts w:ascii="Times New Roman" w:hAnsi="Times New Roman" w:cs="Times New Roman"/>
          <w:iCs/>
          <w:sz w:val="20"/>
          <w:lang w:val="en-US"/>
        </w:rPr>
        <w:t xml:space="preserve"> 46-53</w:t>
      </w:r>
      <w:r w:rsidR="00995897">
        <w:rPr>
          <w:rFonts w:ascii="Times New Roman" w:hAnsi="Times New Roman" w:cs="Times New Roman"/>
          <w:iCs/>
          <w:sz w:val="20"/>
          <w:lang w:val="en-US"/>
        </w:rPr>
        <w:t>.</w:t>
      </w:r>
      <w:r w:rsidR="001F160C" w:rsidRPr="001F160C">
        <w:rPr>
          <w:rFonts w:ascii="Times New Roman" w:hAnsi="Times New Roman" w:cs="Times New Roman"/>
          <w:iCs/>
          <w:sz w:val="20"/>
          <w:lang w:val="en-US"/>
        </w:rPr>
        <w:t xml:space="preserve"> </w:t>
      </w:r>
      <w:hyperlink r:id="rId23" w:history="1">
        <w:r w:rsidR="00995897" w:rsidRPr="001135D6">
          <w:rPr>
            <w:rStyle w:val="a6"/>
            <w:rFonts w:ascii="Times New Roman" w:hAnsi="Times New Roman" w:cs="Times New Roman"/>
            <w:iCs/>
            <w:sz w:val="20"/>
            <w:lang w:val="en-US"/>
          </w:rPr>
          <w:t>https://doi.10.15355/epsj.12.1.46 2017</w:t>
        </w:r>
      </w:hyperlink>
    </w:p>
    <w:p w14:paraId="4C0DEB3B" w14:textId="373A9725" w:rsidR="00995897" w:rsidRDefault="00995897" w:rsidP="00995897">
      <w:pPr>
        <w:spacing w:before="60"/>
        <w:ind w:left="357" w:hanging="357"/>
        <w:jc w:val="both"/>
        <w:rPr>
          <w:rFonts w:ascii="Times New Roman" w:hAnsi="Times New Roman" w:cs="Times New Roman"/>
          <w:iCs/>
          <w:sz w:val="20"/>
          <w:lang w:val="en-US"/>
        </w:rPr>
      </w:pPr>
      <w:bookmarkStart w:id="13" w:name="_Hlk76901745"/>
      <w:r>
        <w:rPr>
          <w:rFonts w:ascii="Times New Roman" w:hAnsi="Times New Roman" w:cs="Times New Roman"/>
          <w:iCs/>
          <w:sz w:val="20"/>
          <w:lang w:val="en-US"/>
        </w:rPr>
        <w:t>5</w:t>
      </w:r>
      <w:r w:rsidR="007C3FB4" w:rsidRPr="007C3FB4">
        <w:rPr>
          <w:rFonts w:ascii="Times New Roman" w:hAnsi="Times New Roman" w:cs="Times New Roman"/>
          <w:iCs/>
          <w:sz w:val="20"/>
          <w:lang w:val="en-US"/>
        </w:rPr>
        <w:t xml:space="preserve">. </w:t>
      </w:r>
      <w:r>
        <w:rPr>
          <w:rFonts w:ascii="Times New Roman" w:hAnsi="Times New Roman" w:cs="Times New Roman"/>
          <w:iCs/>
          <w:sz w:val="20"/>
          <w:lang w:val="en-US"/>
        </w:rPr>
        <w:t xml:space="preserve">  </w:t>
      </w:r>
      <w:r w:rsidR="007C3FB4" w:rsidRPr="001F160C">
        <w:rPr>
          <w:rFonts w:ascii="Times New Roman" w:hAnsi="Times New Roman" w:cs="Times New Roman"/>
          <w:iCs/>
          <w:sz w:val="20"/>
          <w:lang w:val="en-US"/>
        </w:rPr>
        <w:t>Bitzinger, R</w:t>
      </w:r>
      <w:r w:rsidR="007C3FB4" w:rsidRPr="007C3FB4">
        <w:rPr>
          <w:rFonts w:ascii="Times New Roman" w:hAnsi="Times New Roman" w:cs="Times New Roman"/>
          <w:iCs/>
          <w:sz w:val="20"/>
          <w:lang w:val="en-US"/>
        </w:rPr>
        <w:t>.</w:t>
      </w:r>
      <w:r>
        <w:rPr>
          <w:rFonts w:ascii="Times New Roman" w:hAnsi="Times New Roman" w:cs="Times New Roman"/>
          <w:iCs/>
          <w:sz w:val="20"/>
          <w:lang w:val="en-US"/>
        </w:rPr>
        <w:t xml:space="preserve"> (2016).</w:t>
      </w:r>
      <w:r w:rsidR="007C3FB4" w:rsidRPr="007C3FB4">
        <w:rPr>
          <w:rFonts w:ascii="Times New Roman" w:hAnsi="Times New Roman" w:cs="Times New Roman"/>
          <w:iCs/>
          <w:sz w:val="20"/>
          <w:lang w:val="en-US"/>
        </w:rPr>
        <w:t xml:space="preserve"> Reforming China's defense industry. </w:t>
      </w:r>
      <w:r w:rsidR="007C3FB4" w:rsidRPr="00995897">
        <w:rPr>
          <w:rFonts w:ascii="Times New Roman" w:hAnsi="Times New Roman" w:cs="Times New Roman"/>
          <w:i/>
          <w:sz w:val="20"/>
          <w:lang w:val="en-US"/>
        </w:rPr>
        <w:t>Journal Of Strategic Studies</w:t>
      </w:r>
      <w:r>
        <w:rPr>
          <w:rFonts w:ascii="Times New Roman" w:hAnsi="Times New Roman" w:cs="Times New Roman"/>
          <w:iCs/>
          <w:sz w:val="20"/>
          <w:lang w:val="en-US"/>
        </w:rPr>
        <w:t>,</w:t>
      </w:r>
      <w:r w:rsidR="007C3FB4" w:rsidRPr="007C3FB4">
        <w:rPr>
          <w:rFonts w:ascii="Times New Roman" w:hAnsi="Times New Roman" w:cs="Times New Roman"/>
          <w:iCs/>
          <w:sz w:val="20"/>
          <w:lang w:val="en-US"/>
        </w:rPr>
        <w:t xml:space="preserve"> 39</w:t>
      </w:r>
      <w:r>
        <w:rPr>
          <w:rFonts w:ascii="Times New Roman" w:hAnsi="Times New Roman" w:cs="Times New Roman"/>
          <w:iCs/>
          <w:sz w:val="20"/>
          <w:lang w:val="en-US"/>
        </w:rPr>
        <w:t xml:space="preserve"> (5-6), </w:t>
      </w:r>
      <w:r w:rsidRPr="00995897">
        <w:rPr>
          <w:rFonts w:ascii="Times New Roman" w:hAnsi="Times New Roman" w:cs="Times New Roman"/>
          <w:i/>
          <w:sz w:val="20"/>
          <w:lang w:val="en-US"/>
        </w:rPr>
        <w:t>SI</w:t>
      </w:r>
      <w:r>
        <w:rPr>
          <w:rFonts w:ascii="Times New Roman" w:hAnsi="Times New Roman" w:cs="Times New Roman"/>
          <w:iCs/>
          <w:sz w:val="20"/>
          <w:lang w:val="en-US"/>
        </w:rPr>
        <w:t xml:space="preserve">, </w:t>
      </w:r>
      <w:r w:rsidRPr="00995897">
        <w:rPr>
          <w:rFonts w:ascii="Times New Roman" w:hAnsi="Times New Roman" w:cs="Times New Roman"/>
          <w:iCs/>
          <w:sz w:val="20"/>
          <w:lang w:val="en-US"/>
        </w:rPr>
        <w:t>762-789</w:t>
      </w:r>
      <w:r w:rsidR="007C3FB4" w:rsidRPr="007C3FB4">
        <w:rPr>
          <w:rFonts w:ascii="Times New Roman" w:hAnsi="Times New Roman" w:cs="Times New Roman"/>
          <w:iCs/>
          <w:sz w:val="20"/>
          <w:lang w:val="en-US"/>
        </w:rPr>
        <w:t>.</w:t>
      </w:r>
      <w:r>
        <w:rPr>
          <w:rFonts w:ascii="Times New Roman" w:hAnsi="Times New Roman" w:cs="Times New Roman"/>
          <w:iCs/>
          <w:sz w:val="20"/>
          <w:lang w:val="en-US"/>
        </w:rPr>
        <w:t xml:space="preserve"> </w:t>
      </w:r>
      <w:hyperlink r:id="rId24" w:history="1">
        <w:r w:rsidR="009E1C69" w:rsidRPr="009E1C69">
          <w:t xml:space="preserve"> </w:t>
        </w:r>
        <w:r w:rsidR="009E1C69" w:rsidRPr="009E1C69">
          <w:rPr>
            <w:rStyle w:val="a6"/>
            <w:rFonts w:ascii="Times New Roman" w:hAnsi="Times New Roman" w:cs="Times New Roman"/>
            <w:iCs/>
            <w:sz w:val="20"/>
            <w:lang w:val="en-US"/>
          </w:rPr>
          <w:t>https://doi.org/</w:t>
        </w:r>
        <w:r w:rsidRPr="001135D6">
          <w:rPr>
            <w:rStyle w:val="a6"/>
            <w:rFonts w:ascii="Times New Roman" w:hAnsi="Times New Roman" w:cs="Times New Roman"/>
            <w:iCs/>
            <w:sz w:val="20"/>
            <w:lang w:val="en-US"/>
          </w:rPr>
          <w:t>10.1080/01402390.2016.1221819</w:t>
        </w:r>
      </w:hyperlink>
    </w:p>
    <w:bookmarkEnd w:id="13"/>
    <w:p w14:paraId="5AF013E1" w14:textId="5CACD3C5" w:rsidR="00C40DA1" w:rsidRDefault="003960CA" w:rsidP="00995897">
      <w:pPr>
        <w:spacing w:before="60"/>
        <w:ind w:left="357" w:hanging="357"/>
        <w:jc w:val="both"/>
        <w:rPr>
          <w:rFonts w:ascii="Times New Roman" w:hAnsi="Times New Roman" w:cs="Times New Roman"/>
          <w:sz w:val="18"/>
          <w:szCs w:val="18"/>
        </w:rPr>
      </w:pPr>
      <w:r>
        <w:rPr>
          <w:rFonts w:ascii="Times New Roman" w:hAnsi="Times New Roman" w:cs="Times New Roman"/>
          <w:iCs/>
          <w:sz w:val="20"/>
          <w:lang w:val="en-US"/>
        </w:rPr>
        <w:t>6</w:t>
      </w:r>
      <w:r w:rsidR="00C40DA1" w:rsidRPr="00C40DA1">
        <w:rPr>
          <w:rFonts w:ascii="Times New Roman" w:hAnsi="Times New Roman" w:cs="Times New Roman"/>
          <w:iCs/>
          <w:sz w:val="20"/>
          <w:lang w:val="en-US"/>
        </w:rPr>
        <w:t xml:space="preserve">. </w:t>
      </w:r>
      <w:r w:rsidR="00995897">
        <w:rPr>
          <w:rFonts w:ascii="Times New Roman" w:hAnsi="Times New Roman" w:cs="Times New Roman"/>
          <w:iCs/>
          <w:sz w:val="20"/>
          <w:lang w:val="en-US"/>
        </w:rPr>
        <w:t xml:space="preserve"> </w:t>
      </w:r>
      <w:r w:rsidR="00C40DA1" w:rsidRPr="00C40DA1">
        <w:rPr>
          <w:rFonts w:ascii="Times New Roman" w:hAnsi="Times New Roman" w:cs="Times New Roman"/>
          <w:iCs/>
          <w:sz w:val="20"/>
          <w:lang w:val="en-US"/>
        </w:rPr>
        <w:t>Wang, K-H</w:t>
      </w:r>
      <w:r w:rsidR="00995897">
        <w:rPr>
          <w:rFonts w:ascii="Times New Roman" w:hAnsi="Times New Roman" w:cs="Times New Roman"/>
          <w:iCs/>
          <w:sz w:val="20"/>
          <w:lang w:val="en-US"/>
        </w:rPr>
        <w:t>.,</w:t>
      </w:r>
      <w:r w:rsidR="00C40DA1" w:rsidRPr="00C40DA1">
        <w:rPr>
          <w:rFonts w:ascii="Times New Roman" w:hAnsi="Times New Roman" w:cs="Times New Roman"/>
          <w:iCs/>
          <w:sz w:val="20"/>
          <w:lang w:val="en-US"/>
        </w:rPr>
        <w:t xml:space="preserve"> Su, C-W</w:t>
      </w:r>
      <w:r w:rsidR="00995897">
        <w:rPr>
          <w:rFonts w:ascii="Times New Roman" w:hAnsi="Times New Roman" w:cs="Times New Roman"/>
          <w:iCs/>
          <w:sz w:val="20"/>
          <w:lang w:val="en-US"/>
        </w:rPr>
        <w:t>.,</w:t>
      </w:r>
      <w:r w:rsidR="00C40DA1" w:rsidRPr="00C40DA1">
        <w:rPr>
          <w:rFonts w:ascii="Times New Roman" w:hAnsi="Times New Roman" w:cs="Times New Roman"/>
          <w:iCs/>
          <w:sz w:val="20"/>
          <w:lang w:val="en-US"/>
        </w:rPr>
        <w:t xml:space="preserve"> Tao, R</w:t>
      </w:r>
      <w:r w:rsidR="00995897">
        <w:rPr>
          <w:rFonts w:ascii="Times New Roman" w:hAnsi="Times New Roman" w:cs="Times New Roman"/>
          <w:iCs/>
          <w:sz w:val="20"/>
          <w:lang w:val="en-US"/>
        </w:rPr>
        <w:t>.,</w:t>
      </w:r>
      <w:r w:rsidR="00C40DA1" w:rsidRPr="00C40DA1">
        <w:rPr>
          <w:rFonts w:ascii="Times New Roman" w:hAnsi="Times New Roman" w:cs="Times New Roman"/>
          <w:iCs/>
          <w:sz w:val="20"/>
          <w:lang w:val="en-US"/>
        </w:rPr>
        <w:t xml:space="preserve"> </w:t>
      </w:r>
      <w:r w:rsidR="00995897">
        <w:rPr>
          <w:rFonts w:ascii="Times New Roman" w:hAnsi="Times New Roman" w:cs="Times New Roman"/>
          <w:iCs/>
          <w:sz w:val="20"/>
          <w:lang w:val="en-US"/>
        </w:rPr>
        <w:t xml:space="preserve">&amp; </w:t>
      </w:r>
      <w:r w:rsidR="00C40DA1" w:rsidRPr="00C40DA1">
        <w:rPr>
          <w:rFonts w:ascii="Times New Roman" w:hAnsi="Times New Roman" w:cs="Times New Roman"/>
          <w:iCs/>
          <w:sz w:val="20"/>
          <w:lang w:val="en-US"/>
        </w:rPr>
        <w:t>Chang, H</w:t>
      </w:r>
      <w:r w:rsidR="00995897">
        <w:rPr>
          <w:rFonts w:ascii="Times New Roman" w:hAnsi="Times New Roman" w:cs="Times New Roman"/>
          <w:iCs/>
          <w:sz w:val="20"/>
          <w:lang w:val="en-US"/>
        </w:rPr>
        <w:t>.</w:t>
      </w:r>
      <w:r w:rsidR="00C40DA1" w:rsidRPr="00C40DA1">
        <w:rPr>
          <w:rFonts w:ascii="Times New Roman" w:hAnsi="Times New Roman" w:cs="Times New Roman"/>
          <w:iCs/>
          <w:sz w:val="20"/>
          <w:lang w:val="en-US"/>
        </w:rPr>
        <w:t>L.</w:t>
      </w:r>
      <w:r w:rsidR="00995897">
        <w:rPr>
          <w:rFonts w:ascii="Times New Roman" w:hAnsi="Times New Roman" w:cs="Times New Roman"/>
          <w:iCs/>
          <w:sz w:val="20"/>
          <w:lang w:val="en-US"/>
        </w:rPr>
        <w:t xml:space="preserve"> (2019).</w:t>
      </w:r>
      <w:r w:rsidR="00C40DA1" w:rsidRPr="00C40DA1">
        <w:rPr>
          <w:rFonts w:ascii="Times New Roman" w:hAnsi="Times New Roman" w:cs="Times New Roman"/>
          <w:iCs/>
          <w:sz w:val="20"/>
          <w:lang w:val="en-US"/>
        </w:rPr>
        <w:t xml:space="preserve"> Does the Efficient Market Hypothesis Fit Military Enterprises in China? </w:t>
      </w:r>
      <w:r w:rsidR="00C40DA1" w:rsidRPr="00995897">
        <w:rPr>
          <w:rFonts w:ascii="Times New Roman" w:hAnsi="Times New Roman" w:cs="Times New Roman"/>
          <w:i/>
          <w:iCs/>
          <w:sz w:val="18"/>
          <w:szCs w:val="18"/>
          <w:lang w:val="en-US"/>
        </w:rPr>
        <w:t>Defence and Peace Economics</w:t>
      </w:r>
      <w:r w:rsidR="00995897">
        <w:rPr>
          <w:rFonts w:ascii="Times New Roman" w:hAnsi="Times New Roman" w:cs="Times New Roman"/>
          <w:i/>
          <w:iCs/>
          <w:sz w:val="18"/>
          <w:szCs w:val="18"/>
          <w:lang w:val="en-US"/>
        </w:rPr>
        <w:t>,</w:t>
      </w:r>
      <w:r w:rsidR="00C40DA1" w:rsidRPr="00C40DA1">
        <w:rPr>
          <w:rFonts w:ascii="Times New Roman" w:hAnsi="Times New Roman" w:cs="Times New Roman"/>
          <w:sz w:val="18"/>
          <w:szCs w:val="18"/>
          <w:lang w:val="en-US"/>
        </w:rPr>
        <w:t> </w:t>
      </w:r>
      <w:r w:rsidR="00C40DA1" w:rsidRPr="00995897">
        <w:rPr>
          <w:rFonts w:ascii="Times New Roman" w:hAnsi="Times New Roman" w:cs="Times New Roman"/>
          <w:i/>
          <w:iCs/>
          <w:sz w:val="18"/>
          <w:szCs w:val="18"/>
          <w:lang w:val="en-US"/>
        </w:rPr>
        <w:t>30</w:t>
      </w:r>
      <w:r w:rsidR="00995897" w:rsidRPr="00995897">
        <w:rPr>
          <w:rFonts w:ascii="Times New Roman" w:hAnsi="Times New Roman" w:cs="Times New Roman"/>
          <w:i/>
          <w:iCs/>
          <w:sz w:val="18"/>
          <w:szCs w:val="18"/>
          <w:lang w:val="en-US"/>
        </w:rPr>
        <w:t xml:space="preserve"> (7)</w:t>
      </w:r>
      <w:r w:rsidR="00995897">
        <w:rPr>
          <w:rFonts w:ascii="Times New Roman" w:hAnsi="Times New Roman" w:cs="Times New Roman"/>
          <w:sz w:val="18"/>
          <w:szCs w:val="18"/>
          <w:lang w:val="en-US"/>
        </w:rPr>
        <w:t>,</w:t>
      </w:r>
      <w:r w:rsidR="00C40DA1" w:rsidRPr="00C40DA1">
        <w:rPr>
          <w:rFonts w:ascii="Times New Roman" w:hAnsi="Times New Roman" w:cs="Times New Roman"/>
          <w:sz w:val="18"/>
          <w:szCs w:val="18"/>
          <w:lang w:val="en-US"/>
        </w:rPr>
        <w:t xml:space="preserve"> 877-889</w:t>
      </w:r>
      <w:r w:rsidR="009E1C69">
        <w:rPr>
          <w:rFonts w:ascii="Times New Roman" w:hAnsi="Times New Roman" w:cs="Times New Roman"/>
          <w:sz w:val="18"/>
          <w:szCs w:val="18"/>
          <w:lang w:val="en-US"/>
        </w:rPr>
        <w:t>.</w:t>
      </w:r>
      <w:r w:rsidR="00C40DA1" w:rsidRPr="00C40DA1">
        <w:rPr>
          <w:rFonts w:ascii="Times New Roman" w:hAnsi="Times New Roman" w:cs="Times New Roman"/>
          <w:sz w:val="18"/>
          <w:szCs w:val="18"/>
          <w:lang w:val="en-US"/>
        </w:rPr>
        <w:t xml:space="preserve"> </w:t>
      </w:r>
      <w:hyperlink r:id="rId25" w:history="1">
        <w:r w:rsidR="009E1C69" w:rsidRPr="001135D6">
          <w:rPr>
            <w:rStyle w:val="a6"/>
            <w:rFonts w:ascii="Times New Roman" w:hAnsi="Times New Roman" w:cs="Times New Roman"/>
            <w:sz w:val="18"/>
            <w:szCs w:val="18"/>
            <w:lang w:val="en-US"/>
          </w:rPr>
          <w:t>https://doi.org/10.1080/10242694.2018.1425118</w:t>
        </w:r>
      </w:hyperlink>
      <w:r w:rsidR="00C40DA1" w:rsidRPr="00995897">
        <w:rPr>
          <w:rFonts w:ascii="Times New Roman" w:hAnsi="Times New Roman" w:cs="Times New Roman"/>
          <w:sz w:val="18"/>
          <w:szCs w:val="18"/>
          <w:lang w:val="en-US"/>
        </w:rPr>
        <w:t>.</w:t>
      </w:r>
      <w:r w:rsidR="009E1C69">
        <w:rPr>
          <w:rFonts w:ascii="Times New Roman" w:hAnsi="Times New Roman" w:cs="Times New Roman"/>
          <w:sz w:val="18"/>
          <w:szCs w:val="18"/>
          <w:lang w:val="en-US"/>
        </w:rPr>
        <w:t xml:space="preserve"> </w:t>
      </w:r>
      <w:r w:rsidR="00C40DA1" w:rsidRPr="00995897">
        <w:rPr>
          <w:rFonts w:ascii="Times New Roman" w:hAnsi="Times New Roman" w:cs="Times New Roman"/>
          <w:sz w:val="18"/>
          <w:szCs w:val="18"/>
          <w:lang w:val="en-US"/>
        </w:rPr>
        <w:t xml:space="preserve"> </w:t>
      </w:r>
      <w:r w:rsidR="00995897" w:rsidRPr="008C632B">
        <w:rPr>
          <w:rFonts w:ascii="Times New Roman" w:hAnsi="Times New Roman" w:cs="Times New Roman"/>
          <w:b/>
          <w:bCs/>
          <w:color w:val="2A2D35"/>
          <w:sz w:val="18"/>
          <w:szCs w:val="18"/>
          <w:highlight w:val="green"/>
          <w:lang w:val="en-US" w:eastAsia="ru-RU"/>
        </w:rPr>
        <w:t>Q2</w:t>
      </w:r>
    </w:p>
    <w:p w14:paraId="4F8CF52C" w14:textId="133AE401" w:rsidR="009E1C69" w:rsidRPr="004F3328" w:rsidRDefault="003960CA" w:rsidP="009E1C69">
      <w:pPr>
        <w:spacing w:before="120"/>
        <w:ind w:left="357" w:hanging="357"/>
        <w:jc w:val="both"/>
        <w:rPr>
          <w:rFonts w:ascii="Times New Roman" w:hAnsi="Times New Roman" w:cs="Times New Roman"/>
          <w:spacing w:val="-2"/>
          <w:sz w:val="20"/>
          <w:lang w:val="en-US"/>
        </w:rPr>
      </w:pPr>
      <w:r>
        <w:rPr>
          <w:rFonts w:ascii="Times New Roman" w:hAnsi="Times New Roman" w:cs="Times New Roman"/>
          <w:sz w:val="18"/>
          <w:szCs w:val="18"/>
          <w:lang w:val="en-US"/>
        </w:rPr>
        <w:t>7</w:t>
      </w:r>
      <w:r w:rsidR="00194286" w:rsidRPr="00194286">
        <w:rPr>
          <w:rFonts w:ascii="Times New Roman" w:hAnsi="Times New Roman" w:cs="Times New Roman"/>
          <w:sz w:val="18"/>
          <w:szCs w:val="18"/>
          <w:lang w:val="en-US"/>
        </w:rPr>
        <w:t xml:space="preserve">. </w:t>
      </w:r>
      <w:r w:rsidR="009E1C69">
        <w:rPr>
          <w:rFonts w:ascii="Times New Roman" w:hAnsi="Times New Roman" w:cs="Times New Roman"/>
          <w:sz w:val="18"/>
          <w:szCs w:val="18"/>
          <w:lang w:val="en-US"/>
        </w:rPr>
        <w:t xml:space="preserve">  </w:t>
      </w:r>
      <w:r w:rsidR="00194286" w:rsidRPr="004F3328">
        <w:rPr>
          <w:rFonts w:ascii="Times New Roman" w:hAnsi="Times New Roman" w:cs="Times New Roman"/>
          <w:spacing w:val="-2"/>
          <w:sz w:val="20"/>
          <w:lang w:val="en-US"/>
        </w:rPr>
        <w:t>Blom, M</w:t>
      </w:r>
      <w:r w:rsidR="009E1C69" w:rsidRPr="004F3328">
        <w:rPr>
          <w:rFonts w:ascii="Times New Roman" w:hAnsi="Times New Roman" w:cs="Times New Roman"/>
          <w:spacing w:val="-2"/>
          <w:sz w:val="20"/>
          <w:lang w:val="en-US"/>
        </w:rPr>
        <w:t>.,</w:t>
      </w:r>
      <w:r w:rsidR="00194286" w:rsidRPr="004F3328">
        <w:rPr>
          <w:rFonts w:ascii="Times New Roman" w:hAnsi="Times New Roman" w:cs="Times New Roman"/>
          <w:spacing w:val="-2"/>
          <w:sz w:val="20"/>
          <w:lang w:val="en-US"/>
        </w:rPr>
        <w:t xml:space="preserve"> Castellacci, F</w:t>
      </w:r>
      <w:r w:rsidR="009E1C69" w:rsidRPr="004F3328">
        <w:rPr>
          <w:rFonts w:ascii="Times New Roman" w:hAnsi="Times New Roman" w:cs="Times New Roman"/>
          <w:spacing w:val="-2"/>
          <w:sz w:val="20"/>
          <w:lang w:val="en-US"/>
        </w:rPr>
        <w:t>.,</w:t>
      </w:r>
      <w:r w:rsidR="00194286" w:rsidRPr="004F3328">
        <w:rPr>
          <w:rFonts w:ascii="Times New Roman" w:hAnsi="Times New Roman" w:cs="Times New Roman"/>
          <w:spacing w:val="-2"/>
          <w:sz w:val="20"/>
          <w:lang w:val="en-US"/>
        </w:rPr>
        <w:t xml:space="preserve"> </w:t>
      </w:r>
      <w:r w:rsidR="009E1C69" w:rsidRPr="004F3328">
        <w:rPr>
          <w:rFonts w:ascii="Times New Roman" w:hAnsi="Times New Roman" w:cs="Times New Roman"/>
          <w:spacing w:val="-2"/>
          <w:sz w:val="20"/>
          <w:lang w:val="en-US"/>
        </w:rPr>
        <w:t xml:space="preserve">&amp; </w:t>
      </w:r>
      <w:r w:rsidR="00194286" w:rsidRPr="004F3328">
        <w:rPr>
          <w:rFonts w:ascii="Times New Roman" w:hAnsi="Times New Roman" w:cs="Times New Roman"/>
          <w:spacing w:val="-2"/>
          <w:sz w:val="20"/>
          <w:lang w:val="en-US"/>
        </w:rPr>
        <w:t xml:space="preserve">Fevolden, A. </w:t>
      </w:r>
      <w:r w:rsidR="009E1C69" w:rsidRPr="004F3328">
        <w:rPr>
          <w:rFonts w:ascii="Times New Roman" w:hAnsi="Times New Roman" w:cs="Times New Roman"/>
          <w:spacing w:val="-2"/>
          <w:sz w:val="20"/>
          <w:lang w:val="en-US"/>
        </w:rPr>
        <w:t xml:space="preserve">(2014). </w:t>
      </w:r>
      <w:r w:rsidR="00194286" w:rsidRPr="004F3328">
        <w:rPr>
          <w:rFonts w:ascii="Times New Roman" w:hAnsi="Times New Roman" w:cs="Times New Roman"/>
          <w:spacing w:val="-2"/>
          <w:sz w:val="20"/>
          <w:lang w:val="en-US"/>
        </w:rPr>
        <w:t xml:space="preserve">Defence firms facing liberalization: innovation and export in an agent-based model of the defence industry. </w:t>
      </w:r>
      <w:r w:rsidR="00194286" w:rsidRPr="004F3328">
        <w:rPr>
          <w:rFonts w:ascii="Times New Roman" w:hAnsi="Times New Roman" w:cs="Times New Roman"/>
          <w:i/>
          <w:iCs/>
          <w:spacing w:val="-2"/>
          <w:sz w:val="20"/>
          <w:lang w:val="en-US"/>
        </w:rPr>
        <w:t>Computational and Mathematical Organization Theory</w:t>
      </w:r>
      <w:r w:rsidR="009E1C69" w:rsidRPr="004F3328">
        <w:rPr>
          <w:rFonts w:ascii="Times New Roman" w:hAnsi="Times New Roman" w:cs="Times New Roman"/>
          <w:spacing w:val="-2"/>
          <w:sz w:val="20"/>
          <w:lang w:val="en-US"/>
        </w:rPr>
        <w:t>,</w:t>
      </w:r>
      <w:r w:rsidR="00194286" w:rsidRPr="004F3328">
        <w:rPr>
          <w:rFonts w:ascii="Times New Roman" w:hAnsi="Times New Roman" w:cs="Times New Roman"/>
          <w:spacing w:val="-2"/>
          <w:sz w:val="20"/>
          <w:lang w:val="en-US"/>
        </w:rPr>
        <w:t xml:space="preserve"> 20</w:t>
      </w:r>
      <w:r w:rsidR="009E1C69" w:rsidRPr="004F3328">
        <w:rPr>
          <w:rFonts w:ascii="Times New Roman" w:hAnsi="Times New Roman" w:cs="Times New Roman"/>
          <w:spacing w:val="-2"/>
          <w:sz w:val="20"/>
          <w:lang w:val="en-US"/>
        </w:rPr>
        <w:t xml:space="preserve"> (4).</w:t>
      </w:r>
      <w:r w:rsidR="00194286" w:rsidRPr="004F3328">
        <w:rPr>
          <w:rFonts w:ascii="Times New Roman" w:hAnsi="Times New Roman" w:cs="Times New Roman"/>
          <w:spacing w:val="-2"/>
          <w:sz w:val="20"/>
          <w:lang w:val="en-US"/>
        </w:rPr>
        <w:t xml:space="preserve"> 430-461</w:t>
      </w:r>
      <w:r w:rsidR="009E1C69" w:rsidRPr="004F3328">
        <w:rPr>
          <w:rFonts w:ascii="Times New Roman" w:hAnsi="Times New Roman" w:cs="Times New Roman"/>
          <w:spacing w:val="-2"/>
          <w:sz w:val="20"/>
          <w:lang w:val="en-US"/>
        </w:rPr>
        <w:t>.</w:t>
      </w:r>
      <w:r w:rsidR="00194286" w:rsidRPr="004F3328">
        <w:rPr>
          <w:rFonts w:ascii="Times New Roman" w:hAnsi="Times New Roman" w:cs="Times New Roman"/>
          <w:spacing w:val="-2"/>
          <w:sz w:val="20"/>
          <w:lang w:val="en-US"/>
        </w:rPr>
        <w:t xml:space="preserve"> </w:t>
      </w:r>
      <w:hyperlink r:id="rId26" w:history="1">
        <w:r w:rsidR="009E1C69" w:rsidRPr="004F3328">
          <w:rPr>
            <w:rStyle w:val="a6"/>
            <w:rFonts w:ascii="Times New Roman" w:hAnsi="Times New Roman" w:cs="Times New Roman"/>
            <w:spacing w:val="-2"/>
            <w:sz w:val="20"/>
            <w:lang w:val="en-US"/>
          </w:rPr>
          <w:t>https://doi.org/10.1007/s10588-014-9173-6</w:t>
        </w:r>
      </w:hyperlink>
    </w:p>
    <w:p w14:paraId="660411A3" w14:textId="062BE7F4" w:rsidR="00633E48" w:rsidRDefault="00194286" w:rsidP="009E1C69">
      <w:pPr>
        <w:spacing w:before="60"/>
        <w:ind w:left="357" w:hanging="357"/>
        <w:jc w:val="both"/>
        <w:rPr>
          <w:rFonts w:ascii="Times New Roman" w:hAnsi="Times New Roman" w:cs="Times New Roman"/>
          <w:iCs/>
          <w:sz w:val="20"/>
        </w:rPr>
      </w:pPr>
      <w:r w:rsidRPr="00194286">
        <w:rPr>
          <w:rFonts w:ascii="Times New Roman" w:hAnsi="Times New Roman" w:cs="Times New Roman"/>
          <w:sz w:val="18"/>
          <w:szCs w:val="18"/>
          <w:lang w:val="en-US"/>
        </w:rPr>
        <w:t xml:space="preserve"> </w:t>
      </w:r>
      <w:r w:rsidR="003960CA">
        <w:rPr>
          <w:rFonts w:ascii="Times New Roman" w:hAnsi="Times New Roman" w:cs="Times New Roman"/>
          <w:iCs/>
          <w:sz w:val="20"/>
          <w:lang w:val="en-US"/>
        </w:rPr>
        <w:t>8</w:t>
      </w:r>
      <w:r w:rsidR="00633E48">
        <w:rPr>
          <w:rFonts w:ascii="Times New Roman" w:hAnsi="Times New Roman" w:cs="Times New Roman"/>
          <w:iCs/>
          <w:sz w:val="20"/>
        </w:rPr>
        <w:t xml:space="preserve">. </w:t>
      </w:r>
      <w:bookmarkStart w:id="14" w:name="_Hlk76646262"/>
      <w:r w:rsidR="009E1C69">
        <w:rPr>
          <w:rFonts w:ascii="Times New Roman" w:hAnsi="Times New Roman" w:cs="Times New Roman"/>
          <w:iCs/>
          <w:sz w:val="20"/>
        </w:rPr>
        <w:t xml:space="preserve">   </w:t>
      </w:r>
      <w:r w:rsidR="00633E48" w:rsidRPr="00633E48">
        <w:rPr>
          <w:rFonts w:ascii="Times New Roman" w:hAnsi="Times New Roman" w:cs="Times New Roman"/>
          <w:iCs/>
          <w:sz w:val="20"/>
        </w:rPr>
        <w:t>Fleurant, A</w:t>
      </w:r>
      <w:r w:rsidR="009E1C69">
        <w:rPr>
          <w:rFonts w:ascii="Times New Roman" w:hAnsi="Times New Roman" w:cs="Times New Roman"/>
          <w:iCs/>
          <w:sz w:val="20"/>
        </w:rPr>
        <w:t xml:space="preserve">., &amp; </w:t>
      </w:r>
      <w:r w:rsidR="00633E48" w:rsidRPr="00633E48">
        <w:rPr>
          <w:rFonts w:ascii="Times New Roman" w:hAnsi="Times New Roman" w:cs="Times New Roman"/>
          <w:iCs/>
          <w:sz w:val="20"/>
        </w:rPr>
        <w:t>Tian</w:t>
      </w:r>
      <w:bookmarkEnd w:id="14"/>
      <w:r w:rsidR="00633E48" w:rsidRPr="00633E48">
        <w:rPr>
          <w:rFonts w:ascii="Times New Roman" w:hAnsi="Times New Roman" w:cs="Times New Roman"/>
          <w:iCs/>
          <w:sz w:val="20"/>
        </w:rPr>
        <w:t>, N</w:t>
      </w:r>
      <w:r w:rsidR="00633E48">
        <w:rPr>
          <w:rFonts w:ascii="Times New Roman" w:hAnsi="Times New Roman" w:cs="Times New Roman"/>
          <w:iCs/>
          <w:sz w:val="20"/>
        </w:rPr>
        <w:t>.</w:t>
      </w:r>
      <w:r w:rsidR="00633E48" w:rsidRPr="00633E48">
        <w:rPr>
          <w:rFonts w:ascii="Times New Roman" w:hAnsi="Times New Roman" w:cs="Times New Roman"/>
          <w:iCs/>
          <w:sz w:val="20"/>
        </w:rPr>
        <w:t xml:space="preserve"> </w:t>
      </w:r>
      <w:r w:rsidR="009E1C69">
        <w:rPr>
          <w:rFonts w:ascii="Times New Roman" w:hAnsi="Times New Roman" w:cs="Times New Roman"/>
          <w:iCs/>
          <w:sz w:val="20"/>
        </w:rPr>
        <w:t xml:space="preserve">(2018). </w:t>
      </w:r>
      <w:r w:rsidR="00633E48" w:rsidRPr="00633E48">
        <w:rPr>
          <w:rFonts w:ascii="Times New Roman" w:hAnsi="Times New Roman" w:cs="Times New Roman"/>
          <w:iCs/>
          <w:sz w:val="20"/>
        </w:rPr>
        <w:t>SIPRI's arms producing and military services companies database</w:t>
      </w:r>
      <w:r w:rsidR="001F160C" w:rsidRPr="001F160C">
        <w:rPr>
          <w:rFonts w:ascii="Times New Roman" w:hAnsi="Times New Roman" w:cs="Times New Roman"/>
          <w:iCs/>
          <w:sz w:val="20"/>
          <w:lang w:val="en-US"/>
        </w:rPr>
        <w:t>.</w:t>
      </w:r>
      <w:r w:rsidR="009E1C69">
        <w:rPr>
          <w:rFonts w:ascii="Times New Roman" w:hAnsi="Times New Roman" w:cs="Times New Roman"/>
          <w:iCs/>
          <w:sz w:val="20"/>
          <w:lang w:val="en-US"/>
        </w:rPr>
        <w:t xml:space="preserve"> </w:t>
      </w:r>
      <w:r w:rsidR="00D665E5" w:rsidRPr="009E1C69">
        <w:rPr>
          <w:rFonts w:ascii="Times New Roman" w:hAnsi="Times New Roman" w:cs="Times New Roman"/>
          <w:i/>
          <w:sz w:val="20"/>
        </w:rPr>
        <w:t>Economics of Peace and Security Journal</w:t>
      </w:r>
      <w:r w:rsidR="00D665E5">
        <w:rPr>
          <w:rFonts w:ascii="Times New Roman" w:hAnsi="Times New Roman" w:cs="Times New Roman"/>
          <w:iCs/>
          <w:sz w:val="20"/>
        </w:rPr>
        <w:t xml:space="preserve">, </w:t>
      </w:r>
      <w:r w:rsidR="00633E48" w:rsidRPr="009E1C69">
        <w:rPr>
          <w:rFonts w:ascii="Times New Roman" w:hAnsi="Times New Roman" w:cs="Times New Roman"/>
          <w:i/>
          <w:sz w:val="20"/>
        </w:rPr>
        <w:t>13</w:t>
      </w:r>
      <w:r w:rsidR="009E1C69" w:rsidRPr="009E1C69">
        <w:rPr>
          <w:rFonts w:ascii="Times New Roman" w:hAnsi="Times New Roman" w:cs="Times New Roman"/>
          <w:i/>
          <w:sz w:val="20"/>
        </w:rPr>
        <w:t xml:space="preserve"> (2),</w:t>
      </w:r>
      <w:r w:rsidR="00633E48" w:rsidRPr="00633E48">
        <w:rPr>
          <w:rFonts w:ascii="Times New Roman" w:hAnsi="Times New Roman" w:cs="Times New Roman"/>
          <w:iCs/>
          <w:sz w:val="20"/>
        </w:rPr>
        <w:t xml:space="preserve"> 5-10</w:t>
      </w:r>
      <w:r w:rsidR="009E1C69">
        <w:rPr>
          <w:rFonts w:ascii="Times New Roman" w:hAnsi="Times New Roman" w:cs="Times New Roman"/>
          <w:iCs/>
          <w:sz w:val="20"/>
        </w:rPr>
        <w:t>.</w:t>
      </w:r>
      <w:r w:rsidR="00D665E5">
        <w:rPr>
          <w:rFonts w:ascii="Times New Roman" w:hAnsi="Times New Roman" w:cs="Times New Roman"/>
          <w:iCs/>
          <w:sz w:val="20"/>
        </w:rPr>
        <w:t xml:space="preserve"> </w:t>
      </w:r>
      <w:hyperlink r:id="rId27" w:history="1">
        <w:r w:rsidR="004F3328" w:rsidRPr="001135D6">
          <w:rPr>
            <w:rStyle w:val="a6"/>
            <w:rFonts w:ascii="Times New Roman" w:hAnsi="Times New Roman" w:cs="Times New Roman"/>
            <w:iCs/>
            <w:sz w:val="20"/>
          </w:rPr>
          <w:t>https://doi.org/10.15355/epsj.13.2.5</w:t>
        </w:r>
      </w:hyperlink>
    </w:p>
    <w:p w14:paraId="2BCDDF9D" w14:textId="6E5C6243" w:rsidR="00813D47" w:rsidRPr="004F3328" w:rsidRDefault="003960CA" w:rsidP="004F3328">
      <w:pPr>
        <w:spacing w:before="60"/>
        <w:ind w:left="357" w:hanging="357"/>
        <w:jc w:val="both"/>
        <w:rPr>
          <w:rFonts w:ascii="Times New Roman" w:hAnsi="Times New Roman" w:cs="Times New Roman"/>
          <w:iCs/>
          <w:spacing w:val="-4"/>
          <w:sz w:val="20"/>
          <w:lang w:val="en-US"/>
        </w:rPr>
      </w:pPr>
      <w:r>
        <w:rPr>
          <w:rFonts w:ascii="Times New Roman" w:hAnsi="Times New Roman" w:cs="Times New Roman"/>
          <w:iCs/>
          <w:sz w:val="20"/>
          <w:lang w:val="en-US"/>
        </w:rPr>
        <w:t>9</w:t>
      </w:r>
      <w:r w:rsidR="00BC732C">
        <w:rPr>
          <w:rFonts w:ascii="Times New Roman" w:hAnsi="Times New Roman" w:cs="Times New Roman"/>
          <w:iCs/>
          <w:sz w:val="20"/>
          <w:lang w:val="en-US"/>
        </w:rPr>
        <w:t xml:space="preserve">. </w:t>
      </w:r>
      <w:r w:rsidR="00CB0C7B">
        <w:rPr>
          <w:rFonts w:ascii="Times New Roman" w:hAnsi="Times New Roman" w:cs="Times New Roman"/>
          <w:iCs/>
          <w:sz w:val="20"/>
          <w:lang w:val="en-US"/>
        </w:rPr>
        <w:t xml:space="preserve">  </w:t>
      </w:r>
      <w:r w:rsidR="00BC732C" w:rsidRPr="004F3328">
        <w:rPr>
          <w:rFonts w:ascii="Times New Roman" w:hAnsi="Times New Roman" w:cs="Times New Roman"/>
          <w:iCs/>
          <w:spacing w:val="-4"/>
          <w:sz w:val="20"/>
          <w:lang w:val="en-US"/>
        </w:rPr>
        <w:t>Bellais, R.</w:t>
      </w:r>
      <w:r w:rsidR="004F3328" w:rsidRPr="004F3328">
        <w:rPr>
          <w:rFonts w:ascii="Times New Roman" w:hAnsi="Times New Roman" w:cs="Times New Roman"/>
          <w:iCs/>
          <w:spacing w:val="-4"/>
          <w:sz w:val="20"/>
          <w:lang w:val="en-US"/>
        </w:rPr>
        <w:t xml:space="preserve"> (2021).</w:t>
      </w:r>
      <w:r w:rsidR="00BC732C" w:rsidRPr="004F3328">
        <w:rPr>
          <w:rFonts w:ascii="Times New Roman" w:hAnsi="Times New Roman" w:cs="Times New Roman"/>
          <w:iCs/>
          <w:spacing w:val="-4"/>
          <w:sz w:val="20"/>
          <w:lang w:val="en-US"/>
        </w:rPr>
        <w:t xml:space="preserve"> MBDA's Industrial Model and European Defence. </w:t>
      </w:r>
      <w:r w:rsidR="00BC732C" w:rsidRPr="004F3328">
        <w:rPr>
          <w:rFonts w:ascii="Times New Roman" w:hAnsi="Times New Roman" w:cs="Times New Roman"/>
          <w:i/>
          <w:spacing w:val="-4"/>
          <w:sz w:val="20"/>
          <w:lang w:val="en-US"/>
        </w:rPr>
        <w:t>Defence and Peace Economics</w:t>
      </w:r>
      <w:r w:rsidR="004F3328" w:rsidRPr="004F3328">
        <w:rPr>
          <w:rFonts w:ascii="Times New Roman" w:hAnsi="Times New Roman" w:cs="Times New Roman"/>
          <w:i/>
          <w:spacing w:val="-4"/>
          <w:sz w:val="20"/>
          <w:lang w:val="en-US"/>
        </w:rPr>
        <w:t>,</w:t>
      </w:r>
      <w:r w:rsidR="0028418B" w:rsidRPr="004F3328">
        <w:rPr>
          <w:rFonts w:ascii="Times New Roman" w:hAnsi="Times New Roman" w:cs="Times New Roman"/>
          <w:iCs/>
          <w:spacing w:val="-4"/>
          <w:sz w:val="20"/>
          <w:lang w:val="en-US"/>
        </w:rPr>
        <w:t xml:space="preserve"> Early Access: JUN 2021.</w:t>
      </w:r>
      <w:r w:rsidR="00BC732C" w:rsidRPr="004F3328">
        <w:rPr>
          <w:rFonts w:ascii="Times New Roman" w:hAnsi="Times New Roman" w:cs="Times New Roman"/>
          <w:iCs/>
          <w:spacing w:val="-4"/>
          <w:sz w:val="20"/>
          <w:lang w:val="en-US"/>
        </w:rPr>
        <w:t xml:space="preserve"> </w:t>
      </w:r>
      <w:hyperlink r:id="rId28" w:history="1">
        <w:r w:rsidR="004F3328" w:rsidRPr="004F3328">
          <w:rPr>
            <w:rStyle w:val="a6"/>
            <w:rFonts w:ascii="Times New Roman" w:hAnsi="Times New Roman" w:cs="Times New Roman"/>
            <w:iCs/>
            <w:spacing w:val="-4"/>
            <w:sz w:val="20"/>
          </w:rPr>
          <w:t>https://doi.org/10.1080/10242694.2021.1926176</w:t>
        </w:r>
      </w:hyperlink>
      <w:r w:rsidR="004F3328" w:rsidRPr="004F3328">
        <w:rPr>
          <w:rFonts w:ascii="Times New Roman" w:hAnsi="Times New Roman" w:cs="Times New Roman"/>
          <w:iCs/>
          <w:spacing w:val="-4"/>
          <w:sz w:val="20"/>
        </w:rPr>
        <w:t xml:space="preserve"> </w:t>
      </w:r>
      <w:r w:rsidR="004F3328" w:rsidRPr="004F3328">
        <w:rPr>
          <w:rFonts w:ascii="Times New Roman" w:hAnsi="Times New Roman" w:cs="Times New Roman"/>
          <w:iCs/>
          <w:spacing w:val="-4"/>
          <w:sz w:val="20"/>
          <w:highlight w:val="green"/>
          <w:lang w:val="en-US"/>
        </w:rPr>
        <w:t>Q2.</w:t>
      </w:r>
      <w:r w:rsidR="004F3328" w:rsidRPr="004F3328">
        <w:rPr>
          <w:rFonts w:ascii="Times New Roman" w:hAnsi="Times New Roman" w:cs="Times New Roman"/>
          <w:iCs/>
          <w:spacing w:val="-4"/>
          <w:sz w:val="20"/>
          <w:lang w:val="en-US"/>
        </w:rPr>
        <w:t xml:space="preserve"> </w:t>
      </w:r>
      <w:r w:rsidR="00BC732C" w:rsidRPr="004F3328">
        <w:rPr>
          <w:rFonts w:ascii="Times New Roman" w:hAnsi="Times New Roman" w:cs="Times New Roman"/>
          <w:iCs/>
          <w:spacing w:val="-4"/>
          <w:sz w:val="20"/>
          <w:lang w:val="en-US"/>
        </w:rPr>
        <w:t xml:space="preserve">  </w:t>
      </w:r>
    </w:p>
    <w:p w14:paraId="1DB63F09" w14:textId="50015C8A" w:rsidR="00813D47" w:rsidRPr="00BC732C" w:rsidRDefault="0028418B" w:rsidP="004F3328">
      <w:pPr>
        <w:spacing w:before="60"/>
        <w:ind w:left="357" w:hanging="357"/>
        <w:jc w:val="both"/>
        <w:rPr>
          <w:rFonts w:ascii="Times New Roman" w:hAnsi="Times New Roman" w:cs="Times New Roman"/>
          <w:iCs/>
          <w:sz w:val="20"/>
          <w:lang w:val="en-US"/>
        </w:rPr>
      </w:pPr>
      <w:r>
        <w:rPr>
          <w:rFonts w:ascii="Times New Roman" w:hAnsi="Times New Roman" w:cs="Times New Roman"/>
          <w:iCs/>
          <w:sz w:val="20"/>
          <w:lang w:val="en-US"/>
        </w:rPr>
        <w:t>1</w:t>
      </w:r>
      <w:r w:rsidR="003960CA">
        <w:rPr>
          <w:rFonts w:ascii="Times New Roman" w:hAnsi="Times New Roman" w:cs="Times New Roman"/>
          <w:iCs/>
          <w:sz w:val="20"/>
          <w:lang w:val="en-US"/>
        </w:rPr>
        <w:t>0</w:t>
      </w:r>
      <w:r>
        <w:rPr>
          <w:rFonts w:ascii="Times New Roman" w:hAnsi="Times New Roman" w:cs="Times New Roman"/>
          <w:iCs/>
          <w:sz w:val="20"/>
          <w:lang w:val="en-US"/>
        </w:rPr>
        <w:t xml:space="preserve">. </w:t>
      </w:r>
      <w:r w:rsidR="004F3328">
        <w:rPr>
          <w:rFonts w:ascii="Times New Roman" w:hAnsi="Times New Roman" w:cs="Times New Roman"/>
          <w:iCs/>
          <w:sz w:val="20"/>
          <w:lang w:val="en-US"/>
        </w:rPr>
        <w:t xml:space="preserve"> </w:t>
      </w:r>
      <w:r w:rsidRPr="0028418B">
        <w:rPr>
          <w:rFonts w:ascii="Times New Roman" w:hAnsi="Times New Roman" w:cs="Times New Roman"/>
          <w:iCs/>
          <w:sz w:val="20"/>
          <w:lang w:val="en-US"/>
        </w:rPr>
        <w:t xml:space="preserve">Kim J.-Y., </w:t>
      </w:r>
      <w:r w:rsidR="004F3328">
        <w:rPr>
          <w:rFonts w:ascii="Times New Roman" w:hAnsi="Times New Roman" w:cs="Times New Roman"/>
          <w:iCs/>
          <w:sz w:val="20"/>
          <w:lang w:val="en-US"/>
        </w:rPr>
        <w:t xml:space="preserve">&amp; </w:t>
      </w:r>
      <w:r w:rsidRPr="0028418B">
        <w:rPr>
          <w:rFonts w:ascii="Times New Roman" w:hAnsi="Times New Roman" w:cs="Times New Roman"/>
          <w:iCs/>
          <w:sz w:val="20"/>
          <w:lang w:val="en-US"/>
        </w:rPr>
        <w:t>Hong J.-Y.</w:t>
      </w:r>
      <w:r w:rsidR="004F3328">
        <w:rPr>
          <w:rFonts w:ascii="Times New Roman" w:hAnsi="Times New Roman" w:cs="Times New Roman"/>
          <w:iCs/>
          <w:sz w:val="20"/>
          <w:lang w:val="en-US"/>
        </w:rPr>
        <w:t xml:space="preserve"> (2015).</w:t>
      </w:r>
      <w:r>
        <w:rPr>
          <w:rFonts w:ascii="Times New Roman" w:hAnsi="Times New Roman" w:cs="Times New Roman"/>
          <w:iCs/>
          <w:sz w:val="20"/>
          <w:lang w:val="en-US"/>
        </w:rPr>
        <w:t xml:space="preserve"> </w:t>
      </w:r>
      <w:r w:rsidRPr="0028418B">
        <w:rPr>
          <w:rFonts w:ascii="Times New Roman" w:hAnsi="Times New Roman" w:cs="Times New Roman"/>
          <w:iCs/>
          <w:sz w:val="20"/>
          <w:lang w:val="en-US"/>
        </w:rPr>
        <w:t>The framework for analyzing the efficiency of global arms-producing and military services companies based on DEA-AR and ANP</w:t>
      </w:r>
      <w:r>
        <w:rPr>
          <w:rFonts w:ascii="Times New Roman" w:hAnsi="Times New Roman" w:cs="Times New Roman"/>
          <w:iCs/>
          <w:sz w:val="20"/>
          <w:lang w:val="en-US"/>
        </w:rPr>
        <w:t xml:space="preserve">. </w:t>
      </w:r>
      <w:r w:rsidRPr="004F3328">
        <w:rPr>
          <w:rFonts w:ascii="Times New Roman" w:hAnsi="Times New Roman" w:cs="Times New Roman"/>
          <w:i/>
          <w:sz w:val="20"/>
          <w:lang w:val="en-US"/>
        </w:rPr>
        <w:t>International Journal of Applied Engineering Research</w:t>
      </w:r>
      <w:r w:rsidR="004F3328">
        <w:rPr>
          <w:rFonts w:ascii="Times New Roman" w:hAnsi="Times New Roman" w:cs="Times New Roman"/>
          <w:i/>
          <w:sz w:val="20"/>
          <w:lang w:val="en-US"/>
        </w:rPr>
        <w:t>,</w:t>
      </w:r>
      <w:r>
        <w:rPr>
          <w:rFonts w:ascii="Times New Roman" w:hAnsi="Times New Roman" w:cs="Times New Roman"/>
          <w:iCs/>
          <w:sz w:val="20"/>
          <w:lang w:val="en-US"/>
        </w:rPr>
        <w:t xml:space="preserve"> </w:t>
      </w:r>
      <w:r w:rsidRPr="004F3328">
        <w:rPr>
          <w:rFonts w:ascii="Times New Roman" w:hAnsi="Times New Roman" w:cs="Times New Roman"/>
          <w:i/>
          <w:sz w:val="20"/>
          <w:lang w:val="en-US"/>
        </w:rPr>
        <w:t>10</w:t>
      </w:r>
      <w:r w:rsidR="004F3328" w:rsidRPr="004F3328">
        <w:rPr>
          <w:rFonts w:ascii="Times New Roman" w:hAnsi="Times New Roman" w:cs="Times New Roman"/>
          <w:i/>
          <w:sz w:val="20"/>
          <w:lang w:val="en-US"/>
        </w:rPr>
        <w:t xml:space="preserve"> (10)</w:t>
      </w:r>
      <w:r w:rsidRPr="0028418B">
        <w:rPr>
          <w:rFonts w:ascii="Times New Roman" w:hAnsi="Times New Roman" w:cs="Times New Roman"/>
          <w:iCs/>
          <w:sz w:val="20"/>
          <w:lang w:val="en-US"/>
        </w:rPr>
        <w:t>, 27111 - 27120</w:t>
      </w:r>
      <w:r w:rsidR="004F3328" w:rsidRPr="004F3328">
        <w:rPr>
          <w:rFonts w:ascii="Times New Roman" w:hAnsi="Times New Roman" w:cs="Times New Roman"/>
          <w:b/>
          <w:bCs/>
          <w:iCs/>
          <w:sz w:val="20"/>
          <w:highlight w:val="green"/>
          <w:lang w:val="en-US"/>
        </w:rPr>
        <w:t xml:space="preserve"> </w:t>
      </w:r>
      <w:r w:rsidR="004F3328" w:rsidRPr="0028418B">
        <w:rPr>
          <w:rFonts w:ascii="Times New Roman" w:hAnsi="Times New Roman" w:cs="Times New Roman"/>
          <w:b/>
          <w:bCs/>
          <w:iCs/>
          <w:sz w:val="20"/>
          <w:highlight w:val="green"/>
          <w:lang w:val="en-US"/>
        </w:rPr>
        <w:t>Q2</w:t>
      </w:r>
      <w:r w:rsidR="004F3328" w:rsidRPr="0028418B">
        <w:rPr>
          <w:rFonts w:ascii="Times New Roman" w:hAnsi="Times New Roman" w:cs="Times New Roman"/>
          <w:iCs/>
          <w:sz w:val="20"/>
          <w:highlight w:val="green"/>
          <w:lang w:val="en-US"/>
        </w:rPr>
        <w:t>.</w:t>
      </w:r>
    </w:p>
    <w:p w14:paraId="12498CE1" w14:textId="7E08ED6A" w:rsidR="00F477E6" w:rsidRDefault="00F477E6" w:rsidP="00F477E6">
      <w:pPr>
        <w:spacing w:before="60"/>
        <w:ind w:left="357"/>
        <w:jc w:val="both"/>
        <w:rPr>
          <w:rFonts w:ascii="Times New Roman" w:hAnsi="Times New Roman" w:cs="Times New Roman"/>
          <w:i/>
          <w:sz w:val="20"/>
        </w:rPr>
      </w:pPr>
      <w:r w:rsidRPr="000E35D4">
        <w:rPr>
          <w:rFonts w:ascii="Times New Roman" w:hAnsi="Times New Roman" w:cs="Times New Roman"/>
          <w:i/>
          <w:sz w:val="20"/>
        </w:rPr>
        <w:t>Conference Proceedings</w:t>
      </w:r>
    </w:p>
    <w:p w14:paraId="27CC576F" w14:textId="77D252CC" w:rsidR="00AE63EE" w:rsidRDefault="00AE63EE" w:rsidP="006C35A3">
      <w:pPr>
        <w:spacing w:before="60"/>
        <w:ind w:left="357" w:hanging="357"/>
        <w:jc w:val="both"/>
        <w:rPr>
          <w:rFonts w:ascii="Times New Roman" w:hAnsi="Times New Roman" w:cs="Times New Roman"/>
          <w:iCs/>
          <w:sz w:val="20"/>
          <w:lang w:val="en-US"/>
        </w:rPr>
      </w:pPr>
      <w:bookmarkStart w:id="15" w:name="_Hlk76900895"/>
      <w:r>
        <w:rPr>
          <w:rFonts w:ascii="Times New Roman" w:hAnsi="Times New Roman" w:cs="Times New Roman"/>
          <w:iCs/>
          <w:sz w:val="20"/>
          <w:lang w:val="en-US"/>
        </w:rPr>
        <w:t>11.</w:t>
      </w:r>
      <w:r w:rsidRPr="00AE63EE">
        <w:rPr>
          <w:rFonts w:ascii="Times New Roman" w:hAnsi="Times New Roman" w:cs="Times New Roman"/>
          <w:bCs/>
          <w:iCs/>
          <w:sz w:val="20"/>
          <w:lang w:val="en-GB"/>
        </w:rPr>
        <w:t xml:space="preserve"> </w:t>
      </w:r>
      <w:r w:rsidRPr="00AE63EE">
        <w:rPr>
          <w:rFonts w:ascii="Times New Roman" w:hAnsi="Times New Roman" w:cs="Times New Roman"/>
          <w:bCs/>
          <w:iCs/>
          <w:sz w:val="20"/>
          <w:lang w:val="en-GB"/>
        </w:rPr>
        <w:t>Dengov</w:t>
      </w:r>
      <w:r w:rsidRPr="00AE63EE">
        <w:rPr>
          <w:rFonts w:ascii="Times New Roman" w:hAnsi="Times New Roman" w:cs="Times New Roman"/>
          <w:bCs/>
          <w:iCs/>
          <w:sz w:val="20"/>
          <w:lang w:val="en-US"/>
        </w:rPr>
        <w:t xml:space="preserve">, V., </w:t>
      </w:r>
      <w:r w:rsidRPr="00AE63EE">
        <w:rPr>
          <w:rFonts w:ascii="Times New Roman" w:hAnsi="Times New Roman" w:cs="Times New Roman"/>
          <w:bCs/>
          <w:iCs/>
          <w:sz w:val="20"/>
          <w:lang w:val="en-GB"/>
        </w:rPr>
        <w:t>Tulyakova, I.</w:t>
      </w:r>
      <w:r>
        <w:rPr>
          <w:rFonts w:ascii="Times New Roman" w:hAnsi="Times New Roman" w:cs="Times New Roman"/>
          <w:bCs/>
          <w:iCs/>
          <w:sz w:val="20"/>
          <w:lang w:val="en-GB"/>
        </w:rPr>
        <w:t xml:space="preserve"> (2015). </w:t>
      </w:r>
      <w:r w:rsidRPr="00AE63EE">
        <w:rPr>
          <w:rFonts w:ascii="Times New Roman" w:hAnsi="Times New Roman" w:cs="Times New Roman"/>
          <w:bCs/>
          <w:iCs/>
          <w:sz w:val="20"/>
          <w:lang w:val="en-GB"/>
        </w:rPr>
        <w:t>Credit Risk Analysis for the Telecommunication Companies of Russia: Problem Statement and Selection of Indicators</w:t>
      </w:r>
      <w:r>
        <w:rPr>
          <w:rFonts w:ascii="Times New Roman" w:hAnsi="Times New Roman" w:cs="Times New Roman"/>
          <w:bCs/>
          <w:iCs/>
          <w:sz w:val="20"/>
          <w:lang w:val="en-GB"/>
        </w:rPr>
        <w:t>.</w:t>
      </w:r>
      <w:r w:rsidR="001B2F71">
        <w:rPr>
          <w:rFonts w:ascii="Times New Roman" w:hAnsi="Times New Roman" w:cs="Times New Roman"/>
          <w:bCs/>
          <w:iCs/>
          <w:sz w:val="20"/>
          <w:lang w:val="en-GB"/>
        </w:rPr>
        <w:t xml:space="preserve"> </w:t>
      </w:r>
      <w:bookmarkStart w:id="16" w:name="_Hlk82540023"/>
      <w:r w:rsidR="001B2F71" w:rsidRPr="001B2F71">
        <w:rPr>
          <w:rFonts w:ascii="Times New Roman" w:hAnsi="Times New Roman" w:cs="Times New Roman"/>
          <w:bCs/>
          <w:i/>
          <w:sz w:val="20"/>
          <w:lang w:val="en-GB"/>
        </w:rPr>
        <w:t>2nd International Multidisciplinary Scientific Conference on Social Sciences and Arts</w:t>
      </w:r>
      <w:r w:rsidR="001B2F71">
        <w:rPr>
          <w:rFonts w:ascii="Times New Roman" w:hAnsi="Times New Roman" w:cs="Times New Roman"/>
          <w:bCs/>
          <w:i/>
          <w:sz w:val="20"/>
          <w:lang w:val="en-GB"/>
        </w:rPr>
        <w:t xml:space="preserve">, </w:t>
      </w:r>
      <w:r w:rsidR="001B2F71" w:rsidRPr="001B2F71">
        <w:rPr>
          <w:rFonts w:ascii="Times New Roman" w:hAnsi="Times New Roman" w:cs="Times New Roman"/>
          <w:bCs/>
          <w:i/>
          <w:sz w:val="20"/>
          <w:lang w:val="en-GB"/>
        </w:rPr>
        <w:t xml:space="preserve">SGEM 2015: </w:t>
      </w:r>
      <w:r w:rsidR="001B2F71" w:rsidRPr="001B2F71">
        <w:rPr>
          <w:rFonts w:ascii="Times New Roman" w:hAnsi="Times New Roman" w:cs="Times New Roman"/>
          <w:bCs/>
          <w:i/>
          <w:sz w:val="20"/>
          <w:lang w:val="en-GB"/>
        </w:rPr>
        <w:t>Political Sciences, Law, Finance, Economics and Tourism</w:t>
      </w:r>
      <w:r w:rsidR="001B2F71" w:rsidRPr="001B2F71">
        <w:rPr>
          <w:rFonts w:ascii="Times New Roman" w:hAnsi="Times New Roman" w:cs="Times New Roman"/>
          <w:bCs/>
          <w:i/>
          <w:sz w:val="20"/>
          <w:lang w:val="en-GB"/>
        </w:rPr>
        <w:t>, VOL II</w:t>
      </w:r>
      <w:r w:rsidR="001B2F71">
        <w:rPr>
          <w:rFonts w:ascii="Times New Roman" w:hAnsi="Times New Roman" w:cs="Times New Roman"/>
          <w:bCs/>
          <w:i/>
          <w:sz w:val="20"/>
          <w:lang w:val="en-GB"/>
        </w:rPr>
        <w:t>, 131-138.</w:t>
      </w:r>
      <w:bookmarkEnd w:id="16"/>
    </w:p>
    <w:p w14:paraId="3DD83CFA" w14:textId="2D8A116D" w:rsidR="00AE63EE" w:rsidRDefault="00AE63EE" w:rsidP="006C35A3">
      <w:pPr>
        <w:spacing w:before="60"/>
        <w:ind w:left="357" w:hanging="357"/>
        <w:jc w:val="both"/>
        <w:rPr>
          <w:rFonts w:ascii="Times New Roman" w:hAnsi="Times New Roman" w:cs="Times New Roman"/>
          <w:iCs/>
          <w:sz w:val="20"/>
          <w:lang w:val="en-US"/>
        </w:rPr>
      </w:pPr>
      <w:r>
        <w:rPr>
          <w:rFonts w:ascii="Times New Roman" w:hAnsi="Times New Roman" w:cs="Times New Roman"/>
          <w:iCs/>
          <w:sz w:val="20"/>
          <w:lang w:val="en-US"/>
        </w:rPr>
        <w:t>12.</w:t>
      </w:r>
      <w:r w:rsidRPr="00AE63EE">
        <w:rPr>
          <w:rFonts w:ascii="Times New Roman" w:hAnsi="Times New Roman" w:cs="Times New Roman"/>
          <w:bCs/>
          <w:iCs/>
          <w:sz w:val="20"/>
          <w:lang w:val="en-GB"/>
        </w:rPr>
        <w:t xml:space="preserve"> </w:t>
      </w:r>
      <w:r w:rsidRPr="0036673D">
        <w:rPr>
          <w:rFonts w:ascii="Times New Roman" w:hAnsi="Times New Roman" w:cs="Times New Roman"/>
          <w:bCs/>
          <w:iCs/>
          <w:sz w:val="20"/>
          <w:lang w:val="en-GB"/>
        </w:rPr>
        <w:t>Dengov</w:t>
      </w:r>
      <w:r w:rsidRPr="0036673D">
        <w:rPr>
          <w:rFonts w:ascii="Times New Roman" w:hAnsi="Times New Roman" w:cs="Times New Roman"/>
          <w:bCs/>
          <w:iCs/>
          <w:sz w:val="20"/>
          <w:lang w:val="en-US"/>
        </w:rPr>
        <w:t xml:space="preserve">, V., </w:t>
      </w:r>
      <w:r w:rsidRPr="0036673D">
        <w:rPr>
          <w:rFonts w:ascii="Times New Roman" w:hAnsi="Times New Roman" w:cs="Times New Roman"/>
          <w:bCs/>
          <w:iCs/>
          <w:sz w:val="20"/>
          <w:lang w:val="en-GB"/>
        </w:rPr>
        <w:t>Tulyakova, I.</w:t>
      </w:r>
      <w:r>
        <w:rPr>
          <w:rFonts w:ascii="Times New Roman" w:hAnsi="Times New Roman" w:cs="Times New Roman"/>
          <w:bCs/>
          <w:iCs/>
          <w:sz w:val="20"/>
          <w:lang w:val="en-GB"/>
        </w:rPr>
        <w:t xml:space="preserve"> (2015)</w:t>
      </w:r>
      <w:r w:rsidR="001B2F71">
        <w:rPr>
          <w:rFonts w:ascii="Times New Roman" w:hAnsi="Times New Roman" w:cs="Times New Roman"/>
          <w:bCs/>
          <w:iCs/>
          <w:sz w:val="20"/>
          <w:lang w:val="en-GB"/>
        </w:rPr>
        <w:t xml:space="preserve">. </w:t>
      </w:r>
      <w:r w:rsidR="001B2F71" w:rsidRPr="001B2F71">
        <w:rPr>
          <w:rFonts w:ascii="Times New Roman" w:hAnsi="Times New Roman" w:cs="Times New Roman"/>
          <w:bCs/>
          <w:iCs/>
          <w:sz w:val="20"/>
          <w:lang w:val="en-GB"/>
        </w:rPr>
        <w:t>Credit Risk Analysis for the Telecommunication Companies of Russia: Statistical Model</w:t>
      </w:r>
      <w:r w:rsidR="001B2F71">
        <w:rPr>
          <w:rFonts w:ascii="Times New Roman" w:hAnsi="Times New Roman" w:cs="Times New Roman"/>
          <w:bCs/>
          <w:iCs/>
          <w:sz w:val="20"/>
          <w:lang w:val="en-GB"/>
        </w:rPr>
        <w:t xml:space="preserve">. </w:t>
      </w:r>
      <w:r w:rsidR="001B2F71" w:rsidRPr="001B2F71">
        <w:rPr>
          <w:rFonts w:ascii="Times New Roman" w:hAnsi="Times New Roman" w:cs="Times New Roman"/>
          <w:bCs/>
          <w:i/>
          <w:sz w:val="20"/>
          <w:lang w:val="en-GB"/>
        </w:rPr>
        <w:t>2nd International Multidisciplinary Scientific Conference on Social Sciences and Arts</w:t>
      </w:r>
      <w:r w:rsidR="001B2F71">
        <w:rPr>
          <w:rFonts w:ascii="Times New Roman" w:hAnsi="Times New Roman" w:cs="Times New Roman"/>
          <w:bCs/>
          <w:i/>
          <w:sz w:val="20"/>
          <w:lang w:val="en-GB"/>
        </w:rPr>
        <w:t xml:space="preserve">, </w:t>
      </w:r>
      <w:r w:rsidR="001B2F71" w:rsidRPr="001B2F71">
        <w:rPr>
          <w:rFonts w:ascii="Times New Roman" w:hAnsi="Times New Roman" w:cs="Times New Roman"/>
          <w:bCs/>
          <w:i/>
          <w:sz w:val="20"/>
          <w:lang w:val="en-GB"/>
        </w:rPr>
        <w:t>SGEM 2015: Political Sciences, Law, Finance, Economics and Tourism, VOL II</w:t>
      </w:r>
      <w:r w:rsidR="001B2F71">
        <w:rPr>
          <w:rFonts w:ascii="Times New Roman" w:hAnsi="Times New Roman" w:cs="Times New Roman"/>
          <w:bCs/>
          <w:i/>
          <w:sz w:val="20"/>
          <w:lang w:val="en-GB"/>
        </w:rPr>
        <w:t>, 13</w:t>
      </w:r>
      <w:r w:rsidR="001B2F71">
        <w:rPr>
          <w:rFonts w:ascii="Times New Roman" w:hAnsi="Times New Roman" w:cs="Times New Roman"/>
          <w:bCs/>
          <w:i/>
          <w:sz w:val="20"/>
          <w:lang w:val="en-GB"/>
        </w:rPr>
        <w:t>9</w:t>
      </w:r>
      <w:r w:rsidR="001B2F71">
        <w:rPr>
          <w:rFonts w:ascii="Times New Roman" w:hAnsi="Times New Roman" w:cs="Times New Roman"/>
          <w:bCs/>
          <w:i/>
          <w:sz w:val="20"/>
          <w:lang w:val="en-GB"/>
        </w:rPr>
        <w:t>-1</w:t>
      </w:r>
      <w:r w:rsidR="001B2F71">
        <w:rPr>
          <w:rFonts w:ascii="Times New Roman" w:hAnsi="Times New Roman" w:cs="Times New Roman"/>
          <w:bCs/>
          <w:i/>
          <w:sz w:val="20"/>
          <w:lang w:val="en-GB"/>
        </w:rPr>
        <w:t>46</w:t>
      </w:r>
      <w:r w:rsidR="001B2F71">
        <w:rPr>
          <w:rFonts w:ascii="Times New Roman" w:hAnsi="Times New Roman" w:cs="Times New Roman"/>
          <w:bCs/>
          <w:i/>
          <w:sz w:val="20"/>
          <w:lang w:val="en-GB"/>
        </w:rPr>
        <w:t>.</w:t>
      </w:r>
    </w:p>
    <w:p w14:paraId="3C4BD793" w14:textId="69A3BD3A" w:rsidR="00AE63EE" w:rsidRDefault="00AE63EE" w:rsidP="006C35A3">
      <w:pPr>
        <w:spacing w:before="60"/>
        <w:ind w:left="357" w:hanging="357"/>
        <w:jc w:val="both"/>
        <w:rPr>
          <w:rFonts w:ascii="Times New Roman" w:hAnsi="Times New Roman" w:cs="Times New Roman"/>
          <w:iCs/>
          <w:sz w:val="20"/>
          <w:lang w:val="en-US"/>
        </w:rPr>
      </w:pPr>
      <w:r>
        <w:rPr>
          <w:rFonts w:ascii="Times New Roman" w:hAnsi="Times New Roman" w:cs="Times New Roman"/>
          <w:iCs/>
          <w:sz w:val="20"/>
          <w:lang w:val="en-US"/>
        </w:rPr>
        <w:t>13.</w:t>
      </w:r>
      <w:r w:rsidRPr="00AE63EE">
        <w:rPr>
          <w:rFonts w:ascii="Times New Roman" w:hAnsi="Times New Roman" w:cs="Times New Roman"/>
          <w:bCs/>
          <w:iCs/>
          <w:sz w:val="20"/>
          <w:lang w:val="en-GB"/>
        </w:rPr>
        <w:t xml:space="preserve"> </w:t>
      </w:r>
      <w:r w:rsidRPr="0036673D">
        <w:rPr>
          <w:rFonts w:ascii="Times New Roman" w:hAnsi="Times New Roman" w:cs="Times New Roman"/>
          <w:bCs/>
          <w:iCs/>
          <w:sz w:val="20"/>
          <w:lang w:val="en-GB"/>
        </w:rPr>
        <w:t>Dengov</w:t>
      </w:r>
      <w:r w:rsidRPr="0036673D">
        <w:rPr>
          <w:rFonts w:ascii="Times New Roman" w:hAnsi="Times New Roman" w:cs="Times New Roman"/>
          <w:bCs/>
          <w:iCs/>
          <w:sz w:val="20"/>
          <w:lang w:val="en-US"/>
        </w:rPr>
        <w:t xml:space="preserve">, V., </w:t>
      </w:r>
      <w:r w:rsidRPr="0036673D">
        <w:rPr>
          <w:rFonts w:ascii="Times New Roman" w:hAnsi="Times New Roman" w:cs="Times New Roman"/>
          <w:bCs/>
          <w:iCs/>
          <w:sz w:val="20"/>
          <w:lang w:val="en-GB"/>
        </w:rPr>
        <w:t>Tulyakova, I.</w:t>
      </w:r>
      <w:r w:rsidRPr="00AE63EE">
        <w:rPr>
          <w:rFonts w:ascii="Times New Roman" w:hAnsi="Times New Roman" w:cs="Times New Roman"/>
          <w:bCs/>
          <w:iCs/>
          <w:sz w:val="20"/>
          <w:lang w:val="en-GB"/>
        </w:rPr>
        <w:t xml:space="preserve"> </w:t>
      </w:r>
      <w:r>
        <w:rPr>
          <w:rFonts w:ascii="Times New Roman" w:hAnsi="Times New Roman" w:cs="Times New Roman"/>
          <w:bCs/>
          <w:iCs/>
          <w:sz w:val="20"/>
          <w:lang w:val="en-GB"/>
        </w:rPr>
        <w:t>(2015)</w:t>
      </w:r>
      <w:r w:rsidR="001B2F71">
        <w:rPr>
          <w:rFonts w:ascii="Times New Roman" w:hAnsi="Times New Roman" w:cs="Times New Roman"/>
          <w:bCs/>
          <w:iCs/>
          <w:sz w:val="20"/>
          <w:lang w:val="en-GB"/>
        </w:rPr>
        <w:t xml:space="preserve">. </w:t>
      </w:r>
      <w:r w:rsidR="001B2F71" w:rsidRPr="001B2F71">
        <w:rPr>
          <w:rFonts w:ascii="Times New Roman" w:hAnsi="Times New Roman" w:cs="Times New Roman"/>
          <w:bCs/>
          <w:iCs/>
          <w:sz w:val="20"/>
          <w:lang w:val="en-GB"/>
        </w:rPr>
        <w:t>Credit Risk Analysis for the Telecommunication Companies of Russia: Fuzzy Model. Comparison of the Results</w:t>
      </w:r>
      <w:r w:rsidR="001B2F71">
        <w:rPr>
          <w:rFonts w:ascii="Times New Roman" w:hAnsi="Times New Roman" w:cs="Times New Roman"/>
          <w:bCs/>
          <w:iCs/>
          <w:sz w:val="20"/>
          <w:lang w:val="en-GB"/>
        </w:rPr>
        <w:t>.</w:t>
      </w:r>
      <w:r w:rsidR="001B2F71" w:rsidRPr="001B2F71">
        <w:rPr>
          <w:rFonts w:ascii="Times New Roman" w:hAnsi="Times New Roman" w:cs="Times New Roman"/>
          <w:bCs/>
          <w:i/>
          <w:sz w:val="20"/>
          <w:lang w:val="en-GB"/>
        </w:rPr>
        <w:t xml:space="preserve"> </w:t>
      </w:r>
      <w:r w:rsidR="001B2F71" w:rsidRPr="001B2F71">
        <w:rPr>
          <w:rFonts w:ascii="Times New Roman" w:hAnsi="Times New Roman" w:cs="Times New Roman"/>
          <w:bCs/>
          <w:i/>
          <w:sz w:val="20"/>
          <w:lang w:val="en-GB"/>
        </w:rPr>
        <w:t>2nd International Multidisciplinary Scientific Conference on Social Sciences and Arts</w:t>
      </w:r>
      <w:r w:rsidR="001B2F71">
        <w:rPr>
          <w:rFonts w:ascii="Times New Roman" w:hAnsi="Times New Roman" w:cs="Times New Roman"/>
          <w:bCs/>
          <w:i/>
          <w:sz w:val="20"/>
          <w:lang w:val="en-GB"/>
        </w:rPr>
        <w:t xml:space="preserve">, </w:t>
      </w:r>
      <w:r w:rsidR="001B2F71" w:rsidRPr="001B2F71">
        <w:rPr>
          <w:rFonts w:ascii="Times New Roman" w:hAnsi="Times New Roman" w:cs="Times New Roman"/>
          <w:bCs/>
          <w:i/>
          <w:sz w:val="20"/>
          <w:lang w:val="en-GB"/>
        </w:rPr>
        <w:t>SGEM 2015: Political Sciences, Law, Finance, Economics and Tourism, VOL II</w:t>
      </w:r>
      <w:r w:rsidR="001B2F71">
        <w:rPr>
          <w:rFonts w:ascii="Times New Roman" w:hAnsi="Times New Roman" w:cs="Times New Roman"/>
          <w:bCs/>
          <w:i/>
          <w:sz w:val="20"/>
          <w:lang w:val="en-GB"/>
        </w:rPr>
        <w:t>, 1</w:t>
      </w:r>
      <w:r w:rsidR="0016353B">
        <w:rPr>
          <w:rFonts w:ascii="Times New Roman" w:hAnsi="Times New Roman" w:cs="Times New Roman"/>
          <w:bCs/>
          <w:i/>
          <w:sz w:val="20"/>
          <w:lang w:val="en-GB"/>
        </w:rPr>
        <w:t>2</w:t>
      </w:r>
      <w:r w:rsidR="001B2F71">
        <w:rPr>
          <w:rFonts w:ascii="Times New Roman" w:hAnsi="Times New Roman" w:cs="Times New Roman"/>
          <w:bCs/>
          <w:i/>
          <w:sz w:val="20"/>
          <w:lang w:val="en-GB"/>
        </w:rPr>
        <w:t>3-13</w:t>
      </w:r>
      <w:r w:rsidR="0016353B">
        <w:rPr>
          <w:rFonts w:ascii="Times New Roman" w:hAnsi="Times New Roman" w:cs="Times New Roman"/>
          <w:bCs/>
          <w:i/>
          <w:sz w:val="20"/>
          <w:lang w:val="en-GB"/>
        </w:rPr>
        <w:t>0</w:t>
      </w:r>
      <w:r w:rsidR="001B2F71">
        <w:rPr>
          <w:rFonts w:ascii="Times New Roman" w:hAnsi="Times New Roman" w:cs="Times New Roman"/>
          <w:bCs/>
          <w:i/>
          <w:sz w:val="20"/>
          <w:lang w:val="en-GB"/>
        </w:rPr>
        <w:t>.</w:t>
      </w:r>
    </w:p>
    <w:p w14:paraId="75F58B73" w14:textId="7C383C12" w:rsidR="0036673D" w:rsidRDefault="00895F16" w:rsidP="006C35A3">
      <w:pPr>
        <w:spacing w:before="60"/>
        <w:ind w:left="357" w:hanging="357"/>
        <w:jc w:val="both"/>
        <w:rPr>
          <w:rFonts w:ascii="Times New Roman" w:hAnsi="Times New Roman" w:cs="Times New Roman"/>
          <w:iCs/>
          <w:sz w:val="20"/>
        </w:rPr>
      </w:pPr>
      <w:r w:rsidRPr="00DE101D">
        <w:rPr>
          <w:rFonts w:ascii="Times New Roman" w:hAnsi="Times New Roman" w:cs="Times New Roman"/>
          <w:iCs/>
          <w:sz w:val="20"/>
          <w:lang w:val="en-US"/>
        </w:rPr>
        <w:t>1</w:t>
      </w:r>
      <w:r w:rsidR="0016353B">
        <w:rPr>
          <w:rFonts w:ascii="Times New Roman" w:hAnsi="Times New Roman" w:cs="Times New Roman"/>
          <w:iCs/>
          <w:sz w:val="20"/>
          <w:lang w:val="en-US"/>
        </w:rPr>
        <w:t>4</w:t>
      </w:r>
      <w:r w:rsidR="00DE101D">
        <w:rPr>
          <w:rFonts w:ascii="Times New Roman" w:hAnsi="Times New Roman" w:cs="Times New Roman"/>
          <w:iCs/>
          <w:sz w:val="20"/>
          <w:lang w:val="en-US"/>
        </w:rPr>
        <w:t>.</w:t>
      </w:r>
      <w:r w:rsidR="00F477E6">
        <w:rPr>
          <w:rFonts w:ascii="Times New Roman" w:hAnsi="Times New Roman" w:cs="Times New Roman"/>
          <w:iCs/>
          <w:sz w:val="20"/>
        </w:rPr>
        <w:t xml:space="preserve"> </w:t>
      </w:r>
      <w:r w:rsidR="00DE101D" w:rsidRPr="00F477E6">
        <w:rPr>
          <w:rFonts w:ascii="Times New Roman" w:hAnsi="Times New Roman" w:cs="Times New Roman"/>
          <w:iCs/>
          <w:sz w:val="20"/>
        </w:rPr>
        <w:t>Tulyakova, I</w:t>
      </w:r>
      <w:r w:rsidR="00DE101D">
        <w:rPr>
          <w:rFonts w:ascii="Times New Roman" w:hAnsi="Times New Roman" w:cs="Times New Roman"/>
          <w:iCs/>
          <w:sz w:val="20"/>
        </w:rPr>
        <w:t xml:space="preserve">. (2016). </w:t>
      </w:r>
      <w:r w:rsidR="00F477E6" w:rsidRPr="00F477E6">
        <w:rPr>
          <w:rFonts w:ascii="Times New Roman" w:hAnsi="Times New Roman" w:cs="Times New Roman"/>
          <w:iCs/>
          <w:sz w:val="20"/>
        </w:rPr>
        <w:t xml:space="preserve">The United States </w:t>
      </w:r>
      <w:r w:rsidR="00F477E6">
        <w:rPr>
          <w:rFonts w:ascii="Times New Roman" w:hAnsi="Times New Roman" w:cs="Times New Roman"/>
          <w:iCs/>
          <w:sz w:val="20"/>
        </w:rPr>
        <w:t>a</w:t>
      </w:r>
      <w:r w:rsidR="00F477E6" w:rsidRPr="00F477E6">
        <w:rPr>
          <w:rFonts w:ascii="Times New Roman" w:hAnsi="Times New Roman" w:cs="Times New Roman"/>
          <w:iCs/>
          <w:sz w:val="20"/>
        </w:rPr>
        <w:t xml:space="preserve">nd Russia </w:t>
      </w:r>
      <w:r w:rsidR="00F477E6">
        <w:rPr>
          <w:rFonts w:ascii="Times New Roman" w:hAnsi="Times New Roman" w:cs="Times New Roman"/>
          <w:iCs/>
          <w:sz w:val="20"/>
        </w:rPr>
        <w:t>o</w:t>
      </w:r>
      <w:r w:rsidR="00F477E6" w:rsidRPr="00F477E6">
        <w:rPr>
          <w:rFonts w:ascii="Times New Roman" w:hAnsi="Times New Roman" w:cs="Times New Roman"/>
          <w:iCs/>
          <w:sz w:val="20"/>
        </w:rPr>
        <w:t xml:space="preserve">n </w:t>
      </w:r>
      <w:r w:rsidR="00F477E6">
        <w:rPr>
          <w:rFonts w:ascii="Times New Roman" w:hAnsi="Times New Roman" w:cs="Times New Roman"/>
          <w:iCs/>
          <w:sz w:val="20"/>
        </w:rPr>
        <w:t>t</w:t>
      </w:r>
      <w:r w:rsidR="00F477E6" w:rsidRPr="00F477E6">
        <w:rPr>
          <w:rFonts w:ascii="Times New Roman" w:hAnsi="Times New Roman" w:cs="Times New Roman"/>
          <w:iCs/>
          <w:sz w:val="20"/>
        </w:rPr>
        <w:t>he Global Arms Markets</w:t>
      </w:r>
      <w:r w:rsidR="006C35A3">
        <w:rPr>
          <w:rFonts w:ascii="Times New Roman" w:hAnsi="Times New Roman" w:cs="Times New Roman"/>
          <w:iCs/>
          <w:sz w:val="20"/>
        </w:rPr>
        <w:t xml:space="preserve">. </w:t>
      </w:r>
      <w:bookmarkStart w:id="17" w:name="_Hlk76645306"/>
      <w:r w:rsidR="006C35A3" w:rsidRPr="006F46ED">
        <w:rPr>
          <w:rFonts w:ascii="Times New Roman" w:hAnsi="Times New Roman" w:cs="Times New Roman"/>
          <w:sz w:val="20"/>
          <w:lang w:val="en-US"/>
        </w:rPr>
        <w:t>In T. Kliestik (Ed.)</w:t>
      </w:r>
      <w:r w:rsidR="006C35A3">
        <w:rPr>
          <w:rFonts w:ascii="Times New Roman" w:hAnsi="Times New Roman" w:cs="Times New Roman"/>
          <w:sz w:val="20"/>
          <w:lang w:val="en-US"/>
        </w:rPr>
        <w:t xml:space="preserve">. </w:t>
      </w:r>
      <w:r w:rsidR="00F477E6" w:rsidRPr="006C35A3">
        <w:rPr>
          <w:rFonts w:ascii="Times New Roman" w:hAnsi="Times New Roman" w:cs="Times New Roman"/>
          <w:i/>
          <w:sz w:val="20"/>
        </w:rPr>
        <w:t>Globalization and its Socio-Economic Consequences, 16th International Scientific Conference Proceedings</w:t>
      </w:r>
      <w:bookmarkEnd w:id="17"/>
      <w:r w:rsidR="00F477E6" w:rsidRPr="00F477E6">
        <w:rPr>
          <w:rFonts w:ascii="Times New Roman" w:hAnsi="Times New Roman" w:cs="Times New Roman"/>
          <w:iCs/>
          <w:sz w:val="20"/>
        </w:rPr>
        <w:t>, PTS I-V</w:t>
      </w:r>
      <w:r w:rsidR="006C35A3">
        <w:rPr>
          <w:rFonts w:ascii="Times New Roman" w:hAnsi="Times New Roman" w:cs="Times New Roman"/>
          <w:iCs/>
          <w:sz w:val="20"/>
        </w:rPr>
        <w:t>, 2236-2244.</w:t>
      </w:r>
      <w:r w:rsidR="00F477E6" w:rsidRPr="00F477E6">
        <w:rPr>
          <w:rFonts w:ascii="Times New Roman" w:hAnsi="Times New Roman" w:cs="Times New Roman"/>
          <w:iCs/>
          <w:sz w:val="20"/>
        </w:rPr>
        <w:t xml:space="preserve">  </w:t>
      </w:r>
    </w:p>
    <w:p w14:paraId="29267F51" w14:textId="1493D295" w:rsidR="0036673D" w:rsidRPr="0036673D" w:rsidRDefault="0036673D" w:rsidP="0036673D">
      <w:pPr>
        <w:spacing w:before="60"/>
        <w:ind w:left="357" w:hanging="357"/>
        <w:jc w:val="both"/>
        <w:rPr>
          <w:rFonts w:ascii="Times New Roman" w:hAnsi="Times New Roman" w:cs="Times New Roman"/>
          <w:iCs/>
          <w:sz w:val="20"/>
        </w:rPr>
      </w:pPr>
      <w:r>
        <w:rPr>
          <w:rFonts w:ascii="Times New Roman" w:hAnsi="Times New Roman" w:cs="Times New Roman"/>
          <w:iCs/>
          <w:sz w:val="20"/>
        </w:rPr>
        <w:t>1</w:t>
      </w:r>
      <w:r w:rsidR="0016353B">
        <w:rPr>
          <w:rFonts w:ascii="Times New Roman" w:hAnsi="Times New Roman" w:cs="Times New Roman"/>
          <w:iCs/>
          <w:sz w:val="20"/>
        </w:rPr>
        <w:t>5</w:t>
      </w:r>
      <w:r>
        <w:rPr>
          <w:rFonts w:ascii="Times New Roman" w:hAnsi="Times New Roman" w:cs="Times New Roman"/>
          <w:iCs/>
          <w:sz w:val="20"/>
        </w:rPr>
        <w:t>.</w:t>
      </w:r>
      <w:r w:rsidRPr="0036673D">
        <w:rPr>
          <w:rFonts w:ascii="Times New Roman" w:hAnsi="Times New Roman" w:cs="Times New Roman"/>
          <w:bCs/>
          <w:sz w:val="20"/>
          <w:lang w:val="en-GB"/>
        </w:rPr>
        <w:t xml:space="preserve"> </w:t>
      </w:r>
      <w:bookmarkStart w:id="18" w:name="_Hlk82539379"/>
      <w:r w:rsidRPr="0036673D">
        <w:rPr>
          <w:rFonts w:ascii="Times New Roman" w:hAnsi="Times New Roman" w:cs="Times New Roman"/>
          <w:bCs/>
          <w:iCs/>
          <w:sz w:val="20"/>
          <w:lang w:val="en-GB"/>
        </w:rPr>
        <w:t>Dengov</w:t>
      </w:r>
      <w:r w:rsidRPr="0036673D">
        <w:rPr>
          <w:rFonts w:ascii="Times New Roman" w:hAnsi="Times New Roman" w:cs="Times New Roman"/>
          <w:bCs/>
          <w:iCs/>
          <w:sz w:val="20"/>
          <w:lang w:val="en-US"/>
        </w:rPr>
        <w:t xml:space="preserve">, V., </w:t>
      </w:r>
      <w:r w:rsidRPr="0036673D">
        <w:rPr>
          <w:rFonts w:ascii="Times New Roman" w:hAnsi="Times New Roman" w:cs="Times New Roman"/>
          <w:bCs/>
          <w:iCs/>
          <w:sz w:val="20"/>
          <w:lang w:val="en-GB"/>
        </w:rPr>
        <w:t>Tulyakova, I.</w:t>
      </w:r>
      <w:bookmarkEnd w:id="18"/>
      <w:r w:rsidRPr="0036673D">
        <w:rPr>
          <w:rFonts w:ascii="Times New Roman" w:hAnsi="Times New Roman" w:cs="Times New Roman"/>
          <w:bCs/>
          <w:iCs/>
          <w:sz w:val="20"/>
          <w:lang w:val="en-GB"/>
        </w:rPr>
        <w:t xml:space="preserve">, &amp; Gregova, E. (2018). </w:t>
      </w:r>
      <w:bookmarkStart w:id="19" w:name="_Hlk82537756"/>
      <w:r w:rsidRPr="0036673D">
        <w:rPr>
          <w:rFonts w:ascii="Times New Roman" w:hAnsi="Times New Roman" w:cs="Times New Roman"/>
          <w:bCs/>
          <w:iCs/>
          <w:sz w:val="20"/>
          <w:lang w:val="en-GB"/>
        </w:rPr>
        <w:t xml:space="preserve">Military-Technical Cooperation of Russia in the Context of Globalization: Experience of Cooperation with </w:t>
      </w:r>
      <w:bookmarkEnd w:id="19"/>
      <w:r w:rsidRPr="0036673D">
        <w:rPr>
          <w:rFonts w:ascii="Times New Roman" w:hAnsi="Times New Roman" w:cs="Times New Roman"/>
          <w:bCs/>
          <w:iCs/>
          <w:sz w:val="20"/>
          <w:lang w:val="en-GB"/>
        </w:rPr>
        <w:t xml:space="preserve">China. </w:t>
      </w:r>
      <w:r w:rsidRPr="0036673D">
        <w:rPr>
          <w:rFonts w:ascii="Times New Roman" w:hAnsi="Times New Roman" w:cs="Times New Roman"/>
          <w:iCs/>
          <w:sz w:val="20"/>
          <w:lang w:val="en-US"/>
        </w:rPr>
        <w:t xml:space="preserve">In T. Kliestik (Ed.). </w:t>
      </w:r>
      <w:bookmarkStart w:id="20" w:name="_Hlk82537811"/>
      <w:r w:rsidRPr="0036673D">
        <w:rPr>
          <w:rFonts w:ascii="Times New Roman" w:hAnsi="Times New Roman" w:cs="Times New Roman"/>
          <w:i/>
          <w:iCs/>
          <w:sz w:val="20"/>
        </w:rPr>
        <w:t>Globalization and its Socio-Economic Consequences, 16th International Scientific Conference Proceedings</w:t>
      </w:r>
      <w:r w:rsidRPr="0036673D">
        <w:rPr>
          <w:rFonts w:ascii="Times New Roman" w:hAnsi="Times New Roman" w:cs="Times New Roman"/>
          <w:iCs/>
          <w:sz w:val="20"/>
        </w:rPr>
        <w:t>, PTS I-VI, 78-86.</w:t>
      </w:r>
      <w:bookmarkEnd w:id="20"/>
    </w:p>
    <w:p w14:paraId="366EFB68" w14:textId="25E12C5D" w:rsidR="0036673D" w:rsidRPr="00F477E6" w:rsidRDefault="0036673D" w:rsidP="0036673D">
      <w:pPr>
        <w:spacing w:before="60"/>
        <w:ind w:left="357" w:hanging="357"/>
        <w:jc w:val="both"/>
        <w:rPr>
          <w:rFonts w:ascii="Times New Roman" w:hAnsi="Times New Roman" w:cs="Times New Roman"/>
          <w:iCs/>
          <w:sz w:val="20"/>
        </w:rPr>
      </w:pPr>
      <w:r>
        <w:rPr>
          <w:rFonts w:ascii="Times New Roman" w:hAnsi="Times New Roman" w:cs="Times New Roman"/>
          <w:iCs/>
          <w:sz w:val="20"/>
        </w:rPr>
        <w:t>1</w:t>
      </w:r>
      <w:r w:rsidR="0016353B">
        <w:rPr>
          <w:rFonts w:ascii="Times New Roman" w:hAnsi="Times New Roman" w:cs="Times New Roman"/>
          <w:iCs/>
          <w:sz w:val="20"/>
        </w:rPr>
        <w:t>6</w:t>
      </w:r>
      <w:r>
        <w:rPr>
          <w:rFonts w:ascii="Times New Roman" w:hAnsi="Times New Roman" w:cs="Times New Roman"/>
          <w:iCs/>
          <w:sz w:val="20"/>
        </w:rPr>
        <w:t xml:space="preserve">. </w:t>
      </w:r>
      <w:r w:rsidRPr="009B6821">
        <w:rPr>
          <w:rFonts w:ascii="Times New Roman" w:hAnsi="Times New Roman" w:cs="Times New Roman"/>
          <w:bCs/>
          <w:iCs/>
          <w:sz w:val="20"/>
          <w:lang w:val="en-US"/>
        </w:rPr>
        <w:t>Tulyakova, I., Dengov, V.</w:t>
      </w:r>
      <w:r>
        <w:rPr>
          <w:rFonts w:ascii="Times New Roman" w:hAnsi="Times New Roman" w:cs="Times New Roman"/>
          <w:bCs/>
          <w:iCs/>
          <w:sz w:val="20"/>
          <w:lang w:val="en-US"/>
        </w:rPr>
        <w:t xml:space="preserve"> (2018). </w:t>
      </w:r>
      <w:r w:rsidRPr="009B6821">
        <w:rPr>
          <w:rFonts w:ascii="Times New Roman" w:hAnsi="Times New Roman" w:cs="Times New Roman"/>
          <w:bCs/>
          <w:iCs/>
          <w:sz w:val="20"/>
          <w:lang w:val="en-GB"/>
        </w:rPr>
        <w:t>Military-Technical Cooperation of Russia in the Context of Globalization: Experience of Cooperation with</w:t>
      </w:r>
      <w:r>
        <w:rPr>
          <w:rFonts w:ascii="Times New Roman" w:hAnsi="Times New Roman" w:cs="Times New Roman"/>
          <w:bCs/>
          <w:iCs/>
          <w:sz w:val="20"/>
          <w:lang w:val="en-GB"/>
        </w:rPr>
        <w:t xml:space="preserve"> India.</w:t>
      </w:r>
      <w:r w:rsidRPr="009B6821">
        <w:rPr>
          <w:rFonts w:ascii="Times New Roman" w:hAnsi="Times New Roman" w:cs="Times New Roman"/>
          <w:sz w:val="20"/>
          <w:lang w:val="en-US"/>
        </w:rPr>
        <w:t xml:space="preserve"> </w:t>
      </w:r>
      <w:r w:rsidRPr="00F01E24">
        <w:rPr>
          <w:rFonts w:ascii="Times New Roman" w:hAnsi="Times New Roman" w:cs="Times New Roman"/>
          <w:sz w:val="20"/>
          <w:lang w:val="en-US"/>
        </w:rPr>
        <w:t>In T. Kliestik (Ed.)</w:t>
      </w:r>
      <w:r>
        <w:rPr>
          <w:rFonts w:ascii="Times New Roman" w:hAnsi="Times New Roman" w:cs="Times New Roman"/>
          <w:sz w:val="20"/>
          <w:lang w:val="en-US"/>
        </w:rPr>
        <w:t xml:space="preserve">, </w:t>
      </w:r>
      <w:r w:rsidRPr="009B6821">
        <w:rPr>
          <w:rFonts w:ascii="Times New Roman" w:hAnsi="Times New Roman" w:cs="Times New Roman"/>
          <w:i/>
          <w:sz w:val="20"/>
        </w:rPr>
        <w:t>Globalization and its Socio-Economic Consequences, 16th International Scientific Conference Proceedings</w:t>
      </w:r>
      <w:r w:rsidRPr="009B6821">
        <w:rPr>
          <w:rFonts w:ascii="Times New Roman" w:hAnsi="Times New Roman" w:cs="Times New Roman"/>
          <w:iCs/>
          <w:sz w:val="20"/>
        </w:rPr>
        <w:t>, PTS I-V</w:t>
      </w:r>
      <w:r>
        <w:rPr>
          <w:rFonts w:ascii="Times New Roman" w:hAnsi="Times New Roman" w:cs="Times New Roman"/>
          <w:iCs/>
          <w:sz w:val="20"/>
        </w:rPr>
        <w:t>I</w:t>
      </w:r>
      <w:r w:rsidRPr="009B6821">
        <w:rPr>
          <w:rFonts w:ascii="Times New Roman" w:hAnsi="Times New Roman" w:cs="Times New Roman"/>
          <w:iCs/>
          <w:sz w:val="20"/>
        </w:rPr>
        <w:t xml:space="preserve">, </w:t>
      </w:r>
      <w:r>
        <w:rPr>
          <w:rFonts w:ascii="Times New Roman" w:hAnsi="Times New Roman" w:cs="Times New Roman"/>
          <w:iCs/>
          <w:sz w:val="20"/>
        </w:rPr>
        <w:t>1401</w:t>
      </w:r>
      <w:r w:rsidRPr="009B6821">
        <w:rPr>
          <w:rFonts w:ascii="Times New Roman" w:hAnsi="Times New Roman" w:cs="Times New Roman"/>
          <w:iCs/>
          <w:sz w:val="20"/>
        </w:rPr>
        <w:t>-</w:t>
      </w:r>
      <w:r>
        <w:rPr>
          <w:rFonts w:ascii="Times New Roman" w:hAnsi="Times New Roman" w:cs="Times New Roman"/>
          <w:iCs/>
          <w:sz w:val="20"/>
        </w:rPr>
        <w:t>1408</w:t>
      </w:r>
      <w:r w:rsidRPr="009B6821">
        <w:rPr>
          <w:rFonts w:ascii="Times New Roman" w:hAnsi="Times New Roman" w:cs="Times New Roman"/>
          <w:iCs/>
          <w:sz w:val="20"/>
        </w:rPr>
        <w:t>.</w:t>
      </w:r>
    </w:p>
    <w:bookmarkEnd w:id="15"/>
    <w:p w14:paraId="25F3D2C7" w14:textId="3C930195" w:rsidR="00E77BF8" w:rsidRPr="003960CA" w:rsidRDefault="003960CA" w:rsidP="003960CA">
      <w:pPr>
        <w:spacing w:before="60"/>
        <w:ind w:left="284" w:hanging="284"/>
        <w:jc w:val="both"/>
        <w:rPr>
          <w:rFonts w:ascii="Times New Roman" w:hAnsi="Times New Roman" w:cs="Times New Roman"/>
          <w:bCs/>
          <w:sz w:val="20"/>
        </w:rPr>
      </w:pPr>
      <w:r w:rsidRPr="003960CA">
        <w:rPr>
          <w:rFonts w:ascii="Times New Roman" w:hAnsi="Times New Roman" w:cs="Times New Roman"/>
          <w:bCs/>
          <w:sz w:val="20"/>
        </w:rPr>
        <w:t>1</w:t>
      </w:r>
      <w:r w:rsidR="0016353B">
        <w:rPr>
          <w:rFonts w:ascii="Times New Roman" w:hAnsi="Times New Roman" w:cs="Times New Roman"/>
          <w:bCs/>
          <w:sz w:val="20"/>
        </w:rPr>
        <w:t>7</w:t>
      </w:r>
      <w:r w:rsidRPr="003960CA">
        <w:rPr>
          <w:rFonts w:ascii="Times New Roman" w:hAnsi="Times New Roman" w:cs="Times New Roman"/>
          <w:bCs/>
          <w:sz w:val="20"/>
        </w:rPr>
        <w:t>.</w:t>
      </w:r>
      <w:r>
        <w:rPr>
          <w:rFonts w:ascii="Times New Roman" w:hAnsi="Times New Roman" w:cs="Times New Roman"/>
          <w:bCs/>
          <w:sz w:val="20"/>
        </w:rPr>
        <w:t xml:space="preserve">  </w:t>
      </w:r>
      <w:r w:rsidR="00E77BF8" w:rsidRPr="003960CA">
        <w:rPr>
          <w:rFonts w:ascii="Times New Roman" w:hAnsi="Times New Roman" w:cs="Times New Roman"/>
          <w:bCs/>
          <w:sz w:val="20"/>
        </w:rPr>
        <w:t>Bedenel, A.-L., Jourdan, L., &amp; Biernacki, C. (2019). Probability estimation by an adapted genetic algorithm in web insurance. In R. Battiti, M. Brunato, I. Kotsireas, &amp; P. Pardalos (Eds.), </w:t>
      </w:r>
      <w:r w:rsidR="00E77BF8" w:rsidRPr="003960CA">
        <w:rPr>
          <w:rFonts w:ascii="Times New Roman" w:hAnsi="Times New Roman" w:cs="Times New Roman"/>
          <w:bCs/>
          <w:i/>
          <w:iCs/>
          <w:sz w:val="20"/>
        </w:rPr>
        <w:t>Lecture notes in computer science: Vol. 11353. Learning and intelligent optimization</w:t>
      </w:r>
      <w:r w:rsidR="00E77BF8" w:rsidRPr="003960CA">
        <w:rPr>
          <w:rFonts w:ascii="Times New Roman" w:hAnsi="Times New Roman" w:cs="Times New Roman"/>
          <w:bCs/>
          <w:sz w:val="20"/>
        </w:rPr>
        <w:t> (pp. 225–240). Springer. </w:t>
      </w:r>
      <w:hyperlink r:id="rId29" w:tgtFrame="_blank" w:history="1">
        <w:r w:rsidR="00E77BF8" w:rsidRPr="003960CA">
          <w:rPr>
            <w:rFonts w:ascii="Times New Roman" w:hAnsi="Times New Roman" w:cs="Times New Roman"/>
            <w:bCs/>
            <w:sz w:val="20"/>
          </w:rPr>
          <w:t>https://doi.org/10.1007/978-3-030-05348-2_21</w:t>
        </w:r>
      </w:hyperlink>
    </w:p>
    <w:p w14:paraId="371F9EC4" w14:textId="0599803A" w:rsidR="006F46ED" w:rsidRPr="00F01E24" w:rsidRDefault="00F01E24" w:rsidP="00F01E24">
      <w:pPr>
        <w:tabs>
          <w:tab w:val="left" w:pos="284"/>
        </w:tabs>
        <w:spacing w:before="60"/>
        <w:ind w:left="357" w:hanging="357"/>
        <w:jc w:val="both"/>
        <w:rPr>
          <w:rFonts w:ascii="Times New Roman" w:hAnsi="Times New Roman" w:cs="Times New Roman"/>
          <w:iCs/>
          <w:sz w:val="20"/>
        </w:rPr>
      </w:pPr>
      <w:bookmarkStart w:id="21" w:name="_Hlk76900959"/>
      <w:r>
        <w:rPr>
          <w:rFonts w:ascii="Times New Roman" w:hAnsi="Times New Roman" w:cs="Times New Roman"/>
          <w:bCs/>
          <w:sz w:val="20"/>
          <w:lang w:val="en-GB"/>
        </w:rPr>
        <w:t>1</w:t>
      </w:r>
      <w:r w:rsidR="0016353B">
        <w:rPr>
          <w:rFonts w:ascii="Times New Roman" w:hAnsi="Times New Roman" w:cs="Times New Roman"/>
          <w:bCs/>
          <w:sz w:val="20"/>
          <w:lang w:val="en-GB"/>
        </w:rPr>
        <w:t>8</w:t>
      </w:r>
      <w:r>
        <w:rPr>
          <w:rFonts w:ascii="Times New Roman" w:hAnsi="Times New Roman" w:cs="Times New Roman"/>
          <w:bCs/>
          <w:sz w:val="20"/>
          <w:lang w:val="en-GB"/>
        </w:rPr>
        <w:t>.</w:t>
      </w:r>
      <w:r w:rsidR="006F46ED" w:rsidRPr="00F01E24">
        <w:rPr>
          <w:rFonts w:ascii="Times New Roman" w:hAnsi="Times New Roman" w:cs="Times New Roman"/>
          <w:bCs/>
          <w:sz w:val="20"/>
          <w:lang w:val="en-GB"/>
        </w:rPr>
        <w:t xml:space="preserve"> </w:t>
      </w:r>
      <w:r w:rsidR="00E77BF8" w:rsidRPr="00F01E24">
        <w:rPr>
          <w:rFonts w:ascii="Times New Roman" w:hAnsi="Times New Roman" w:cs="Times New Roman"/>
          <w:bCs/>
          <w:sz w:val="20"/>
          <w:lang w:val="en-GB"/>
        </w:rPr>
        <w:t>Dengov</w:t>
      </w:r>
      <w:r w:rsidR="00E77BF8" w:rsidRPr="00F01E24">
        <w:rPr>
          <w:rFonts w:ascii="Times New Roman" w:hAnsi="Times New Roman" w:cs="Times New Roman"/>
          <w:bCs/>
          <w:sz w:val="20"/>
          <w:lang w:val="en-US"/>
        </w:rPr>
        <w:t xml:space="preserve">, V., </w:t>
      </w:r>
      <w:r w:rsidR="00E77BF8" w:rsidRPr="00F01E24">
        <w:rPr>
          <w:rFonts w:ascii="Times New Roman" w:hAnsi="Times New Roman" w:cs="Times New Roman"/>
          <w:bCs/>
          <w:sz w:val="20"/>
          <w:lang w:val="en-GB"/>
        </w:rPr>
        <w:t xml:space="preserve">Tulyakova, I., &amp; Gregova, E. (2021). </w:t>
      </w:r>
      <w:r w:rsidR="00E77BF8" w:rsidRPr="00F01E24">
        <w:rPr>
          <w:rFonts w:ascii="Times New Roman" w:hAnsi="Times New Roman" w:cs="Times New Roman"/>
          <w:sz w:val="20"/>
          <w:lang w:val="en-US"/>
        </w:rPr>
        <w:t xml:space="preserve">Positions and prospects of Russian shipbuilding in the world market of naval equipment. In T. Kliestik (Ed.), </w:t>
      </w:r>
      <w:r w:rsidR="006F46ED" w:rsidRPr="00F01E24">
        <w:rPr>
          <w:rFonts w:ascii="Times New Roman" w:hAnsi="Times New Roman" w:cs="Times New Roman"/>
          <w:i/>
          <w:iCs/>
          <w:sz w:val="20"/>
          <w:lang w:val="en-US"/>
        </w:rPr>
        <w:t xml:space="preserve">SHS Web of Conferences: </w:t>
      </w:r>
      <w:r w:rsidR="006F46ED" w:rsidRPr="00F01E24">
        <w:rPr>
          <w:rFonts w:ascii="Times New Roman" w:hAnsi="Times New Roman" w:cs="Times New Roman"/>
          <w:bCs/>
          <w:i/>
          <w:iCs/>
          <w:sz w:val="20"/>
        </w:rPr>
        <w:t>Vol. 92.</w:t>
      </w:r>
      <w:r w:rsidR="006F46ED" w:rsidRPr="00F01E24">
        <w:rPr>
          <w:rFonts w:ascii="Times New Roman" w:hAnsi="Times New Roman" w:cs="Times New Roman"/>
          <w:bCs/>
          <w:sz w:val="20"/>
        </w:rPr>
        <w:t xml:space="preserve"> Article</w:t>
      </w:r>
      <w:r w:rsidR="006F46ED" w:rsidRPr="006F46ED">
        <w:t xml:space="preserve"> </w:t>
      </w:r>
      <w:r w:rsidR="006F46ED" w:rsidRPr="00F01E24">
        <w:rPr>
          <w:rFonts w:ascii="Times New Roman" w:hAnsi="Times New Roman" w:cs="Times New Roman"/>
          <w:bCs/>
          <w:sz w:val="20"/>
        </w:rPr>
        <w:t>08007.</w:t>
      </w:r>
      <w:r w:rsidR="006F46ED" w:rsidRPr="00F01E24">
        <w:rPr>
          <w:rFonts w:ascii="Times New Roman" w:hAnsi="Times New Roman" w:cs="Times New Roman"/>
          <w:bCs/>
          <w:i/>
          <w:iCs/>
          <w:sz w:val="20"/>
        </w:rPr>
        <w:t xml:space="preserve"> </w:t>
      </w:r>
      <w:hyperlink r:id="rId30" w:history="1">
        <w:r w:rsidR="006F46ED" w:rsidRPr="00F01E24">
          <w:rPr>
            <w:rStyle w:val="a6"/>
            <w:rFonts w:ascii="Times New Roman" w:hAnsi="Times New Roman" w:cs="Times New Roman"/>
            <w:iCs/>
            <w:sz w:val="20"/>
          </w:rPr>
          <w:t>https://doi.org/10.1051/shsconf/20219208007</w:t>
        </w:r>
      </w:hyperlink>
    </w:p>
    <w:p w14:paraId="73857988" w14:textId="57F29E76" w:rsidR="00DE101D" w:rsidRPr="00F01E24" w:rsidRDefault="00F01E24" w:rsidP="00F01E24">
      <w:pPr>
        <w:spacing w:before="60"/>
        <w:ind w:left="357" w:hanging="357"/>
        <w:jc w:val="both"/>
        <w:rPr>
          <w:rFonts w:ascii="Times New Roman" w:hAnsi="Times New Roman" w:cs="Times New Roman"/>
          <w:iCs/>
          <w:sz w:val="20"/>
          <w:lang w:val="en-US"/>
        </w:rPr>
      </w:pPr>
      <w:r>
        <w:rPr>
          <w:rFonts w:ascii="Times New Roman" w:hAnsi="Times New Roman" w:cs="Times New Roman"/>
          <w:bCs/>
          <w:sz w:val="20"/>
          <w:lang w:val="en-GB"/>
        </w:rPr>
        <w:t>1</w:t>
      </w:r>
      <w:r w:rsidR="0016353B">
        <w:rPr>
          <w:rFonts w:ascii="Times New Roman" w:hAnsi="Times New Roman" w:cs="Times New Roman"/>
          <w:bCs/>
          <w:sz w:val="20"/>
          <w:lang w:val="en-GB"/>
        </w:rPr>
        <w:t>9</w:t>
      </w:r>
      <w:r>
        <w:rPr>
          <w:rFonts w:ascii="Times New Roman" w:hAnsi="Times New Roman" w:cs="Times New Roman"/>
          <w:bCs/>
          <w:sz w:val="20"/>
          <w:lang w:val="en-GB"/>
        </w:rPr>
        <w:t xml:space="preserve">. </w:t>
      </w:r>
      <w:r w:rsidR="00DE101D" w:rsidRPr="00F01E24">
        <w:rPr>
          <w:rFonts w:ascii="Times New Roman" w:hAnsi="Times New Roman" w:cs="Times New Roman"/>
          <w:bCs/>
          <w:sz w:val="20"/>
          <w:lang w:val="en-GB"/>
        </w:rPr>
        <w:t>Gregova, E., Tulyakova, I., &amp; Dengov</w:t>
      </w:r>
      <w:r w:rsidR="00DE101D" w:rsidRPr="00F01E24">
        <w:rPr>
          <w:rFonts w:ascii="Times New Roman" w:hAnsi="Times New Roman" w:cs="Times New Roman"/>
          <w:bCs/>
          <w:sz w:val="20"/>
          <w:lang w:val="en-US"/>
        </w:rPr>
        <w:t xml:space="preserve">, V. </w:t>
      </w:r>
      <w:r w:rsidR="00DE101D" w:rsidRPr="00F01E24">
        <w:rPr>
          <w:rFonts w:ascii="Times New Roman" w:hAnsi="Times New Roman" w:cs="Times New Roman"/>
          <w:bCs/>
          <w:sz w:val="20"/>
          <w:lang w:val="en-GB"/>
        </w:rPr>
        <w:t xml:space="preserve">(2021). </w:t>
      </w:r>
      <w:r w:rsidR="00DE101D" w:rsidRPr="00F01E24">
        <w:rPr>
          <w:rFonts w:ascii="Times New Roman" w:hAnsi="Times New Roman" w:cs="Times New Roman"/>
          <w:bCs/>
          <w:iCs/>
          <w:sz w:val="20"/>
          <w:lang w:val="en-US"/>
        </w:rPr>
        <w:t>Actual problems and limiting factors in the development of the Russian military-industrial complex</w:t>
      </w:r>
      <w:r w:rsidR="00DE101D" w:rsidRPr="00F01E24">
        <w:rPr>
          <w:rFonts w:ascii="Times New Roman" w:hAnsi="Times New Roman" w:cs="Times New Roman"/>
          <w:iCs/>
          <w:sz w:val="20"/>
          <w:lang w:val="en-US"/>
        </w:rPr>
        <w:t xml:space="preserve">. </w:t>
      </w:r>
      <w:r w:rsidR="00DE101D" w:rsidRPr="00F01E24">
        <w:rPr>
          <w:rFonts w:ascii="Times New Roman" w:hAnsi="Times New Roman" w:cs="Times New Roman"/>
          <w:sz w:val="20"/>
          <w:lang w:val="en-US"/>
        </w:rPr>
        <w:t xml:space="preserve">In T. Kliestik (Ed.), </w:t>
      </w:r>
      <w:r w:rsidR="00DE101D" w:rsidRPr="00F01E24">
        <w:rPr>
          <w:rFonts w:ascii="Times New Roman" w:hAnsi="Times New Roman" w:cs="Times New Roman"/>
          <w:i/>
          <w:iCs/>
          <w:sz w:val="20"/>
          <w:lang w:val="en-US"/>
        </w:rPr>
        <w:t xml:space="preserve">SHS </w:t>
      </w:r>
      <w:r w:rsidR="00DE101D" w:rsidRPr="00F01E24">
        <w:rPr>
          <w:rFonts w:ascii="Times New Roman" w:hAnsi="Times New Roman" w:cs="Times New Roman"/>
          <w:i/>
          <w:iCs/>
          <w:spacing w:val="-2"/>
          <w:sz w:val="20"/>
          <w:lang w:val="en-US"/>
        </w:rPr>
        <w:t xml:space="preserve">Web of Conferences: </w:t>
      </w:r>
      <w:r w:rsidR="00DE101D" w:rsidRPr="00F01E24">
        <w:rPr>
          <w:rFonts w:ascii="Times New Roman" w:hAnsi="Times New Roman" w:cs="Times New Roman"/>
          <w:bCs/>
          <w:i/>
          <w:iCs/>
          <w:spacing w:val="-2"/>
          <w:sz w:val="20"/>
        </w:rPr>
        <w:t xml:space="preserve">Vol.92. </w:t>
      </w:r>
      <w:r w:rsidR="00DE101D" w:rsidRPr="00F01E24">
        <w:rPr>
          <w:rFonts w:ascii="Times New Roman" w:hAnsi="Times New Roman" w:cs="Times New Roman"/>
          <w:bCs/>
          <w:spacing w:val="-2"/>
          <w:sz w:val="20"/>
        </w:rPr>
        <w:t>Article</w:t>
      </w:r>
      <w:r w:rsidR="00DE101D" w:rsidRPr="00F01E24">
        <w:rPr>
          <w:spacing w:val="-2"/>
        </w:rPr>
        <w:t xml:space="preserve"> </w:t>
      </w:r>
      <w:r w:rsidR="00DE101D" w:rsidRPr="00F01E24">
        <w:rPr>
          <w:rFonts w:ascii="Times New Roman" w:hAnsi="Times New Roman" w:cs="Times New Roman"/>
          <w:iCs/>
          <w:spacing w:val="-2"/>
          <w:sz w:val="20"/>
          <w:lang w:val="en-US"/>
        </w:rPr>
        <w:t xml:space="preserve">07021. </w:t>
      </w:r>
      <w:hyperlink r:id="rId31" w:history="1">
        <w:r w:rsidR="00DE101D" w:rsidRPr="00F01E24">
          <w:rPr>
            <w:rStyle w:val="a6"/>
            <w:rFonts w:ascii="Times New Roman" w:hAnsi="Times New Roman" w:cs="Times New Roman"/>
            <w:iCs/>
            <w:spacing w:val="-2"/>
            <w:sz w:val="20"/>
            <w:lang w:val="en-US"/>
          </w:rPr>
          <w:t>https://doi.org/10.1051/shsconf/20219207021</w:t>
        </w:r>
      </w:hyperlink>
      <w:bookmarkEnd w:id="21"/>
    </w:p>
    <w:p w14:paraId="3D0D48BA" w14:textId="77777777" w:rsidR="007C2FB1" w:rsidRDefault="007C2FB1" w:rsidP="007C2FB1">
      <w:pPr>
        <w:spacing w:before="60"/>
        <w:ind w:left="697" w:hanging="340"/>
        <w:jc w:val="both"/>
        <w:rPr>
          <w:rFonts w:ascii="Times New Roman" w:hAnsi="Times New Roman" w:cs="Times New Roman"/>
          <w:i/>
          <w:sz w:val="20"/>
        </w:rPr>
      </w:pPr>
      <w:r w:rsidRPr="000E35D4">
        <w:rPr>
          <w:rFonts w:ascii="Times New Roman" w:hAnsi="Times New Roman" w:cs="Times New Roman"/>
          <w:i/>
          <w:sz w:val="20"/>
        </w:rPr>
        <w:t>Websites</w:t>
      </w:r>
    </w:p>
    <w:p w14:paraId="069F49EF" w14:textId="5A232985" w:rsidR="00F477E6" w:rsidRDefault="0016353B" w:rsidP="007C2FB1">
      <w:pPr>
        <w:spacing w:before="60"/>
        <w:ind w:left="357" w:hanging="357"/>
        <w:jc w:val="both"/>
        <w:rPr>
          <w:rFonts w:ascii="Times New Roman" w:hAnsi="Times New Roman" w:cs="Times New Roman"/>
          <w:bCs/>
          <w:spacing w:val="-2"/>
          <w:sz w:val="20"/>
        </w:rPr>
      </w:pPr>
      <w:r>
        <w:rPr>
          <w:rFonts w:ascii="Times New Roman" w:hAnsi="Times New Roman" w:cs="Times New Roman"/>
          <w:bCs/>
          <w:sz w:val="20"/>
          <w:lang w:val="en-US"/>
        </w:rPr>
        <w:t>20</w:t>
      </w:r>
      <w:r w:rsidR="007C2FB1">
        <w:rPr>
          <w:rFonts w:ascii="Times New Roman" w:hAnsi="Times New Roman" w:cs="Times New Roman"/>
          <w:bCs/>
          <w:sz w:val="20"/>
          <w:lang w:val="en-US"/>
        </w:rPr>
        <w:t xml:space="preserve">. </w:t>
      </w:r>
      <w:r w:rsidR="007C2FB1" w:rsidRPr="007C2FB1">
        <w:rPr>
          <w:rFonts w:ascii="Times New Roman" w:hAnsi="Times New Roman" w:cs="Times New Roman"/>
          <w:bCs/>
          <w:spacing w:val="-2"/>
          <w:sz w:val="20"/>
          <w:lang w:val="en-US"/>
        </w:rPr>
        <w:t xml:space="preserve">DEFENCE NEWS (2021, July 7). </w:t>
      </w:r>
      <w:r w:rsidR="007C2FB1" w:rsidRPr="007C2FB1">
        <w:rPr>
          <w:rFonts w:ascii="Times New Roman" w:hAnsi="Times New Roman" w:cs="Times New Roman"/>
          <w:bCs/>
          <w:spacing w:val="-2"/>
          <w:sz w:val="20"/>
        </w:rPr>
        <w:t xml:space="preserve"> </w:t>
      </w:r>
      <w:r w:rsidR="007C2FB1" w:rsidRPr="007C2FB1">
        <w:rPr>
          <w:rFonts w:ascii="Times New Roman" w:hAnsi="Times New Roman" w:cs="Times New Roman"/>
          <w:spacing w:val="-2"/>
          <w:sz w:val="20"/>
          <w:lang w:val="en-US"/>
        </w:rPr>
        <w:t xml:space="preserve">Top 100 for 2020. </w:t>
      </w:r>
      <w:bookmarkStart w:id="22" w:name="_Hlk76911705"/>
      <w:r w:rsidR="007C2FB1">
        <w:rPr>
          <w:rFonts w:ascii="Times New Roman" w:hAnsi="Times New Roman" w:cs="Times New Roman"/>
          <w:bCs/>
          <w:spacing w:val="-2"/>
          <w:sz w:val="20"/>
        </w:rPr>
        <w:fldChar w:fldCharType="begin"/>
      </w:r>
      <w:r w:rsidR="007C2FB1">
        <w:rPr>
          <w:rFonts w:ascii="Times New Roman" w:hAnsi="Times New Roman" w:cs="Times New Roman"/>
          <w:bCs/>
          <w:spacing w:val="-2"/>
          <w:sz w:val="20"/>
        </w:rPr>
        <w:instrText xml:space="preserve"> HYPERLINK "</w:instrText>
      </w:r>
      <w:r w:rsidR="007C2FB1" w:rsidRPr="007C2FB1">
        <w:rPr>
          <w:rFonts w:ascii="Times New Roman" w:hAnsi="Times New Roman" w:cs="Times New Roman"/>
          <w:bCs/>
          <w:spacing w:val="-2"/>
          <w:sz w:val="20"/>
        </w:rPr>
        <w:instrText>https://people.defensenews.com/top-100/</w:instrText>
      </w:r>
      <w:r w:rsidR="007C2FB1">
        <w:rPr>
          <w:rFonts w:ascii="Times New Roman" w:hAnsi="Times New Roman" w:cs="Times New Roman"/>
          <w:bCs/>
          <w:spacing w:val="-2"/>
          <w:sz w:val="20"/>
        </w:rPr>
        <w:instrText xml:space="preserve">" </w:instrText>
      </w:r>
      <w:r w:rsidR="007C2FB1">
        <w:rPr>
          <w:rFonts w:ascii="Times New Roman" w:hAnsi="Times New Roman" w:cs="Times New Roman"/>
          <w:bCs/>
          <w:spacing w:val="-2"/>
          <w:sz w:val="20"/>
        </w:rPr>
        <w:fldChar w:fldCharType="separate"/>
      </w:r>
      <w:r w:rsidR="007C2FB1" w:rsidRPr="003B708B">
        <w:rPr>
          <w:rStyle w:val="a6"/>
          <w:rFonts w:ascii="Times New Roman" w:hAnsi="Times New Roman" w:cs="Times New Roman"/>
          <w:bCs/>
          <w:spacing w:val="-2"/>
          <w:sz w:val="20"/>
        </w:rPr>
        <w:t>https://people.defensenews.com/top-100/</w:t>
      </w:r>
      <w:bookmarkEnd w:id="22"/>
      <w:r w:rsidR="007C2FB1">
        <w:rPr>
          <w:rFonts w:ascii="Times New Roman" w:hAnsi="Times New Roman" w:cs="Times New Roman"/>
          <w:bCs/>
          <w:spacing w:val="-2"/>
          <w:sz w:val="20"/>
        </w:rPr>
        <w:fldChar w:fldCharType="end"/>
      </w:r>
    </w:p>
    <w:p w14:paraId="5DFD5F6F" w14:textId="2A097579" w:rsidR="0015062A" w:rsidRDefault="0016353B" w:rsidP="007C2FB1">
      <w:pPr>
        <w:spacing w:before="60"/>
        <w:ind w:left="357" w:hanging="357"/>
        <w:jc w:val="both"/>
        <w:rPr>
          <w:rFonts w:ascii="Times New Roman" w:hAnsi="Times New Roman" w:cs="Times New Roman"/>
          <w:iCs/>
          <w:spacing w:val="-2"/>
          <w:sz w:val="20"/>
          <w:lang w:val="en-US"/>
        </w:rPr>
      </w:pPr>
      <w:r>
        <w:rPr>
          <w:rFonts w:ascii="Times New Roman" w:hAnsi="Times New Roman" w:cs="Times New Roman"/>
          <w:bCs/>
          <w:sz w:val="20"/>
          <w:lang w:val="en-US"/>
        </w:rPr>
        <w:t>2</w:t>
      </w:r>
      <w:r w:rsidR="0015062A">
        <w:rPr>
          <w:rFonts w:ascii="Times New Roman" w:hAnsi="Times New Roman" w:cs="Times New Roman"/>
          <w:bCs/>
          <w:sz w:val="20"/>
          <w:lang w:val="en-US"/>
        </w:rPr>
        <w:t>1.</w:t>
      </w:r>
      <w:r w:rsidR="0015062A">
        <w:rPr>
          <w:rFonts w:ascii="Times New Roman" w:hAnsi="Times New Roman" w:cs="Times New Roman"/>
          <w:spacing w:val="-2"/>
          <w:sz w:val="20"/>
        </w:rPr>
        <w:t xml:space="preserve"> </w:t>
      </w:r>
      <w:r w:rsidR="0015062A" w:rsidRPr="0015062A">
        <w:rPr>
          <w:rFonts w:ascii="Times New Roman" w:hAnsi="Times New Roman" w:cs="Times New Roman"/>
          <w:iCs/>
          <w:spacing w:val="-2"/>
          <w:sz w:val="20"/>
          <w:lang w:val="en-US"/>
        </w:rPr>
        <w:t xml:space="preserve">SIPRI (2021, July </w:t>
      </w:r>
      <w:r w:rsidR="0015062A">
        <w:rPr>
          <w:rFonts w:ascii="Times New Roman" w:hAnsi="Times New Roman" w:cs="Times New Roman"/>
          <w:iCs/>
          <w:spacing w:val="-2"/>
          <w:sz w:val="20"/>
          <w:lang w:val="en-US"/>
        </w:rPr>
        <w:t>6</w:t>
      </w:r>
      <w:r w:rsidR="0015062A" w:rsidRPr="0015062A">
        <w:rPr>
          <w:rFonts w:ascii="Times New Roman" w:hAnsi="Times New Roman" w:cs="Times New Roman"/>
          <w:iCs/>
          <w:spacing w:val="-2"/>
          <w:sz w:val="20"/>
          <w:lang w:val="en-US"/>
        </w:rPr>
        <w:t>).</w:t>
      </w:r>
      <w:r w:rsidR="0015062A">
        <w:rPr>
          <w:rFonts w:ascii="Times New Roman" w:hAnsi="Times New Roman" w:cs="Times New Roman"/>
          <w:iCs/>
          <w:spacing w:val="-2"/>
          <w:sz w:val="20"/>
          <w:lang w:val="en-US"/>
        </w:rPr>
        <w:t xml:space="preserve"> </w:t>
      </w:r>
      <w:r w:rsidR="0015062A" w:rsidRPr="0015062A">
        <w:rPr>
          <w:rFonts w:ascii="Times New Roman" w:hAnsi="Times New Roman" w:cs="Times New Roman"/>
          <w:iCs/>
          <w:spacing w:val="-2"/>
          <w:sz w:val="20"/>
          <w:lang w:val="en-US"/>
        </w:rPr>
        <w:t>SIPRI Arms Industry Database</w:t>
      </w:r>
      <w:r w:rsidR="0015062A">
        <w:rPr>
          <w:rFonts w:ascii="Times New Roman" w:hAnsi="Times New Roman" w:cs="Times New Roman"/>
          <w:iCs/>
          <w:spacing w:val="-2"/>
          <w:sz w:val="20"/>
          <w:lang w:val="en-US"/>
        </w:rPr>
        <w:t xml:space="preserve">. </w:t>
      </w:r>
      <w:hyperlink r:id="rId32" w:history="1">
        <w:r w:rsidR="0015062A" w:rsidRPr="003B708B">
          <w:rPr>
            <w:rStyle w:val="a6"/>
            <w:rFonts w:ascii="Times New Roman" w:hAnsi="Times New Roman" w:cs="Times New Roman"/>
            <w:iCs/>
            <w:spacing w:val="-2"/>
            <w:sz w:val="20"/>
            <w:lang w:val="en-US"/>
          </w:rPr>
          <w:t>https://www.sipri.org/databases/ armsindustry</w:t>
        </w:r>
      </w:hyperlink>
    </w:p>
    <w:p w14:paraId="0003B825" w14:textId="0C6A2D9E" w:rsidR="000D40F4" w:rsidRDefault="0016353B" w:rsidP="007C2FB1">
      <w:pPr>
        <w:spacing w:before="60"/>
        <w:ind w:left="357" w:hanging="357"/>
        <w:jc w:val="both"/>
        <w:rPr>
          <w:rFonts w:ascii="Times New Roman" w:hAnsi="Times New Roman" w:cs="Times New Roman"/>
          <w:iCs/>
          <w:spacing w:val="-2"/>
          <w:sz w:val="20"/>
          <w:lang w:val="en-US"/>
        </w:rPr>
      </w:pPr>
      <w:r>
        <w:rPr>
          <w:rFonts w:ascii="Times New Roman" w:hAnsi="Times New Roman" w:cs="Times New Roman"/>
          <w:bCs/>
          <w:sz w:val="20"/>
          <w:lang w:val="en-US"/>
        </w:rPr>
        <w:t>22</w:t>
      </w:r>
      <w:r w:rsidR="000D40F4">
        <w:rPr>
          <w:rFonts w:ascii="Times New Roman" w:hAnsi="Times New Roman" w:cs="Times New Roman"/>
          <w:bCs/>
          <w:sz w:val="20"/>
          <w:lang w:val="en-US"/>
        </w:rPr>
        <w:t xml:space="preserve">. </w:t>
      </w:r>
      <w:r w:rsidR="000D40F4" w:rsidRPr="000D40F4">
        <w:rPr>
          <w:rFonts w:ascii="Times New Roman" w:hAnsi="Times New Roman" w:cs="Times New Roman"/>
          <w:iCs/>
          <w:spacing w:val="-2"/>
          <w:sz w:val="20"/>
          <w:lang w:val="en-US"/>
        </w:rPr>
        <w:t>SPARK-INTERFAX</w:t>
      </w:r>
      <w:r w:rsidR="000D40F4">
        <w:rPr>
          <w:rFonts w:ascii="Times New Roman" w:hAnsi="Times New Roman" w:cs="Times New Roman"/>
          <w:iCs/>
          <w:spacing w:val="-2"/>
          <w:sz w:val="20"/>
          <w:lang w:val="en-US"/>
        </w:rPr>
        <w:t xml:space="preserve"> </w:t>
      </w:r>
      <w:r w:rsidR="000D40F4" w:rsidRPr="0015062A">
        <w:rPr>
          <w:rFonts w:ascii="Times New Roman" w:hAnsi="Times New Roman" w:cs="Times New Roman"/>
          <w:iCs/>
          <w:spacing w:val="-2"/>
          <w:sz w:val="20"/>
          <w:lang w:val="en-US"/>
        </w:rPr>
        <w:t>(202</w:t>
      </w:r>
      <w:r w:rsidR="00AB748D">
        <w:rPr>
          <w:rFonts w:ascii="Times New Roman" w:hAnsi="Times New Roman" w:cs="Times New Roman"/>
          <w:iCs/>
          <w:spacing w:val="-2"/>
          <w:sz w:val="20"/>
          <w:lang w:val="en-US"/>
        </w:rPr>
        <w:t>0</w:t>
      </w:r>
      <w:r w:rsidR="000D40F4" w:rsidRPr="0015062A">
        <w:rPr>
          <w:rFonts w:ascii="Times New Roman" w:hAnsi="Times New Roman" w:cs="Times New Roman"/>
          <w:iCs/>
          <w:spacing w:val="-2"/>
          <w:sz w:val="20"/>
          <w:lang w:val="en-US"/>
        </w:rPr>
        <w:t xml:space="preserve">, July </w:t>
      </w:r>
      <w:r w:rsidR="000D40F4">
        <w:rPr>
          <w:rFonts w:ascii="Times New Roman" w:hAnsi="Times New Roman" w:cs="Times New Roman"/>
          <w:iCs/>
          <w:spacing w:val="-2"/>
          <w:sz w:val="20"/>
          <w:lang w:val="en-US"/>
        </w:rPr>
        <w:t>6</w:t>
      </w:r>
      <w:r w:rsidR="000D40F4" w:rsidRPr="0015062A">
        <w:rPr>
          <w:rFonts w:ascii="Times New Roman" w:hAnsi="Times New Roman" w:cs="Times New Roman"/>
          <w:iCs/>
          <w:spacing w:val="-2"/>
          <w:sz w:val="20"/>
          <w:lang w:val="en-US"/>
        </w:rPr>
        <w:t>)</w:t>
      </w:r>
      <w:r w:rsidR="000D40F4">
        <w:rPr>
          <w:rFonts w:ascii="Times New Roman" w:hAnsi="Times New Roman" w:cs="Times New Roman"/>
          <w:iCs/>
          <w:spacing w:val="-2"/>
          <w:sz w:val="20"/>
          <w:lang w:val="en-US"/>
        </w:rPr>
        <w:t xml:space="preserve">. </w:t>
      </w:r>
      <w:hyperlink r:id="rId33" w:anchor="_top" w:history="1">
        <w:r w:rsidR="000D40F4" w:rsidRPr="003B708B">
          <w:rPr>
            <w:rStyle w:val="a6"/>
            <w:rFonts w:ascii="Times New Roman" w:hAnsi="Times New Roman" w:cs="Times New Roman"/>
            <w:iCs/>
            <w:spacing w:val="-2"/>
            <w:sz w:val="20"/>
            <w:lang w:val="en-US"/>
          </w:rPr>
          <w:t>https://spark-interfax.ru/#_top</w:t>
        </w:r>
      </w:hyperlink>
      <w:r w:rsidR="000D40F4">
        <w:rPr>
          <w:rFonts w:ascii="Times New Roman" w:hAnsi="Times New Roman" w:cs="Times New Roman"/>
          <w:iCs/>
          <w:spacing w:val="-2"/>
          <w:sz w:val="20"/>
          <w:lang w:val="en-US"/>
        </w:rPr>
        <w:t xml:space="preserve"> </w:t>
      </w:r>
    </w:p>
    <w:p w14:paraId="247A31E2" w14:textId="77777777" w:rsidR="0015062A" w:rsidRPr="007C2FB1" w:rsidRDefault="0015062A" w:rsidP="007C2FB1">
      <w:pPr>
        <w:spacing w:before="60"/>
        <w:ind w:left="357" w:hanging="357"/>
        <w:jc w:val="both"/>
        <w:rPr>
          <w:rFonts w:ascii="Times New Roman" w:hAnsi="Times New Roman" w:cs="Times New Roman"/>
          <w:spacing w:val="-2"/>
          <w:sz w:val="20"/>
        </w:rPr>
      </w:pPr>
    </w:p>
    <w:p w14:paraId="72C9DAB1" w14:textId="77777777" w:rsidR="00F477E6" w:rsidRPr="007C2FB1" w:rsidRDefault="00F477E6" w:rsidP="000E35D4">
      <w:pPr>
        <w:spacing w:after="120"/>
        <w:ind w:firstLine="284"/>
        <w:jc w:val="both"/>
        <w:rPr>
          <w:rFonts w:ascii="Times New Roman" w:hAnsi="Times New Roman" w:cs="Times New Roman"/>
          <w:sz w:val="20"/>
        </w:rPr>
      </w:pPr>
    </w:p>
    <w:p w14:paraId="6F49ECA0" w14:textId="77777777" w:rsidR="00204966" w:rsidRPr="000E35D4" w:rsidRDefault="00204966" w:rsidP="00204966">
      <w:pPr>
        <w:spacing w:before="60"/>
        <w:jc w:val="both"/>
        <w:rPr>
          <w:rFonts w:ascii="Times New Roman" w:hAnsi="Times New Roman" w:cs="Times New Roman"/>
          <w:bCs/>
          <w:sz w:val="20"/>
        </w:rPr>
      </w:pPr>
    </w:p>
    <w:p w14:paraId="0207BB17" w14:textId="77777777" w:rsidR="00204966" w:rsidRPr="000E35D4" w:rsidRDefault="00204966" w:rsidP="00204966">
      <w:pPr>
        <w:spacing w:before="60"/>
        <w:jc w:val="both"/>
        <w:rPr>
          <w:rFonts w:ascii="Times New Roman" w:hAnsi="Times New Roman" w:cs="Times New Roman"/>
          <w:bCs/>
          <w:sz w:val="20"/>
        </w:rPr>
      </w:pPr>
    </w:p>
    <w:sectPr w:rsidR="00204966" w:rsidRPr="000E35D4" w:rsidSect="0055081E">
      <w:footerReference w:type="first" r:id="rId34"/>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B505" w14:textId="77777777" w:rsidR="009D7F09" w:rsidRDefault="009D7F09" w:rsidP="00204966">
      <w:r>
        <w:separator/>
      </w:r>
    </w:p>
  </w:endnote>
  <w:endnote w:type="continuationSeparator" w:id="0">
    <w:p w14:paraId="3F3D514B" w14:textId="77777777" w:rsidR="009D7F09" w:rsidRDefault="009D7F09" w:rsidP="0020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DD8A" w14:textId="77777777" w:rsidR="007708D9" w:rsidRPr="000A0FAB" w:rsidRDefault="007708D9" w:rsidP="007708D9">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9892" w14:textId="77777777" w:rsidR="009D7F09" w:rsidRDefault="009D7F09" w:rsidP="00204966">
      <w:r>
        <w:separator/>
      </w:r>
    </w:p>
  </w:footnote>
  <w:footnote w:type="continuationSeparator" w:id="0">
    <w:p w14:paraId="64207BAF" w14:textId="77777777" w:rsidR="009D7F09" w:rsidRDefault="009D7F09" w:rsidP="00204966">
      <w:r>
        <w:continuationSeparator/>
      </w:r>
    </w:p>
  </w:footnote>
  <w:footnote w:id="1">
    <w:p w14:paraId="0CF6BD18" w14:textId="77777777" w:rsidR="00330767" w:rsidRDefault="00330767" w:rsidP="00330767">
      <w:pPr>
        <w:pStyle w:val="a4"/>
        <w:rPr>
          <w:sz w:val="18"/>
          <w:szCs w:val="18"/>
        </w:rPr>
      </w:pPr>
      <w:r>
        <w:rPr>
          <w:rStyle w:val="a3"/>
        </w:rPr>
        <w:footnoteRef/>
      </w:r>
      <w:r>
        <w:t xml:space="preserve"> </w:t>
      </w:r>
      <w:r>
        <w:rPr>
          <w:sz w:val="18"/>
          <w:szCs w:val="18"/>
        </w:rPr>
        <w:t xml:space="preserve">Corresponding author: </w:t>
      </w:r>
      <w:hyperlink r:id="rId1" w:history="1">
        <w:r w:rsidRPr="000D6E67">
          <w:rPr>
            <w:rStyle w:val="a6"/>
            <w:sz w:val="18"/>
            <w:szCs w:val="18"/>
          </w:rPr>
          <w:t>v.dengov@spbu.ru</w:t>
        </w:r>
      </w:hyperlink>
    </w:p>
    <w:p w14:paraId="70C0EAB4" w14:textId="77777777" w:rsidR="00330767" w:rsidRPr="00A20158" w:rsidRDefault="00330767" w:rsidP="00330767">
      <w:pPr>
        <w:pStyle w:val="a4"/>
        <w:rPr>
          <w:lang w:val="en-US"/>
        </w:rPr>
      </w:pPr>
    </w:p>
  </w:footnote>
  <w:footnote w:id="2">
    <w:p w14:paraId="2F025A65" w14:textId="77777777" w:rsidR="00FF2184" w:rsidRPr="00FF2184" w:rsidRDefault="00DD3FC9" w:rsidP="00FF2184">
      <w:pPr>
        <w:pStyle w:val="a4"/>
        <w:rPr>
          <w:rFonts w:ascii="Times New Roman" w:hAnsi="Times New Roman" w:cs="Times New Roman"/>
          <w:sz w:val="18"/>
          <w:szCs w:val="18"/>
          <w:lang w:val="en-US"/>
        </w:rPr>
      </w:pPr>
      <w:r>
        <w:rPr>
          <w:rStyle w:val="a3"/>
        </w:rPr>
        <w:footnoteRef/>
      </w:r>
      <w:r>
        <w:t xml:space="preserve"> </w:t>
      </w:r>
      <w:r w:rsidR="00FF2184" w:rsidRPr="00FF2184">
        <w:rPr>
          <w:rFonts w:ascii="Times New Roman" w:hAnsi="Times New Roman" w:cs="Times New Roman"/>
          <w:sz w:val="18"/>
          <w:szCs w:val="18"/>
          <w:lang w:val="en-US"/>
        </w:rPr>
        <w:t>The limited volume of the article does not allow citing data for all years of the specified period. For Rosteh, the latest available data for 2017, for Almaz-Antey and Tactical Missiles Corp. for 2016</w:t>
      </w:r>
    </w:p>
    <w:p w14:paraId="4A164BEA" w14:textId="0852A9F7" w:rsidR="00DD3FC9" w:rsidRPr="00FF2184" w:rsidRDefault="00DD3FC9">
      <w:pPr>
        <w:pStyle w:val="a4"/>
        <w:rPr>
          <w:rFonts w:ascii="Times New Roman" w:hAnsi="Times New Roman" w:cs="Times New Roman"/>
          <w:sz w:val="18"/>
          <w:szCs w:val="18"/>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7EA454"/>
    <w:lvl w:ilvl="0">
      <w:start w:val="1"/>
      <w:numFmt w:val="decimal"/>
      <w:lvlText w:val="%1."/>
      <w:lvlJc w:val="left"/>
      <w:pPr>
        <w:tabs>
          <w:tab w:val="num" w:pos="360"/>
        </w:tabs>
        <w:ind w:left="36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A384A66"/>
    <w:multiLevelType w:val="hybridMultilevel"/>
    <w:tmpl w:val="CAC43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3220F7"/>
    <w:multiLevelType w:val="hybridMultilevel"/>
    <w:tmpl w:val="F4F04D5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B636067"/>
    <w:multiLevelType w:val="multilevel"/>
    <w:tmpl w:val="1B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85006"/>
    <w:multiLevelType w:val="hybridMultilevel"/>
    <w:tmpl w:val="042E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2F7381"/>
    <w:multiLevelType w:val="hybridMultilevel"/>
    <w:tmpl w:val="9F24B7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595B04"/>
    <w:multiLevelType w:val="hybridMultilevel"/>
    <w:tmpl w:val="FC40A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66"/>
    <w:rsid w:val="000031C5"/>
    <w:rsid w:val="00011280"/>
    <w:rsid w:val="00030CEB"/>
    <w:rsid w:val="0003300A"/>
    <w:rsid w:val="0005732F"/>
    <w:rsid w:val="00092C31"/>
    <w:rsid w:val="00092DEF"/>
    <w:rsid w:val="000A2DDC"/>
    <w:rsid w:val="000B4905"/>
    <w:rsid w:val="000D40F4"/>
    <w:rsid w:val="000D66FA"/>
    <w:rsid w:val="000E04A9"/>
    <w:rsid w:val="000E35D4"/>
    <w:rsid w:val="000F0895"/>
    <w:rsid w:val="00121E12"/>
    <w:rsid w:val="001470DF"/>
    <w:rsid w:val="0015062A"/>
    <w:rsid w:val="0016353B"/>
    <w:rsid w:val="00166BD1"/>
    <w:rsid w:val="00170788"/>
    <w:rsid w:val="00194286"/>
    <w:rsid w:val="001B1ABD"/>
    <w:rsid w:val="001B2F71"/>
    <w:rsid w:val="001B6115"/>
    <w:rsid w:val="001E7CDE"/>
    <w:rsid w:val="001F160C"/>
    <w:rsid w:val="001F5076"/>
    <w:rsid w:val="001F76AA"/>
    <w:rsid w:val="00204966"/>
    <w:rsid w:val="002615A4"/>
    <w:rsid w:val="0028418B"/>
    <w:rsid w:val="00297F62"/>
    <w:rsid w:val="002E1F42"/>
    <w:rsid w:val="00317F7D"/>
    <w:rsid w:val="00330767"/>
    <w:rsid w:val="00343945"/>
    <w:rsid w:val="00347C92"/>
    <w:rsid w:val="003543A4"/>
    <w:rsid w:val="00355FE0"/>
    <w:rsid w:val="003650F2"/>
    <w:rsid w:val="0036673D"/>
    <w:rsid w:val="00367E55"/>
    <w:rsid w:val="003960CA"/>
    <w:rsid w:val="00404C70"/>
    <w:rsid w:val="00426679"/>
    <w:rsid w:val="00480535"/>
    <w:rsid w:val="004E673F"/>
    <w:rsid w:val="004E7BA3"/>
    <w:rsid w:val="004F3328"/>
    <w:rsid w:val="004F4200"/>
    <w:rsid w:val="005012C8"/>
    <w:rsid w:val="00515017"/>
    <w:rsid w:val="00536C6F"/>
    <w:rsid w:val="00542825"/>
    <w:rsid w:val="00545EE5"/>
    <w:rsid w:val="0055081E"/>
    <w:rsid w:val="00572E92"/>
    <w:rsid w:val="00574178"/>
    <w:rsid w:val="005808F2"/>
    <w:rsid w:val="00585203"/>
    <w:rsid w:val="00586F04"/>
    <w:rsid w:val="00595464"/>
    <w:rsid w:val="005C31B5"/>
    <w:rsid w:val="005F2D4D"/>
    <w:rsid w:val="005F715F"/>
    <w:rsid w:val="00622EA5"/>
    <w:rsid w:val="00633E48"/>
    <w:rsid w:val="00641074"/>
    <w:rsid w:val="0064124E"/>
    <w:rsid w:val="00651A5D"/>
    <w:rsid w:val="00651FBF"/>
    <w:rsid w:val="006842B0"/>
    <w:rsid w:val="006C0F8A"/>
    <w:rsid w:val="006C35A3"/>
    <w:rsid w:val="006D5A33"/>
    <w:rsid w:val="006F46ED"/>
    <w:rsid w:val="00701D3C"/>
    <w:rsid w:val="0070595E"/>
    <w:rsid w:val="007069C9"/>
    <w:rsid w:val="00713BCE"/>
    <w:rsid w:val="00715D2E"/>
    <w:rsid w:val="007708D9"/>
    <w:rsid w:val="00791A48"/>
    <w:rsid w:val="007932B7"/>
    <w:rsid w:val="007C12F2"/>
    <w:rsid w:val="007C2FB1"/>
    <w:rsid w:val="007C3FB4"/>
    <w:rsid w:val="00800DD0"/>
    <w:rsid w:val="00813D47"/>
    <w:rsid w:val="0081762B"/>
    <w:rsid w:val="008451E3"/>
    <w:rsid w:val="0087169D"/>
    <w:rsid w:val="008869EB"/>
    <w:rsid w:val="00895F16"/>
    <w:rsid w:val="008D182A"/>
    <w:rsid w:val="008E4E15"/>
    <w:rsid w:val="00926C64"/>
    <w:rsid w:val="00933FDD"/>
    <w:rsid w:val="00941865"/>
    <w:rsid w:val="00995897"/>
    <w:rsid w:val="009B4CD0"/>
    <w:rsid w:val="009B6EF3"/>
    <w:rsid w:val="009C6D6B"/>
    <w:rsid w:val="009D7F09"/>
    <w:rsid w:val="009E1C69"/>
    <w:rsid w:val="009E3437"/>
    <w:rsid w:val="00A65C72"/>
    <w:rsid w:val="00A955B0"/>
    <w:rsid w:val="00AB66D5"/>
    <w:rsid w:val="00AB748D"/>
    <w:rsid w:val="00AE02F2"/>
    <w:rsid w:val="00AE63EE"/>
    <w:rsid w:val="00B43810"/>
    <w:rsid w:val="00B64BB4"/>
    <w:rsid w:val="00B914BD"/>
    <w:rsid w:val="00BA5499"/>
    <w:rsid w:val="00BB3647"/>
    <w:rsid w:val="00BC37B5"/>
    <w:rsid w:val="00BC732C"/>
    <w:rsid w:val="00BE12C4"/>
    <w:rsid w:val="00C00152"/>
    <w:rsid w:val="00C07B1F"/>
    <w:rsid w:val="00C378DA"/>
    <w:rsid w:val="00C40DA1"/>
    <w:rsid w:val="00C43DAB"/>
    <w:rsid w:val="00C569F8"/>
    <w:rsid w:val="00C65CB1"/>
    <w:rsid w:val="00C7578C"/>
    <w:rsid w:val="00CB0C7B"/>
    <w:rsid w:val="00CD0CF2"/>
    <w:rsid w:val="00D0001B"/>
    <w:rsid w:val="00D4072D"/>
    <w:rsid w:val="00D46F72"/>
    <w:rsid w:val="00D66531"/>
    <w:rsid w:val="00D665E5"/>
    <w:rsid w:val="00D72113"/>
    <w:rsid w:val="00DB3CB3"/>
    <w:rsid w:val="00DB7E02"/>
    <w:rsid w:val="00DD3FC9"/>
    <w:rsid w:val="00DE101D"/>
    <w:rsid w:val="00DF3C66"/>
    <w:rsid w:val="00E23F38"/>
    <w:rsid w:val="00E45EE8"/>
    <w:rsid w:val="00E77BF8"/>
    <w:rsid w:val="00E839C4"/>
    <w:rsid w:val="00E931CF"/>
    <w:rsid w:val="00E938DA"/>
    <w:rsid w:val="00EA53AD"/>
    <w:rsid w:val="00EB724B"/>
    <w:rsid w:val="00EB73B2"/>
    <w:rsid w:val="00F01E24"/>
    <w:rsid w:val="00F15467"/>
    <w:rsid w:val="00F15CC8"/>
    <w:rsid w:val="00F477E6"/>
    <w:rsid w:val="00F728BA"/>
    <w:rsid w:val="00F843FE"/>
    <w:rsid w:val="00F91883"/>
    <w:rsid w:val="00FA59F5"/>
    <w:rsid w:val="00FF2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B4DC"/>
  <w15:chartTrackingRefBased/>
  <w15:docId w15:val="{AC5A8445-FE22-48F6-97EE-C2101A70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pPr>
      <w:suppressAutoHyphens/>
      <w:spacing w:after="0" w:line="240" w:lineRule="auto"/>
    </w:pPr>
    <w:rPr>
      <w:rFonts w:ascii="New York" w:eastAsia="Times New Roman" w:hAnsi="New York" w:cs="New York"/>
      <w:sz w:val="24"/>
      <w:szCs w:val="20"/>
      <w:lang w:val="fr-FR" w:eastAsia="ar-SA"/>
    </w:rPr>
  </w:style>
  <w:style w:type="paragraph" w:styleId="1">
    <w:name w:val="heading 1"/>
    <w:basedOn w:val="a"/>
    <w:next w:val="a"/>
    <w:link w:val="10"/>
    <w:uiPriority w:val="9"/>
    <w:qFormat/>
    <w:rsid w:val="007C2F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204966"/>
    <w:rPr>
      <w:vertAlign w:val="superscript"/>
    </w:rPr>
  </w:style>
  <w:style w:type="paragraph" w:styleId="a4">
    <w:name w:val="footnote text"/>
    <w:basedOn w:val="a"/>
    <w:link w:val="a5"/>
    <w:semiHidden/>
    <w:rsid w:val="00204966"/>
    <w:rPr>
      <w:sz w:val="20"/>
    </w:rPr>
  </w:style>
  <w:style w:type="character" w:customStyle="1" w:styleId="a5">
    <w:name w:val="Текст сноски Знак"/>
    <w:basedOn w:val="a0"/>
    <w:link w:val="a4"/>
    <w:semiHidden/>
    <w:rsid w:val="00204966"/>
    <w:rPr>
      <w:rFonts w:ascii="New York" w:eastAsia="Times New Roman" w:hAnsi="New York" w:cs="New York"/>
      <w:sz w:val="20"/>
      <w:szCs w:val="20"/>
      <w:lang w:val="fr-FR" w:eastAsia="ar-SA"/>
    </w:rPr>
  </w:style>
  <w:style w:type="character" w:styleId="a6">
    <w:name w:val="Hyperlink"/>
    <w:rsid w:val="00204966"/>
    <w:rPr>
      <w:color w:val="0000FF"/>
      <w:u w:val="single"/>
    </w:rPr>
  </w:style>
  <w:style w:type="character" w:styleId="a7">
    <w:name w:val="Placeholder Text"/>
    <w:basedOn w:val="a0"/>
    <w:uiPriority w:val="99"/>
    <w:semiHidden/>
    <w:rsid w:val="00204966"/>
    <w:rPr>
      <w:color w:val="808080"/>
    </w:rPr>
  </w:style>
  <w:style w:type="character" w:styleId="a8">
    <w:name w:val="Strong"/>
    <w:basedOn w:val="a0"/>
    <w:uiPriority w:val="22"/>
    <w:qFormat/>
    <w:rsid w:val="000E04A9"/>
    <w:rPr>
      <w:b/>
      <w:bCs/>
    </w:rPr>
  </w:style>
  <w:style w:type="paragraph" w:styleId="a9">
    <w:name w:val="List Paragraph"/>
    <w:basedOn w:val="a"/>
    <w:uiPriority w:val="34"/>
    <w:qFormat/>
    <w:rsid w:val="000E04A9"/>
    <w:pPr>
      <w:ind w:left="720"/>
      <w:contextualSpacing/>
    </w:pPr>
  </w:style>
  <w:style w:type="character" w:styleId="aa">
    <w:name w:val="Emphasis"/>
    <w:basedOn w:val="a0"/>
    <w:uiPriority w:val="20"/>
    <w:qFormat/>
    <w:rsid w:val="000E04A9"/>
    <w:rPr>
      <w:i/>
      <w:iCs/>
    </w:rPr>
  </w:style>
  <w:style w:type="paragraph" w:styleId="ab">
    <w:name w:val="Balloon Text"/>
    <w:basedOn w:val="a"/>
    <w:link w:val="ac"/>
    <w:uiPriority w:val="99"/>
    <w:semiHidden/>
    <w:unhideWhenUsed/>
    <w:rsid w:val="007708D9"/>
    <w:rPr>
      <w:rFonts w:ascii="Segoe UI" w:hAnsi="Segoe UI" w:cs="Segoe UI"/>
      <w:sz w:val="18"/>
      <w:szCs w:val="18"/>
    </w:rPr>
  </w:style>
  <w:style w:type="character" w:customStyle="1" w:styleId="ac">
    <w:name w:val="Текст выноски Знак"/>
    <w:basedOn w:val="a0"/>
    <w:link w:val="ab"/>
    <w:uiPriority w:val="99"/>
    <w:semiHidden/>
    <w:rsid w:val="007708D9"/>
    <w:rPr>
      <w:rFonts w:ascii="Segoe UI" w:eastAsia="Times New Roman" w:hAnsi="Segoe UI" w:cs="Segoe UI"/>
      <w:sz w:val="18"/>
      <w:szCs w:val="18"/>
      <w:lang w:val="fr-FR" w:eastAsia="ar-SA"/>
    </w:rPr>
  </w:style>
  <w:style w:type="character" w:styleId="ad">
    <w:name w:val="Unresolved Mention"/>
    <w:basedOn w:val="a0"/>
    <w:uiPriority w:val="99"/>
    <w:semiHidden/>
    <w:unhideWhenUsed/>
    <w:rsid w:val="001B1ABD"/>
    <w:rPr>
      <w:color w:val="605E5C"/>
      <w:shd w:val="clear" w:color="auto" w:fill="E1DFDD"/>
    </w:rPr>
  </w:style>
  <w:style w:type="table" w:styleId="ae">
    <w:name w:val="Table Grid"/>
    <w:basedOn w:val="a1"/>
    <w:uiPriority w:val="39"/>
    <w:rsid w:val="00F843F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2FB1"/>
    <w:rPr>
      <w:rFonts w:asciiTheme="majorHAnsi" w:eastAsiaTheme="majorEastAsia" w:hAnsiTheme="majorHAnsi" w:cstheme="majorBidi"/>
      <w:color w:val="2E74B5" w:themeColor="accent1" w:themeShade="BF"/>
      <w:sz w:val="32"/>
      <w:szCs w:val="3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263">
      <w:bodyDiv w:val="1"/>
      <w:marLeft w:val="0"/>
      <w:marRight w:val="0"/>
      <w:marTop w:val="0"/>
      <w:marBottom w:val="0"/>
      <w:divBdr>
        <w:top w:val="none" w:sz="0" w:space="0" w:color="auto"/>
        <w:left w:val="none" w:sz="0" w:space="0" w:color="auto"/>
        <w:bottom w:val="none" w:sz="0" w:space="0" w:color="auto"/>
        <w:right w:val="none" w:sz="0" w:space="0" w:color="auto"/>
      </w:divBdr>
    </w:div>
    <w:div w:id="70542791">
      <w:bodyDiv w:val="1"/>
      <w:marLeft w:val="0"/>
      <w:marRight w:val="0"/>
      <w:marTop w:val="0"/>
      <w:marBottom w:val="0"/>
      <w:divBdr>
        <w:top w:val="none" w:sz="0" w:space="0" w:color="auto"/>
        <w:left w:val="none" w:sz="0" w:space="0" w:color="auto"/>
        <w:bottom w:val="none" w:sz="0" w:space="0" w:color="auto"/>
        <w:right w:val="none" w:sz="0" w:space="0" w:color="auto"/>
      </w:divBdr>
    </w:div>
    <w:div w:id="194006831">
      <w:bodyDiv w:val="1"/>
      <w:marLeft w:val="0"/>
      <w:marRight w:val="0"/>
      <w:marTop w:val="0"/>
      <w:marBottom w:val="0"/>
      <w:divBdr>
        <w:top w:val="none" w:sz="0" w:space="0" w:color="auto"/>
        <w:left w:val="none" w:sz="0" w:space="0" w:color="auto"/>
        <w:bottom w:val="none" w:sz="0" w:space="0" w:color="auto"/>
        <w:right w:val="none" w:sz="0" w:space="0" w:color="auto"/>
      </w:divBdr>
    </w:div>
    <w:div w:id="282880224">
      <w:bodyDiv w:val="1"/>
      <w:marLeft w:val="0"/>
      <w:marRight w:val="0"/>
      <w:marTop w:val="0"/>
      <w:marBottom w:val="0"/>
      <w:divBdr>
        <w:top w:val="none" w:sz="0" w:space="0" w:color="auto"/>
        <w:left w:val="none" w:sz="0" w:space="0" w:color="auto"/>
        <w:bottom w:val="none" w:sz="0" w:space="0" w:color="auto"/>
        <w:right w:val="none" w:sz="0" w:space="0" w:color="auto"/>
      </w:divBdr>
    </w:div>
    <w:div w:id="469052266">
      <w:bodyDiv w:val="1"/>
      <w:marLeft w:val="0"/>
      <w:marRight w:val="0"/>
      <w:marTop w:val="0"/>
      <w:marBottom w:val="0"/>
      <w:divBdr>
        <w:top w:val="none" w:sz="0" w:space="0" w:color="auto"/>
        <w:left w:val="none" w:sz="0" w:space="0" w:color="auto"/>
        <w:bottom w:val="none" w:sz="0" w:space="0" w:color="auto"/>
        <w:right w:val="none" w:sz="0" w:space="0" w:color="auto"/>
      </w:divBdr>
    </w:div>
    <w:div w:id="556169484">
      <w:bodyDiv w:val="1"/>
      <w:marLeft w:val="0"/>
      <w:marRight w:val="0"/>
      <w:marTop w:val="0"/>
      <w:marBottom w:val="0"/>
      <w:divBdr>
        <w:top w:val="none" w:sz="0" w:space="0" w:color="auto"/>
        <w:left w:val="none" w:sz="0" w:space="0" w:color="auto"/>
        <w:bottom w:val="none" w:sz="0" w:space="0" w:color="auto"/>
        <w:right w:val="none" w:sz="0" w:space="0" w:color="auto"/>
      </w:divBdr>
    </w:div>
    <w:div w:id="627274833">
      <w:bodyDiv w:val="1"/>
      <w:marLeft w:val="0"/>
      <w:marRight w:val="0"/>
      <w:marTop w:val="0"/>
      <w:marBottom w:val="0"/>
      <w:divBdr>
        <w:top w:val="none" w:sz="0" w:space="0" w:color="auto"/>
        <w:left w:val="none" w:sz="0" w:space="0" w:color="auto"/>
        <w:bottom w:val="none" w:sz="0" w:space="0" w:color="auto"/>
        <w:right w:val="none" w:sz="0" w:space="0" w:color="auto"/>
      </w:divBdr>
    </w:div>
    <w:div w:id="696740356">
      <w:bodyDiv w:val="1"/>
      <w:marLeft w:val="0"/>
      <w:marRight w:val="0"/>
      <w:marTop w:val="0"/>
      <w:marBottom w:val="0"/>
      <w:divBdr>
        <w:top w:val="none" w:sz="0" w:space="0" w:color="auto"/>
        <w:left w:val="none" w:sz="0" w:space="0" w:color="auto"/>
        <w:bottom w:val="none" w:sz="0" w:space="0" w:color="auto"/>
        <w:right w:val="none" w:sz="0" w:space="0" w:color="auto"/>
      </w:divBdr>
    </w:div>
    <w:div w:id="888224754">
      <w:bodyDiv w:val="1"/>
      <w:marLeft w:val="0"/>
      <w:marRight w:val="0"/>
      <w:marTop w:val="0"/>
      <w:marBottom w:val="0"/>
      <w:divBdr>
        <w:top w:val="none" w:sz="0" w:space="0" w:color="auto"/>
        <w:left w:val="none" w:sz="0" w:space="0" w:color="auto"/>
        <w:bottom w:val="none" w:sz="0" w:space="0" w:color="auto"/>
        <w:right w:val="none" w:sz="0" w:space="0" w:color="auto"/>
      </w:divBdr>
    </w:div>
    <w:div w:id="1064062690">
      <w:bodyDiv w:val="1"/>
      <w:marLeft w:val="0"/>
      <w:marRight w:val="0"/>
      <w:marTop w:val="0"/>
      <w:marBottom w:val="0"/>
      <w:divBdr>
        <w:top w:val="none" w:sz="0" w:space="0" w:color="auto"/>
        <w:left w:val="none" w:sz="0" w:space="0" w:color="auto"/>
        <w:bottom w:val="none" w:sz="0" w:space="0" w:color="auto"/>
        <w:right w:val="none" w:sz="0" w:space="0" w:color="auto"/>
      </w:divBdr>
    </w:div>
    <w:div w:id="1216432056">
      <w:bodyDiv w:val="1"/>
      <w:marLeft w:val="0"/>
      <w:marRight w:val="0"/>
      <w:marTop w:val="0"/>
      <w:marBottom w:val="0"/>
      <w:divBdr>
        <w:top w:val="none" w:sz="0" w:space="0" w:color="auto"/>
        <w:left w:val="none" w:sz="0" w:space="0" w:color="auto"/>
        <w:bottom w:val="none" w:sz="0" w:space="0" w:color="auto"/>
        <w:right w:val="none" w:sz="0" w:space="0" w:color="auto"/>
      </w:divBdr>
    </w:div>
    <w:div w:id="1450932081">
      <w:bodyDiv w:val="1"/>
      <w:marLeft w:val="0"/>
      <w:marRight w:val="0"/>
      <w:marTop w:val="0"/>
      <w:marBottom w:val="0"/>
      <w:divBdr>
        <w:top w:val="none" w:sz="0" w:space="0" w:color="auto"/>
        <w:left w:val="none" w:sz="0" w:space="0" w:color="auto"/>
        <w:bottom w:val="none" w:sz="0" w:space="0" w:color="auto"/>
        <w:right w:val="none" w:sz="0" w:space="0" w:color="auto"/>
      </w:divBdr>
    </w:div>
    <w:div w:id="1491748919">
      <w:bodyDiv w:val="1"/>
      <w:marLeft w:val="0"/>
      <w:marRight w:val="0"/>
      <w:marTop w:val="0"/>
      <w:marBottom w:val="0"/>
      <w:divBdr>
        <w:top w:val="none" w:sz="0" w:space="0" w:color="auto"/>
        <w:left w:val="none" w:sz="0" w:space="0" w:color="auto"/>
        <w:bottom w:val="none" w:sz="0" w:space="0" w:color="auto"/>
        <w:right w:val="none" w:sz="0" w:space="0" w:color="auto"/>
      </w:divBdr>
    </w:div>
    <w:div w:id="1666199808">
      <w:bodyDiv w:val="1"/>
      <w:marLeft w:val="0"/>
      <w:marRight w:val="0"/>
      <w:marTop w:val="0"/>
      <w:marBottom w:val="0"/>
      <w:divBdr>
        <w:top w:val="none" w:sz="0" w:space="0" w:color="auto"/>
        <w:left w:val="none" w:sz="0" w:space="0" w:color="auto"/>
        <w:bottom w:val="none" w:sz="0" w:space="0" w:color="auto"/>
        <w:right w:val="none" w:sz="0" w:space="0" w:color="auto"/>
      </w:divBdr>
    </w:div>
    <w:div w:id="1735469664">
      <w:bodyDiv w:val="1"/>
      <w:marLeft w:val="0"/>
      <w:marRight w:val="0"/>
      <w:marTop w:val="0"/>
      <w:marBottom w:val="0"/>
      <w:divBdr>
        <w:top w:val="none" w:sz="0" w:space="0" w:color="auto"/>
        <w:left w:val="none" w:sz="0" w:space="0" w:color="auto"/>
        <w:bottom w:val="none" w:sz="0" w:space="0" w:color="auto"/>
        <w:right w:val="none" w:sz="0" w:space="0" w:color="auto"/>
      </w:divBdr>
    </w:div>
    <w:div w:id="1763531320">
      <w:bodyDiv w:val="1"/>
      <w:marLeft w:val="0"/>
      <w:marRight w:val="0"/>
      <w:marTop w:val="0"/>
      <w:marBottom w:val="0"/>
      <w:divBdr>
        <w:top w:val="none" w:sz="0" w:space="0" w:color="auto"/>
        <w:left w:val="none" w:sz="0" w:space="0" w:color="auto"/>
        <w:bottom w:val="none" w:sz="0" w:space="0" w:color="auto"/>
        <w:right w:val="none" w:sz="0" w:space="0" w:color="auto"/>
      </w:divBdr>
      <w:divsChild>
        <w:div w:id="5330616">
          <w:marLeft w:val="0"/>
          <w:marRight w:val="0"/>
          <w:marTop w:val="0"/>
          <w:marBottom w:val="0"/>
          <w:divBdr>
            <w:top w:val="none" w:sz="0" w:space="0" w:color="auto"/>
            <w:left w:val="none" w:sz="0" w:space="0" w:color="auto"/>
            <w:bottom w:val="none" w:sz="0" w:space="0" w:color="auto"/>
            <w:right w:val="none" w:sz="0" w:space="0" w:color="auto"/>
          </w:divBdr>
        </w:div>
      </w:divsChild>
    </w:div>
    <w:div w:id="1809516295">
      <w:bodyDiv w:val="1"/>
      <w:marLeft w:val="0"/>
      <w:marRight w:val="0"/>
      <w:marTop w:val="0"/>
      <w:marBottom w:val="0"/>
      <w:divBdr>
        <w:top w:val="none" w:sz="0" w:space="0" w:color="auto"/>
        <w:left w:val="none" w:sz="0" w:space="0" w:color="auto"/>
        <w:bottom w:val="none" w:sz="0" w:space="0" w:color="auto"/>
        <w:right w:val="none" w:sz="0" w:space="0" w:color="auto"/>
      </w:divBdr>
      <w:divsChild>
        <w:div w:id="995300453">
          <w:marLeft w:val="0"/>
          <w:marRight w:val="0"/>
          <w:marTop w:val="0"/>
          <w:marBottom w:val="0"/>
          <w:divBdr>
            <w:top w:val="none" w:sz="0" w:space="0" w:color="auto"/>
            <w:left w:val="none" w:sz="0" w:space="0" w:color="auto"/>
            <w:bottom w:val="none" w:sz="0" w:space="0" w:color="auto"/>
            <w:right w:val="none" w:sz="0" w:space="0" w:color="auto"/>
          </w:divBdr>
        </w:div>
      </w:divsChild>
    </w:div>
    <w:div w:id="19917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ark-interfax.ru/" TargetMode="External"/><Relationship Id="rId18" Type="http://schemas.openxmlformats.org/officeDocument/2006/relationships/chart" Target="charts/chart5.xml"/><Relationship Id="rId26" Type="http://schemas.openxmlformats.org/officeDocument/2006/relationships/hyperlink" Target="https://doi.org/10.1007/s10588-014-9173-6" TargetMode="External"/><Relationship Id="rId3" Type="http://schemas.openxmlformats.org/officeDocument/2006/relationships/styles" Target="styles.xml"/><Relationship Id="rId21" Type="http://schemas.openxmlformats.org/officeDocument/2006/relationships/hyperlink" Target="https://doi.10.17818/NM/2017/3.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spark-interfax.ru/" TargetMode="External"/><Relationship Id="rId25" Type="http://schemas.openxmlformats.org/officeDocument/2006/relationships/hyperlink" Target="https://doi.org/10.1080/10242694.2018.1425118" TargetMode="External"/><Relationship Id="rId33" Type="http://schemas.openxmlformats.org/officeDocument/2006/relationships/hyperlink" Target="https://spark-interfax.r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i.10.1016/j.ejpoleco" TargetMode="External"/><Relationship Id="rId29" Type="http://schemas.openxmlformats.org/officeDocument/2006/relationships/hyperlink" Target="https://doi.org/10.1007/978-3-030-05348-2_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k-interfax.ru/" TargetMode="External"/><Relationship Id="rId24" Type="http://schemas.openxmlformats.org/officeDocument/2006/relationships/hyperlink" Target="https://doi.10.1080/01402390.2016.1221819" TargetMode="External"/><Relationship Id="rId32" Type="http://schemas.openxmlformats.org/officeDocument/2006/relationships/hyperlink" Target="https://www.sipri.org/databases/%20armsindustry" TargetMode="External"/><Relationship Id="rId5" Type="http://schemas.openxmlformats.org/officeDocument/2006/relationships/webSettings" Target="webSettings.xml"/><Relationship Id="rId15" Type="http://schemas.openxmlformats.org/officeDocument/2006/relationships/hyperlink" Target="http://www.spark-interfax.ru/" TargetMode="External"/><Relationship Id="rId23" Type="http://schemas.openxmlformats.org/officeDocument/2006/relationships/hyperlink" Target="https://doi.10.15355/epsj.12.1.46%202017" TargetMode="External"/><Relationship Id="rId28" Type="http://schemas.openxmlformats.org/officeDocument/2006/relationships/hyperlink" Target="https://doi.org/10.1080/10242694.2021.1926176"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spark-interfax.ru/" TargetMode="External"/><Relationship Id="rId31" Type="http://schemas.openxmlformats.org/officeDocument/2006/relationships/hyperlink" Target="https://doi.org/10.1051/shsconf/20219207021"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 Id="rId14" Type="http://schemas.openxmlformats.org/officeDocument/2006/relationships/chart" Target="charts/chart3.xml"/><Relationship Id="rId22" Type="http://schemas.openxmlformats.org/officeDocument/2006/relationships/hyperlink" Target="https://doi.10.17818/NM/2019/3.9" TargetMode="External"/><Relationship Id="rId27" Type="http://schemas.openxmlformats.org/officeDocument/2006/relationships/hyperlink" Target="https://doi.org/10.15355/epsj.13.2.5" TargetMode="External"/><Relationship Id="rId30" Type="http://schemas.openxmlformats.org/officeDocument/2006/relationships/hyperlink" Target="https://doi.org/10.1051/shsconf/20219208007" TargetMode="External"/><Relationship Id="rId35" Type="http://schemas.openxmlformats.org/officeDocument/2006/relationships/fontTable" Target="fontTable.xml"/><Relationship Id="rId8" Type="http://schemas.openxmlformats.org/officeDocument/2006/relationships/hyperlink" Target="https://www.sipri.org/databases/armsindust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dengov@spbu.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Users\antonvikulin\Desktop\&#1060;&#1080;&#1085;&#1072;&#1085;&#1089;&#1086;&#1074;&#1072;&#1103;%20&#1086;&#1090;&#1095;&#1077;&#1090;&#1085;&#1086;&#1089;&#1090;&#1100;%20&#1054;&#1055;&#1050;.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Ростех!$A$6</c:f>
              <c:strCache>
                <c:ptCount val="1"/>
                <c:pt idx="0">
                  <c:v>Рентабельность СК</c:v>
                </c:pt>
              </c:strCache>
            </c:strRef>
          </c:tx>
          <c:spPr>
            <a:ln w="28575" cap="rnd">
              <a:solidFill>
                <a:schemeClr val="tx1"/>
              </a:solidFill>
              <a:round/>
            </a:ln>
            <a:effectLst/>
          </c:spPr>
          <c:marker>
            <c:symbol val="none"/>
          </c:marker>
          <c:cat>
            <c:numRef>
              <c:f>Ростех!$B$1:$J$1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Ростех!$B$6:$J$6</c:f>
              <c:numCache>
                <c:formatCode>0.00%</c:formatCode>
                <c:ptCount val="9"/>
                <c:pt idx="0">
                  <c:v>2.8072264348039892E-4</c:v>
                </c:pt>
                <c:pt idx="1">
                  <c:v>5.9227007573317159E-3</c:v>
                </c:pt>
                <c:pt idx="2">
                  <c:v>4.5995091445815367E-3</c:v>
                </c:pt>
                <c:pt idx="3">
                  <c:v>2.7036538213945836E-2</c:v>
                </c:pt>
                <c:pt idx="4">
                  <c:v>0.13567154713862786</c:v>
                </c:pt>
                <c:pt idx="5">
                  <c:v>3.2836057853993808E-2</c:v>
                </c:pt>
                <c:pt idx="6">
                  <c:v>6.0327400271873839E-2</c:v>
                </c:pt>
                <c:pt idx="7">
                  <c:v>0.11773533204068105</c:v>
                </c:pt>
                <c:pt idx="8">
                  <c:v>0.10283637406699607</c:v>
                </c:pt>
              </c:numCache>
            </c:numRef>
          </c:val>
          <c:smooth val="0"/>
          <c:extLst>
            <c:ext xmlns:c16="http://schemas.microsoft.com/office/drawing/2014/chart" uri="{C3380CC4-5D6E-409C-BE32-E72D297353CC}">
              <c16:uniqueId val="{00000000-8BD1-42E6-BD64-E9796F9D11D8}"/>
            </c:ext>
          </c:extLst>
        </c:ser>
        <c:dLbls>
          <c:showLegendKey val="0"/>
          <c:showVal val="0"/>
          <c:showCatName val="0"/>
          <c:showSerName val="0"/>
          <c:showPercent val="0"/>
          <c:showBubbleSize val="0"/>
        </c:dLbls>
        <c:marker val="1"/>
        <c:smooth val="0"/>
        <c:axId val="197829376"/>
        <c:axId val="197830912"/>
      </c:lineChart>
      <c:lineChart>
        <c:grouping val="standard"/>
        <c:varyColors val="0"/>
        <c:ser>
          <c:idx val="1"/>
          <c:order val="1"/>
          <c:tx>
            <c:strRef>
              <c:f>Ростех!$A$7</c:f>
              <c:strCache>
                <c:ptCount val="1"/>
                <c:pt idx="0">
                  <c:v>Финансовый леверидж</c:v>
                </c:pt>
              </c:strCache>
            </c:strRef>
          </c:tx>
          <c:spPr>
            <a:ln w="28575" cap="rnd">
              <a:solidFill>
                <a:schemeClr val="tx1">
                  <a:lumMod val="50000"/>
                  <a:lumOff val="50000"/>
                </a:schemeClr>
              </a:solidFill>
              <a:round/>
            </a:ln>
            <a:effectLst/>
          </c:spPr>
          <c:marker>
            <c:symbol val="none"/>
          </c:marker>
          <c:val>
            <c:numRef>
              <c:f>Ростех!$B$7:$J$7</c:f>
              <c:numCache>
                <c:formatCode>General</c:formatCode>
                <c:ptCount val="9"/>
                <c:pt idx="0">
                  <c:v>1.4654341951345832E-2</c:v>
                </c:pt>
                <c:pt idx="1">
                  <c:v>1.3492364599882371E-2</c:v>
                </c:pt>
                <c:pt idx="2">
                  <c:v>3.9031656023959464E-2</c:v>
                </c:pt>
                <c:pt idx="3">
                  <c:v>2.9636158270171943E-2</c:v>
                </c:pt>
                <c:pt idx="4">
                  <c:v>0</c:v>
                </c:pt>
                <c:pt idx="5">
                  <c:v>2.0077656610151252E-2</c:v>
                </c:pt>
                <c:pt idx="6">
                  <c:v>1.5450619212990815E-2</c:v>
                </c:pt>
                <c:pt idx="7">
                  <c:v>2.1376521878518516E-3</c:v>
                </c:pt>
                <c:pt idx="8">
                  <c:v>5.0384011144673745E-4</c:v>
                </c:pt>
              </c:numCache>
            </c:numRef>
          </c:val>
          <c:smooth val="0"/>
          <c:extLst>
            <c:ext xmlns:c16="http://schemas.microsoft.com/office/drawing/2014/chart" uri="{C3380CC4-5D6E-409C-BE32-E72D297353CC}">
              <c16:uniqueId val="{00000001-8BD1-42E6-BD64-E9796F9D11D8}"/>
            </c:ext>
          </c:extLst>
        </c:ser>
        <c:dLbls>
          <c:showLegendKey val="0"/>
          <c:showVal val="0"/>
          <c:showCatName val="0"/>
          <c:showSerName val="0"/>
          <c:showPercent val="0"/>
          <c:showBubbleSize val="0"/>
        </c:dLbls>
        <c:marker val="1"/>
        <c:smooth val="0"/>
        <c:axId val="197838336"/>
        <c:axId val="197836800"/>
      </c:lineChart>
      <c:catAx>
        <c:axId val="197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830912"/>
        <c:crosses val="autoZero"/>
        <c:auto val="1"/>
        <c:lblAlgn val="ctr"/>
        <c:lblOffset val="100"/>
        <c:noMultiLvlLbl val="0"/>
      </c:catAx>
      <c:valAx>
        <c:axId val="197830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829376"/>
        <c:crosses val="autoZero"/>
        <c:crossBetween val="between"/>
      </c:valAx>
      <c:valAx>
        <c:axId val="1978368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838336"/>
        <c:crosses val="max"/>
        <c:crossBetween val="between"/>
      </c:valAx>
      <c:catAx>
        <c:axId val="197838336"/>
        <c:scaling>
          <c:orientation val="minMax"/>
        </c:scaling>
        <c:delete val="1"/>
        <c:axPos val="b"/>
        <c:majorTickMark val="out"/>
        <c:minorTickMark val="none"/>
        <c:tickLblPos val="nextTo"/>
        <c:crossAx val="1978368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'Алмаз-Антей'!$A$3</c:f>
              <c:strCache>
                <c:ptCount val="1"/>
                <c:pt idx="0">
                  <c:v>Выручка</c:v>
                </c:pt>
              </c:strCache>
            </c:strRef>
          </c:tx>
          <c:spPr>
            <a:ln w="28575" cap="rnd">
              <a:solidFill>
                <a:schemeClr val="tx1">
                  <a:lumMod val="50000"/>
                  <a:lumOff val="50000"/>
                </a:schemeClr>
              </a:solidFill>
              <a:round/>
            </a:ln>
            <a:effectLst/>
          </c:spPr>
          <c:marker>
            <c:symbol val="none"/>
          </c:marker>
          <c:cat>
            <c:numRef>
              <c:f>'Алмаз-Антей'!$B$1:$I$1</c:f>
              <c:numCache>
                <c:formatCode>General</c:formatCode>
                <c:ptCount val="8"/>
                <c:pt idx="0">
                  <c:v>2009</c:v>
                </c:pt>
                <c:pt idx="1">
                  <c:v>2010</c:v>
                </c:pt>
                <c:pt idx="2">
                  <c:v>2011</c:v>
                </c:pt>
                <c:pt idx="3">
                  <c:v>2012</c:v>
                </c:pt>
                <c:pt idx="4">
                  <c:v>2013</c:v>
                </c:pt>
                <c:pt idx="5">
                  <c:v>2014</c:v>
                </c:pt>
                <c:pt idx="6">
                  <c:v>2015</c:v>
                </c:pt>
                <c:pt idx="7">
                  <c:v>2016</c:v>
                </c:pt>
              </c:numCache>
            </c:numRef>
          </c:cat>
          <c:val>
            <c:numRef>
              <c:f>'Алмаз-Антей'!$B$3:$I$3</c:f>
              <c:numCache>
                <c:formatCode>#,##0</c:formatCode>
                <c:ptCount val="8"/>
                <c:pt idx="0">
                  <c:v>15889159</c:v>
                </c:pt>
                <c:pt idx="1">
                  <c:v>27176727</c:v>
                </c:pt>
                <c:pt idx="2">
                  <c:v>16499783</c:v>
                </c:pt>
                <c:pt idx="3">
                  <c:v>43069173</c:v>
                </c:pt>
                <c:pt idx="4">
                  <c:v>69727956</c:v>
                </c:pt>
                <c:pt idx="5">
                  <c:v>73296276</c:v>
                </c:pt>
                <c:pt idx="6">
                  <c:v>136515561</c:v>
                </c:pt>
                <c:pt idx="7">
                  <c:v>212439065</c:v>
                </c:pt>
              </c:numCache>
            </c:numRef>
          </c:val>
          <c:smooth val="0"/>
          <c:extLst>
            <c:ext xmlns:c16="http://schemas.microsoft.com/office/drawing/2014/chart" uri="{C3380CC4-5D6E-409C-BE32-E72D297353CC}">
              <c16:uniqueId val="{00000000-523C-4FAB-B18E-935750368C88}"/>
            </c:ext>
          </c:extLst>
        </c:ser>
        <c:dLbls>
          <c:showLegendKey val="0"/>
          <c:showVal val="0"/>
          <c:showCatName val="0"/>
          <c:showSerName val="0"/>
          <c:showPercent val="0"/>
          <c:showBubbleSize val="0"/>
        </c:dLbls>
        <c:marker val="1"/>
        <c:smooth val="0"/>
        <c:axId val="198430080"/>
        <c:axId val="198440064"/>
      </c:lineChart>
      <c:lineChart>
        <c:grouping val="standard"/>
        <c:varyColors val="0"/>
        <c:ser>
          <c:idx val="2"/>
          <c:order val="1"/>
          <c:tx>
            <c:strRef>
              <c:f>'Алмаз-Антей'!$A$4</c:f>
              <c:strCache>
                <c:ptCount val="1"/>
                <c:pt idx="0">
                  <c:v>Чистая прибыль (Убыток)</c:v>
                </c:pt>
              </c:strCache>
            </c:strRef>
          </c:tx>
          <c:spPr>
            <a:ln w="28575" cap="rnd">
              <a:solidFill>
                <a:schemeClr val="tx1"/>
              </a:solidFill>
              <a:round/>
            </a:ln>
            <a:effectLst/>
          </c:spPr>
          <c:marker>
            <c:symbol val="none"/>
          </c:marker>
          <c:cat>
            <c:numRef>
              <c:f>'Алмаз-Антей'!$B$1:$I$1</c:f>
              <c:numCache>
                <c:formatCode>General</c:formatCode>
                <c:ptCount val="8"/>
                <c:pt idx="0">
                  <c:v>2009</c:v>
                </c:pt>
                <c:pt idx="1">
                  <c:v>2010</c:v>
                </c:pt>
                <c:pt idx="2">
                  <c:v>2011</c:v>
                </c:pt>
                <c:pt idx="3">
                  <c:v>2012</c:v>
                </c:pt>
                <c:pt idx="4">
                  <c:v>2013</c:v>
                </c:pt>
                <c:pt idx="5">
                  <c:v>2014</c:v>
                </c:pt>
                <c:pt idx="6">
                  <c:v>2015</c:v>
                </c:pt>
                <c:pt idx="7">
                  <c:v>2016</c:v>
                </c:pt>
              </c:numCache>
            </c:numRef>
          </c:cat>
          <c:val>
            <c:numRef>
              <c:f>'Алмаз-Антей'!$B$4:$I$4</c:f>
              <c:numCache>
                <c:formatCode>#,##0</c:formatCode>
                <c:ptCount val="8"/>
                <c:pt idx="0">
                  <c:v>1181887</c:v>
                </c:pt>
                <c:pt idx="1">
                  <c:v>172917</c:v>
                </c:pt>
                <c:pt idx="2">
                  <c:v>196842</c:v>
                </c:pt>
                <c:pt idx="3">
                  <c:v>203231</c:v>
                </c:pt>
                <c:pt idx="4">
                  <c:v>1628491</c:v>
                </c:pt>
                <c:pt idx="5">
                  <c:v>727791</c:v>
                </c:pt>
                <c:pt idx="6">
                  <c:v>28096834</c:v>
                </c:pt>
                <c:pt idx="7">
                  <c:v>1125313</c:v>
                </c:pt>
              </c:numCache>
            </c:numRef>
          </c:val>
          <c:smooth val="0"/>
          <c:extLst>
            <c:ext xmlns:c16="http://schemas.microsoft.com/office/drawing/2014/chart" uri="{C3380CC4-5D6E-409C-BE32-E72D297353CC}">
              <c16:uniqueId val="{00000001-523C-4FAB-B18E-935750368C88}"/>
            </c:ext>
          </c:extLst>
        </c:ser>
        <c:dLbls>
          <c:showLegendKey val="0"/>
          <c:showVal val="0"/>
          <c:showCatName val="0"/>
          <c:showSerName val="0"/>
          <c:showPercent val="0"/>
          <c:showBubbleSize val="0"/>
        </c:dLbls>
        <c:marker val="1"/>
        <c:smooth val="0"/>
        <c:axId val="198447488"/>
        <c:axId val="198441600"/>
      </c:lineChart>
      <c:catAx>
        <c:axId val="19843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40064"/>
        <c:crosses val="autoZero"/>
        <c:auto val="1"/>
        <c:lblAlgn val="ctr"/>
        <c:lblOffset val="100"/>
        <c:noMultiLvlLbl val="0"/>
      </c:catAx>
      <c:valAx>
        <c:axId val="19844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30080"/>
        <c:crosses val="autoZero"/>
        <c:crossBetween val="between"/>
      </c:valAx>
      <c:valAx>
        <c:axId val="19844160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47488"/>
        <c:crosses val="max"/>
        <c:crossBetween val="between"/>
      </c:valAx>
      <c:catAx>
        <c:axId val="198447488"/>
        <c:scaling>
          <c:orientation val="minMax"/>
        </c:scaling>
        <c:delete val="1"/>
        <c:axPos val="b"/>
        <c:numFmt formatCode="General" sourceLinked="1"/>
        <c:majorTickMark val="out"/>
        <c:minorTickMark val="none"/>
        <c:tickLblPos val="nextTo"/>
        <c:crossAx val="1984416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4"/>
          <c:order val="0"/>
          <c:tx>
            <c:strRef>
              <c:f>'Алмаз-Антей'!$A$6</c:f>
              <c:strCache>
                <c:ptCount val="1"/>
                <c:pt idx="0">
                  <c:v>Рентабельность СК</c:v>
                </c:pt>
              </c:strCache>
            </c:strRef>
          </c:tx>
          <c:spPr>
            <a:ln w="28575" cap="rnd">
              <a:solidFill>
                <a:schemeClr val="tx1"/>
              </a:solidFill>
              <a:round/>
            </a:ln>
            <a:effectLst/>
          </c:spPr>
          <c:marker>
            <c:symbol val="none"/>
          </c:marker>
          <c:cat>
            <c:numRef>
              <c:f>'Алмаз-Антей'!$B$1:$I$1</c:f>
              <c:numCache>
                <c:formatCode>General</c:formatCode>
                <c:ptCount val="8"/>
                <c:pt idx="0">
                  <c:v>2009</c:v>
                </c:pt>
                <c:pt idx="1">
                  <c:v>2010</c:v>
                </c:pt>
                <c:pt idx="2">
                  <c:v>2011</c:v>
                </c:pt>
                <c:pt idx="3">
                  <c:v>2012</c:v>
                </c:pt>
                <c:pt idx="4">
                  <c:v>2013</c:v>
                </c:pt>
                <c:pt idx="5">
                  <c:v>2014</c:v>
                </c:pt>
                <c:pt idx="6">
                  <c:v>2015</c:v>
                </c:pt>
                <c:pt idx="7">
                  <c:v>2016</c:v>
                </c:pt>
              </c:numCache>
            </c:numRef>
          </c:cat>
          <c:val>
            <c:numRef>
              <c:f>'Алмаз-Антей'!$B$6:$I$6</c:f>
              <c:numCache>
                <c:formatCode>0.00%</c:formatCode>
                <c:ptCount val="8"/>
                <c:pt idx="0">
                  <c:v>2.3384148728383149E-2</c:v>
                </c:pt>
                <c:pt idx="1">
                  <c:v>3.1773677818504767E-3</c:v>
                </c:pt>
                <c:pt idx="2">
                  <c:v>3.1240635661439068E-3</c:v>
                </c:pt>
                <c:pt idx="3">
                  <c:v>1.3515372887921647E-2</c:v>
                </c:pt>
                <c:pt idx="4">
                  <c:v>2.0673717325539204E-2</c:v>
                </c:pt>
                <c:pt idx="5">
                  <c:v>9.1453428198275451E-3</c:v>
                </c:pt>
                <c:pt idx="6">
                  <c:v>0.24259662762706061</c:v>
                </c:pt>
                <c:pt idx="7">
                  <c:v>8.7985046858748056E-2</c:v>
                </c:pt>
              </c:numCache>
            </c:numRef>
          </c:val>
          <c:smooth val="0"/>
          <c:extLst>
            <c:ext xmlns:c16="http://schemas.microsoft.com/office/drawing/2014/chart" uri="{C3380CC4-5D6E-409C-BE32-E72D297353CC}">
              <c16:uniqueId val="{00000000-1B32-4ADF-9273-BD32E36B19CF}"/>
            </c:ext>
          </c:extLst>
        </c:ser>
        <c:dLbls>
          <c:showLegendKey val="0"/>
          <c:showVal val="0"/>
          <c:showCatName val="0"/>
          <c:showSerName val="0"/>
          <c:showPercent val="0"/>
          <c:showBubbleSize val="0"/>
        </c:dLbls>
        <c:marker val="1"/>
        <c:smooth val="0"/>
        <c:axId val="198466176"/>
        <c:axId val="198467968"/>
      </c:lineChart>
      <c:lineChart>
        <c:grouping val="standard"/>
        <c:varyColors val="0"/>
        <c:ser>
          <c:idx val="5"/>
          <c:order val="1"/>
          <c:tx>
            <c:strRef>
              <c:f>'Алмаз-Антей'!$A$7</c:f>
              <c:strCache>
                <c:ptCount val="1"/>
                <c:pt idx="0">
                  <c:v>Финансовый леверидж</c:v>
                </c:pt>
              </c:strCache>
            </c:strRef>
          </c:tx>
          <c:spPr>
            <a:ln w="28575" cap="rnd">
              <a:solidFill>
                <a:schemeClr val="tx1">
                  <a:lumMod val="50000"/>
                  <a:lumOff val="50000"/>
                </a:schemeClr>
              </a:solidFill>
              <a:round/>
            </a:ln>
            <a:effectLst/>
          </c:spPr>
          <c:marker>
            <c:symbol val="none"/>
          </c:marker>
          <c:cat>
            <c:numRef>
              <c:f>'Алмаз-Антей'!$B$1:$I$1</c:f>
              <c:numCache>
                <c:formatCode>General</c:formatCode>
                <c:ptCount val="8"/>
                <c:pt idx="0">
                  <c:v>2009</c:v>
                </c:pt>
                <c:pt idx="1">
                  <c:v>2010</c:v>
                </c:pt>
                <c:pt idx="2">
                  <c:v>2011</c:v>
                </c:pt>
                <c:pt idx="3">
                  <c:v>2012</c:v>
                </c:pt>
                <c:pt idx="4">
                  <c:v>2013</c:v>
                </c:pt>
                <c:pt idx="5">
                  <c:v>2014</c:v>
                </c:pt>
                <c:pt idx="6">
                  <c:v>2015</c:v>
                </c:pt>
                <c:pt idx="7">
                  <c:v>2016</c:v>
                </c:pt>
              </c:numCache>
            </c:numRef>
          </c:cat>
          <c:val>
            <c:numRef>
              <c:f>'Алмаз-Антей'!$B$7:$I$7</c:f>
              <c:numCache>
                <c:formatCode>General</c:formatCode>
                <c:ptCount val="8"/>
                <c:pt idx="0">
                  <c:v>3.6522963797263469E-2</c:v>
                </c:pt>
                <c:pt idx="1">
                  <c:v>6.9202532633173289E-2</c:v>
                </c:pt>
                <c:pt idx="2">
                  <c:v>0.16747361035060751</c:v>
                </c:pt>
                <c:pt idx="3">
                  <c:v>4.7342943168612139</c:v>
                </c:pt>
                <c:pt idx="4">
                  <c:v>0.32745267241359832</c:v>
                </c:pt>
                <c:pt idx="5">
                  <c:v>7.6438632803348006E-2</c:v>
                </c:pt>
                <c:pt idx="6">
                  <c:v>0.67822664228016649</c:v>
                </c:pt>
                <c:pt idx="7">
                  <c:v>5.235680624459091</c:v>
                </c:pt>
              </c:numCache>
            </c:numRef>
          </c:val>
          <c:smooth val="0"/>
          <c:extLst>
            <c:ext xmlns:c16="http://schemas.microsoft.com/office/drawing/2014/chart" uri="{C3380CC4-5D6E-409C-BE32-E72D297353CC}">
              <c16:uniqueId val="{00000001-1B32-4ADF-9273-BD32E36B19CF}"/>
            </c:ext>
          </c:extLst>
        </c:ser>
        <c:dLbls>
          <c:showLegendKey val="0"/>
          <c:showVal val="0"/>
          <c:showCatName val="0"/>
          <c:showSerName val="0"/>
          <c:showPercent val="0"/>
          <c:showBubbleSize val="0"/>
        </c:dLbls>
        <c:marker val="1"/>
        <c:smooth val="0"/>
        <c:axId val="198471040"/>
        <c:axId val="198469504"/>
      </c:lineChart>
      <c:catAx>
        <c:axId val="19846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67968"/>
        <c:crosses val="autoZero"/>
        <c:auto val="1"/>
        <c:lblAlgn val="ctr"/>
        <c:lblOffset val="100"/>
        <c:noMultiLvlLbl val="0"/>
      </c:catAx>
      <c:valAx>
        <c:axId val="198467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66176"/>
        <c:crosses val="autoZero"/>
        <c:crossBetween val="between"/>
      </c:valAx>
      <c:valAx>
        <c:axId val="1984695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71040"/>
        <c:crosses val="max"/>
        <c:crossBetween val="between"/>
      </c:valAx>
      <c:catAx>
        <c:axId val="198471040"/>
        <c:scaling>
          <c:orientation val="minMax"/>
        </c:scaling>
        <c:delete val="1"/>
        <c:axPos val="b"/>
        <c:numFmt formatCode="General" sourceLinked="1"/>
        <c:majorTickMark val="out"/>
        <c:minorTickMark val="none"/>
        <c:tickLblPos val="nextTo"/>
        <c:crossAx val="19846950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ОСК!$A$3</c:f>
              <c:strCache>
                <c:ptCount val="1"/>
                <c:pt idx="0">
                  <c:v>Выручка</c:v>
                </c:pt>
              </c:strCache>
            </c:strRef>
          </c:tx>
          <c:spPr>
            <a:ln w="28575" cap="rnd">
              <a:solidFill>
                <a:schemeClr val="tx1">
                  <a:lumMod val="50000"/>
                  <a:lumOff val="50000"/>
                </a:schemeClr>
              </a:solidFill>
              <a:round/>
            </a:ln>
            <a:effectLst/>
          </c:spPr>
          <c:marker>
            <c:symbol val="none"/>
          </c:marker>
          <c:cat>
            <c:numRef>
              <c:f>ОСК!$B$1:$K$1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ОСК!$B$3:$K$3</c:f>
              <c:numCache>
                <c:formatCode>General</c:formatCode>
                <c:ptCount val="10"/>
                <c:pt idx="0">
                  <c:v>104000</c:v>
                </c:pt>
                <c:pt idx="1">
                  <c:v>21243</c:v>
                </c:pt>
                <c:pt idx="2">
                  <c:v>416326</c:v>
                </c:pt>
                <c:pt idx="3">
                  <c:v>187892</c:v>
                </c:pt>
                <c:pt idx="4">
                  <c:v>3975070</c:v>
                </c:pt>
                <c:pt idx="5">
                  <c:v>23161847</c:v>
                </c:pt>
                <c:pt idx="6">
                  <c:v>22663351</c:v>
                </c:pt>
                <c:pt idx="7" formatCode="_(&quot;₽&quot;* #,##0.00_);_(&quot;₽&quot;* \(#,##0.00\);_(&quot;₽&quot;* &quot;-&quot;??_);_(@_)">
                  <c:v>48612553</c:v>
                </c:pt>
                <c:pt idx="8" formatCode="_(&quot;₽&quot;* #,##0.00_);_(&quot;₽&quot;* \(#,##0.00\);_(&quot;₽&quot;* &quot;-&quot;??_);_(@_)">
                  <c:v>44757550</c:v>
                </c:pt>
                <c:pt idx="9">
                  <c:v>61995952</c:v>
                </c:pt>
              </c:numCache>
            </c:numRef>
          </c:val>
          <c:smooth val="0"/>
          <c:extLst>
            <c:ext xmlns:c16="http://schemas.microsoft.com/office/drawing/2014/chart" uri="{C3380CC4-5D6E-409C-BE32-E72D297353CC}">
              <c16:uniqueId val="{00000000-A202-4EBD-BA9A-162479839344}"/>
            </c:ext>
          </c:extLst>
        </c:ser>
        <c:dLbls>
          <c:showLegendKey val="0"/>
          <c:showVal val="0"/>
          <c:showCatName val="0"/>
          <c:showSerName val="0"/>
          <c:showPercent val="0"/>
          <c:showBubbleSize val="0"/>
        </c:dLbls>
        <c:marker val="1"/>
        <c:smooth val="0"/>
        <c:axId val="197743360"/>
        <c:axId val="197744896"/>
      </c:lineChart>
      <c:lineChart>
        <c:grouping val="standard"/>
        <c:varyColors val="0"/>
        <c:ser>
          <c:idx val="1"/>
          <c:order val="1"/>
          <c:tx>
            <c:strRef>
              <c:f>ОСК!$A$4</c:f>
              <c:strCache>
                <c:ptCount val="1"/>
                <c:pt idx="0">
                  <c:v>Чистая прибыль (Убыток)</c:v>
                </c:pt>
              </c:strCache>
            </c:strRef>
          </c:tx>
          <c:spPr>
            <a:ln w="28575" cap="rnd">
              <a:solidFill>
                <a:schemeClr val="tx1"/>
              </a:solidFill>
              <a:round/>
            </a:ln>
            <a:effectLst/>
          </c:spPr>
          <c:marker>
            <c:symbol val="none"/>
          </c:marker>
          <c:cat>
            <c:numRef>
              <c:f>ОСК!$B$1:$K$1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ОСК!$B$4:$K$4</c:f>
              <c:numCache>
                <c:formatCode>General</c:formatCode>
                <c:ptCount val="10"/>
                <c:pt idx="0">
                  <c:v>96152</c:v>
                </c:pt>
                <c:pt idx="1">
                  <c:v>154202</c:v>
                </c:pt>
                <c:pt idx="2">
                  <c:v>779243</c:v>
                </c:pt>
                <c:pt idx="3">
                  <c:v>-635745</c:v>
                </c:pt>
                <c:pt idx="4">
                  <c:v>-391475</c:v>
                </c:pt>
                <c:pt idx="5">
                  <c:v>510420</c:v>
                </c:pt>
                <c:pt idx="6">
                  <c:v>2079766</c:v>
                </c:pt>
                <c:pt idx="7">
                  <c:v>584543</c:v>
                </c:pt>
                <c:pt idx="8">
                  <c:v>207263</c:v>
                </c:pt>
                <c:pt idx="9">
                  <c:v>294567</c:v>
                </c:pt>
              </c:numCache>
            </c:numRef>
          </c:val>
          <c:smooth val="0"/>
          <c:extLst>
            <c:ext xmlns:c16="http://schemas.microsoft.com/office/drawing/2014/chart" uri="{C3380CC4-5D6E-409C-BE32-E72D297353CC}">
              <c16:uniqueId val="{00000001-A202-4EBD-BA9A-162479839344}"/>
            </c:ext>
          </c:extLst>
        </c:ser>
        <c:dLbls>
          <c:showLegendKey val="0"/>
          <c:showVal val="0"/>
          <c:showCatName val="0"/>
          <c:showSerName val="0"/>
          <c:showPercent val="0"/>
          <c:showBubbleSize val="0"/>
        </c:dLbls>
        <c:marker val="1"/>
        <c:smooth val="0"/>
        <c:axId val="197752320"/>
        <c:axId val="197750784"/>
      </c:lineChart>
      <c:catAx>
        <c:axId val="19774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4896"/>
        <c:crosses val="autoZero"/>
        <c:auto val="1"/>
        <c:lblAlgn val="ctr"/>
        <c:lblOffset val="100"/>
        <c:noMultiLvlLbl val="0"/>
      </c:catAx>
      <c:valAx>
        <c:axId val="19774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3360"/>
        <c:crosses val="autoZero"/>
        <c:crossBetween val="between"/>
      </c:valAx>
      <c:valAx>
        <c:axId val="1977507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52320"/>
        <c:crosses val="max"/>
        <c:crossBetween val="between"/>
      </c:valAx>
      <c:catAx>
        <c:axId val="197752320"/>
        <c:scaling>
          <c:orientation val="minMax"/>
        </c:scaling>
        <c:delete val="1"/>
        <c:axPos val="b"/>
        <c:numFmt formatCode="General" sourceLinked="1"/>
        <c:majorTickMark val="out"/>
        <c:minorTickMark val="none"/>
        <c:tickLblPos val="nextTo"/>
        <c:crossAx val="1977507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ОСК!$A$6</c:f>
              <c:strCache>
                <c:ptCount val="1"/>
                <c:pt idx="0">
                  <c:v>Рентабельность СК</c:v>
                </c:pt>
              </c:strCache>
            </c:strRef>
          </c:tx>
          <c:spPr>
            <a:ln w="28575" cap="rnd">
              <a:solidFill>
                <a:schemeClr val="tx1"/>
              </a:solidFill>
              <a:round/>
            </a:ln>
            <a:effectLst/>
          </c:spPr>
          <c:marker>
            <c:symbol val="none"/>
          </c:marker>
          <c:cat>
            <c:numRef>
              <c:f>ОСК!$B$1:$K$1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ОСК!$B$6:$K$6</c:f>
              <c:numCache>
                <c:formatCode>0.00%</c:formatCode>
                <c:ptCount val="10"/>
                <c:pt idx="0">
                  <c:v>8.2091140495172343E-4</c:v>
                </c:pt>
                <c:pt idx="1">
                  <c:v>1.201104353614992E-3</c:v>
                </c:pt>
                <c:pt idx="2">
                  <c:v>5.6982385531578368E-3</c:v>
                </c:pt>
                <c:pt idx="3">
                  <c:v>-4.5704957587981996E-3</c:v>
                </c:pt>
                <c:pt idx="4">
                  <c:v>-4.5833952237740727E-3</c:v>
                </c:pt>
                <c:pt idx="5">
                  <c:v>3.6663745150926634E-3</c:v>
                </c:pt>
                <c:pt idx="6">
                  <c:v>1.2627958227114487E-2</c:v>
                </c:pt>
                <c:pt idx="7">
                  <c:v>3.1931317483745998E-3</c:v>
                </c:pt>
                <c:pt idx="8">
                  <c:v>8.5691048196709135E-4</c:v>
                </c:pt>
                <c:pt idx="9">
                  <c:v>1.1790814199736858E-3</c:v>
                </c:pt>
              </c:numCache>
            </c:numRef>
          </c:val>
          <c:smooth val="0"/>
          <c:extLst>
            <c:ext xmlns:c16="http://schemas.microsoft.com/office/drawing/2014/chart" uri="{C3380CC4-5D6E-409C-BE32-E72D297353CC}">
              <c16:uniqueId val="{00000000-61DA-4106-BBEC-D94C3A0E5DCF}"/>
            </c:ext>
          </c:extLst>
        </c:ser>
        <c:dLbls>
          <c:showLegendKey val="0"/>
          <c:showVal val="0"/>
          <c:showCatName val="0"/>
          <c:showSerName val="0"/>
          <c:showPercent val="0"/>
          <c:showBubbleSize val="0"/>
        </c:dLbls>
        <c:marker val="1"/>
        <c:smooth val="0"/>
        <c:axId val="198381952"/>
        <c:axId val="198383488"/>
      </c:lineChart>
      <c:lineChart>
        <c:grouping val="standard"/>
        <c:varyColors val="0"/>
        <c:ser>
          <c:idx val="1"/>
          <c:order val="1"/>
          <c:tx>
            <c:strRef>
              <c:f>ОСК!$A$7</c:f>
              <c:strCache>
                <c:ptCount val="1"/>
                <c:pt idx="0">
                  <c:v>Финансовый леверидж</c:v>
                </c:pt>
              </c:strCache>
            </c:strRef>
          </c:tx>
          <c:spPr>
            <a:ln w="28575" cap="rnd">
              <a:solidFill>
                <a:schemeClr val="tx1">
                  <a:lumMod val="50000"/>
                  <a:lumOff val="50000"/>
                </a:schemeClr>
              </a:solidFill>
              <a:round/>
            </a:ln>
            <a:effectLst/>
          </c:spPr>
          <c:marker>
            <c:symbol val="none"/>
          </c:marker>
          <c:cat>
            <c:numRef>
              <c:f>ОСК!$B$1:$K$1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ОСК!$B$7:$K$7</c:f>
              <c:numCache>
                <c:formatCode>General</c:formatCode>
                <c:ptCount val="10"/>
                <c:pt idx="0">
                  <c:v>9.9248455233110419E-2</c:v>
                </c:pt>
                <c:pt idx="1">
                  <c:v>8.4656335475342487E-2</c:v>
                </c:pt>
                <c:pt idx="2">
                  <c:v>6.0994157009896736E-2</c:v>
                </c:pt>
                <c:pt idx="3">
                  <c:v>0.15440152591559414</c:v>
                </c:pt>
                <c:pt idx="4">
                  <c:v>0.43126783433294191</c:v>
                </c:pt>
                <c:pt idx="5">
                  <c:v>0.67130063210086655</c:v>
                </c:pt>
                <c:pt idx="6">
                  <c:v>0.64426082460737355</c:v>
                </c:pt>
                <c:pt idx="7">
                  <c:v>1.5650854953442155</c:v>
                </c:pt>
                <c:pt idx="8">
                  <c:v>1.4699457241931102</c:v>
                </c:pt>
                <c:pt idx="9">
                  <c:v>1.969419419191234</c:v>
                </c:pt>
              </c:numCache>
            </c:numRef>
          </c:val>
          <c:smooth val="0"/>
          <c:extLst>
            <c:ext xmlns:c16="http://schemas.microsoft.com/office/drawing/2014/chart" uri="{C3380CC4-5D6E-409C-BE32-E72D297353CC}">
              <c16:uniqueId val="{00000001-61DA-4106-BBEC-D94C3A0E5DCF}"/>
            </c:ext>
          </c:extLst>
        </c:ser>
        <c:dLbls>
          <c:showLegendKey val="0"/>
          <c:showVal val="0"/>
          <c:showCatName val="0"/>
          <c:showSerName val="0"/>
          <c:showPercent val="0"/>
          <c:showBubbleSize val="0"/>
        </c:dLbls>
        <c:marker val="1"/>
        <c:smooth val="0"/>
        <c:axId val="198386816"/>
        <c:axId val="198385024"/>
      </c:lineChart>
      <c:catAx>
        <c:axId val="19838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383488"/>
        <c:crosses val="autoZero"/>
        <c:auto val="1"/>
        <c:lblAlgn val="ctr"/>
        <c:lblOffset val="100"/>
        <c:noMultiLvlLbl val="0"/>
      </c:catAx>
      <c:valAx>
        <c:axId val="198383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381952"/>
        <c:crosses val="autoZero"/>
        <c:crossBetween val="between"/>
      </c:valAx>
      <c:valAx>
        <c:axId val="1983850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386816"/>
        <c:crosses val="max"/>
        <c:crossBetween val="between"/>
      </c:valAx>
      <c:catAx>
        <c:axId val="198386816"/>
        <c:scaling>
          <c:orientation val="minMax"/>
        </c:scaling>
        <c:delete val="1"/>
        <c:axPos val="b"/>
        <c:numFmt formatCode="General" sourceLinked="1"/>
        <c:majorTickMark val="out"/>
        <c:minorTickMark val="none"/>
        <c:tickLblPos val="nextTo"/>
        <c:crossAx val="19838502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2FDC-BB6D-4725-A602-E685D79D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4491</Words>
  <Characters>25599</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c:creator>
  <cp:keywords/>
  <dc:description/>
  <cp:lastModifiedBy>Деньгов Виктор Вениаминович</cp:lastModifiedBy>
  <cp:revision>3</cp:revision>
  <dcterms:created xsi:type="dcterms:W3CDTF">2021-09-12T19:17:00Z</dcterms:created>
  <dcterms:modified xsi:type="dcterms:W3CDTF">2021-09-14T16:31:00Z</dcterms:modified>
</cp:coreProperties>
</file>