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26A72" w14:textId="77777777" w:rsidR="00625BB1" w:rsidRDefault="00CE4656" w:rsidP="00625BB1">
      <w:pPr>
        <w:spacing w:after="0" w:line="240" w:lineRule="auto"/>
        <w:ind w:firstLine="708"/>
        <w:jc w:val="right"/>
        <w:rPr>
          <w:rFonts w:ascii="Times New Roman" w:hAnsi="Times New Roman" w:cs="Times New Roman"/>
          <w:sz w:val="28"/>
          <w:szCs w:val="28"/>
        </w:rPr>
      </w:pPr>
      <w:r w:rsidRPr="00E90CF8">
        <w:rPr>
          <w:rFonts w:ascii="Times New Roman" w:hAnsi="Times New Roman" w:cs="Times New Roman"/>
          <w:b/>
          <w:bCs/>
          <w:sz w:val="28"/>
          <w:szCs w:val="28"/>
        </w:rPr>
        <w:t>СИВКОВА</w:t>
      </w:r>
      <w:r w:rsidR="00625BB1" w:rsidRPr="00E90CF8">
        <w:rPr>
          <w:rFonts w:ascii="Times New Roman" w:hAnsi="Times New Roman" w:cs="Times New Roman"/>
          <w:b/>
          <w:bCs/>
          <w:sz w:val="28"/>
          <w:szCs w:val="28"/>
        </w:rPr>
        <w:t xml:space="preserve"> А</w:t>
      </w:r>
      <w:r w:rsidR="00625BB1">
        <w:rPr>
          <w:rFonts w:ascii="Times New Roman" w:hAnsi="Times New Roman" w:cs="Times New Roman"/>
          <w:b/>
          <w:bCs/>
          <w:sz w:val="28"/>
          <w:szCs w:val="28"/>
        </w:rPr>
        <w:t xml:space="preserve">лина </w:t>
      </w:r>
      <w:r w:rsidR="00625BB1" w:rsidRPr="00E90CF8">
        <w:rPr>
          <w:rFonts w:ascii="Times New Roman" w:hAnsi="Times New Roman" w:cs="Times New Roman"/>
          <w:b/>
          <w:bCs/>
          <w:sz w:val="28"/>
          <w:szCs w:val="28"/>
        </w:rPr>
        <w:t>А</w:t>
      </w:r>
      <w:r w:rsidR="00625BB1">
        <w:rPr>
          <w:rFonts w:ascii="Times New Roman" w:hAnsi="Times New Roman" w:cs="Times New Roman"/>
          <w:b/>
          <w:bCs/>
          <w:sz w:val="28"/>
          <w:szCs w:val="28"/>
        </w:rPr>
        <w:t>ндреевна</w:t>
      </w:r>
      <w:r w:rsidR="00625BB1" w:rsidRPr="00625BB1">
        <w:rPr>
          <w:rFonts w:ascii="Times New Roman" w:hAnsi="Times New Roman" w:cs="Times New Roman"/>
          <w:sz w:val="28"/>
          <w:szCs w:val="28"/>
        </w:rPr>
        <w:t xml:space="preserve"> </w:t>
      </w:r>
    </w:p>
    <w:p w14:paraId="5D4A50BC" w14:textId="77777777" w:rsidR="00625BB1" w:rsidRPr="008C4579" w:rsidRDefault="00625BB1" w:rsidP="00625BB1">
      <w:pPr>
        <w:spacing w:after="0" w:line="240" w:lineRule="auto"/>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б</w:t>
      </w:r>
      <w:r w:rsidRPr="008C4579">
        <w:rPr>
          <w:rFonts w:ascii="Times New Roman" w:hAnsi="Times New Roman" w:cs="Times New Roman"/>
          <w:sz w:val="28"/>
          <w:szCs w:val="28"/>
        </w:rPr>
        <w:t>акалавр</w:t>
      </w:r>
      <w:r>
        <w:rPr>
          <w:rFonts w:ascii="Times New Roman" w:hAnsi="Times New Roman" w:cs="Times New Roman"/>
          <w:sz w:val="28"/>
          <w:szCs w:val="28"/>
        </w:rPr>
        <w:t>иант</w:t>
      </w:r>
      <w:proofErr w:type="spellEnd"/>
      <w:r w:rsidRPr="008C4579">
        <w:rPr>
          <w:rFonts w:ascii="Times New Roman" w:hAnsi="Times New Roman" w:cs="Times New Roman"/>
          <w:sz w:val="28"/>
          <w:szCs w:val="28"/>
        </w:rPr>
        <w:t xml:space="preserve"> </w:t>
      </w:r>
      <w:r>
        <w:rPr>
          <w:rFonts w:ascii="Times New Roman" w:hAnsi="Times New Roman" w:cs="Times New Roman"/>
          <w:sz w:val="28"/>
          <w:szCs w:val="28"/>
        </w:rPr>
        <w:t>образовательной программы «Экономика»</w:t>
      </w:r>
    </w:p>
    <w:p w14:paraId="0708146B" w14:textId="77777777" w:rsidR="00625BB1" w:rsidRDefault="00625BB1" w:rsidP="00625BB1">
      <w:pPr>
        <w:spacing w:after="0" w:line="240" w:lineRule="auto"/>
        <w:ind w:firstLine="708"/>
        <w:jc w:val="right"/>
        <w:rPr>
          <w:rFonts w:ascii="Times New Roman" w:hAnsi="Times New Roman" w:cs="Times New Roman"/>
          <w:sz w:val="28"/>
          <w:szCs w:val="28"/>
        </w:rPr>
      </w:pPr>
      <w:r w:rsidRPr="00061AC0">
        <w:rPr>
          <w:rFonts w:ascii="Times New Roman" w:hAnsi="Times New Roman" w:cs="Times New Roman"/>
          <w:sz w:val="28"/>
          <w:szCs w:val="28"/>
        </w:rPr>
        <w:t>Санкт-Петербургский государственный университет</w:t>
      </w:r>
    </w:p>
    <w:p w14:paraId="5C04085D" w14:textId="0EFEF11C" w:rsidR="00625BB1" w:rsidRDefault="00CE4656" w:rsidP="00657FCA">
      <w:pPr>
        <w:spacing w:after="0" w:line="240" w:lineRule="auto"/>
        <w:jc w:val="right"/>
        <w:rPr>
          <w:rFonts w:ascii="Times New Roman" w:hAnsi="Times New Roman" w:cs="Times New Roman"/>
          <w:bCs/>
          <w:sz w:val="28"/>
          <w:szCs w:val="28"/>
        </w:rPr>
      </w:pPr>
      <w:r w:rsidRPr="00F5145B">
        <w:rPr>
          <w:rFonts w:ascii="Times New Roman" w:hAnsi="Times New Roman" w:cs="Times New Roman"/>
          <w:bCs/>
          <w:sz w:val="28"/>
          <w:szCs w:val="28"/>
          <w:lang w:val="en-US"/>
        </w:rPr>
        <w:t>a</w:t>
      </w:r>
      <w:r w:rsidRPr="00F5145B">
        <w:rPr>
          <w:rFonts w:ascii="Times New Roman" w:hAnsi="Times New Roman" w:cs="Times New Roman"/>
          <w:bCs/>
          <w:sz w:val="28"/>
          <w:szCs w:val="28"/>
        </w:rPr>
        <w:t>1500</w:t>
      </w:r>
      <w:proofErr w:type="spellStart"/>
      <w:r w:rsidRPr="00F5145B">
        <w:rPr>
          <w:rFonts w:ascii="Times New Roman" w:hAnsi="Times New Roman" w:cs="Times New Roman"/>
          <w:bCs/>
          <w:sz w:val="28"/>
          <w:szCs w:val="28"/>
          <w:lang w:val="en-US"/>
        </w:rPr>
        <w:t>lina</w:t>
      </w:r>
      <w:proofErr w:type="spellEnd"/>
      <w:r w:rsidRPr="00F5145B">
        <w:rPr>
          <w:rFonts w:ascii="Times New Roman" w:hAnsi="Times New Roman" w:cs="Times New Roman"/>
          <w:bCs/>
          <w:sz w:val="28"/>
          <w:szCs w:val="28"/>
        </w:rPr>
        <w:t>@</w:t>
      </w:r>
      <w:proofErr w:type="spellStart"/>
      <w:r w:rsidRPr="00F5145B">
        <w:rPr>
          <w:rFonts w:ascii="Times New Roman" w:hAnsi="Times New Roman" w:cs="Times New Roman"/>
          <w:bCs/>
          <w:sz w:val="28"/>
          <w:szCs w:val="28"/>
          <w:lang w:val="en-US"/>
        </w:rPr>
        <w:t>gmail</w:t>
      </w:r>
      <w:proofErr w:type="spellEnd"/>
      <w:r w:rsidRPr="00F5145B">
        <w:rPr>
          <w:rFonts w:ascii="Times New Roman" w:hAnsi="Times New Roman" w:cs="Times New Roman"/>
          <w:bCs/>
          <w:sz w:val="28"/>
          <w:szCs w:val="28"/>
        </w:rPr>
        <w:t>.</w:t>
      </w:r>
      <w:r w:rsidRPr="00F5145B">
        <w:rPr>
          <w:rFonts w:ascii="Times New Roman" w:hAnsi="Times New Roman" w:cs="Times New Roman"/>
          <w:bCs/>
          <w:sz w:val="28"/>
          <w:szCs w:val="28"/>
          <w:lang w:val="en-US"/>
        </w:rPr>
        <w:t>com</w:t>
      </w:r>
    </w:p>
    <w:p w14:paraId="21C1BA2B" w14:textId="77777777" w:rsidR="00CE4656" w:rsidRPr="00D06F09" w:rsidRDefault="00CE4656" w:rsidP="00657FCA">
      <w:pPr>
        <w:spacing w:after="0" w:line="240" w:lineRule="auto"/>
        <w:jc w:val="right"/>
        <w:rPr>
          <w:rStyle w:val="a3"/>
          <w:rFonts w:ascii="Times New Roman" w:hAnsi="Times New Roman" w:cs="Times New Roman"/>
          <w:bCs/>
          <w:sz w:val="28"/>
          <w:szCs w:val="28"/>
        </w:rPr>
      </w:pPr>
    </w:p>
    <w:p w14:paraId="200FCA0E" w14:textId="77777777" w:rsidR="00CE4656" w:rsidRDefault="00CE4656" w:rsidP="00CE4656">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научный руководитель</w:t>
      </w:r>
    </w:p>
    <w:p w14:paraId="18C74B0A" w14:textId="77777777" w:rsidR="00CE4656" w:rsidRPr="002D4EB8" w:rsidDel="00853214" w:rsidRDefault="00CE4656" w:rsidP="00CE4656">
      <w:pPr>
        <w:spacing w:after="0" w:line="240" w:lineRule="auto"/>
        <w:jc w:val="right"/>
        <w:rPr>
          <w:rFonts w:ascii="Times New Roman" w:hAnsi="Times New Roman" w:cs="Times New Roman"/>
          <w:b/>
          <w:bCs/>
          <w:sz w:val="28"/>
          <w:szCs w:val="28"/>
        </w:rPr>
      </w:pPr>
      <w:r w:rsidRPr="729B8D81">
        <w:rPr>
          <w:rFonts w:ascii="Times New Roman" w:hAnsi="Times New Roman" w:cs="Times New Roman"/>
          <w:b/>
          <w:bCs/>
          <w:sz w:val="28"/>
          <w:szCs w:val="28"/>
        </w:rPr>
        <w:t xml:space="preserve">ГЕНЕРАЛОВА Наталья Викторовна </w:t>
      </w:r>
    </w:p>
    <w:p w14:paraId="30966AD7" w14:textId="77777777" w:rsidR="00CE4656" w:rsidRPr="006A08D2" w:rsidRDefault="00CE4656" w:rsidP="00CE4656">
      <w:pPr>
        <w:spacing w:after="0" w:line="240" w:lineRule="auto"/>
        <w:ind w:firstLine="708"/>
        <w:jc w:val="right"/>
        <w:rPr>
          <w:rFonts w:ascii="Times New Roman" w:hAnsi="Times New Roman" w:cs="Times New Roman"/>
          <w:sz w:val="28"/>
          <w:szCs w:val="28"/>
        </w:rPr>
      </w:pPr>
      <w:r>
        <w:rPr>
          <w:rFonts w:ascii="Arial" w:hAnsi="Arial" w:cs="Arial"/>
          <w:color w:val="000000"/>
          <w:shd w:val="clear" w:color="auto" w:fill="FFFFFF"/>
        </w:rPr>
        <w:t>к</w:t>
      </w:r>
      <w:r w:rsidRPr="002D4EB8">
        <w:rPr>
          <w:rFonts w:ascii="Times New Roman" w:hAnsi="Times New Roman" w:cs="Times New Roman"/>
          <w:sz w:val="28"/>
          <w:szCs w:val="28"/>
        </w:rPr>
        <w:t xml:space="preserve">.э.н., </w:t>
      </w:r>
      <w:r w:rsidRPr="002D4EB8" w:rsidDel="00853214">
        <w:rPr>
          <w:rFonts w:ascii="Times New Roman" w:hAnsi="Times New Roman" w:cs="Times New Roman"/>
          <w:sz w:val="28"/>
          <w:szCs w:val="28"/>
        </w:rPr>
        <w:t xml:space="preserve">доцент, </w:t>
      </w:r>
      <w:r w:rsidRPr="002D4EB8">
        <w:rPr>
          <w:rFonts w:ascii="Times New Roman" w:hAnsi="Times New Roman" w:cs="Times New Roman"/>
          <w:sz w:val="28"/>
          <w:szCs w:val="28"/>
        </w:rPr>
        <w:t>доцент кафедры статистики, учета и аудита</w:t>
      </w:r>
      <w:r w:rsidRPr="002D4EB8">
        <w:rPr>
          <w:rFonts w:ascii="Times New Roman" w:hAnsi="Times New Roman" w:cs="Times New Roman"/>
          <w:sz w:val="28"/>
          <w:szCs w:val="28"/>
        </w:rPr>
        <w:br/>
        <w:t>Санкт-Петербургский государственный университет</w:t>
      </w:r>
      <w:r w:rsidRPr="002D4EB8">
        <w:rPr>
          <w:rFonts w:ascii="Times New Roman" w:hAnsi="Times New Roman" w:cs="Times New Roman"/>
          <w:sz w:val="28"/>
          <w:szCs w:val="28"/>
        </w:rPr>
        <w:br/>
      </w:r>
      <w:hyperlink r:id="rId8" w:tgtFrame="_blank" w:history="1">
        <w:r w:rsidRPr="008C4579">
          <w:rPr>
            <w:rFonts w:ascii="Times New Roman" w:hAnsi="Times New Roman" w:cs="Times New Roman"/>
            <w:sz w:val="28"/>
            <w:szCs w:val="28"/>
            <w:lang w:val="en-US"/>
          </w:rPr>
          <w:t>n</w:t>
        </w:r>
        <w:r w:rsidRPr="006A08D2">
          <w:rPr>
            <w:rFonts w:ascii="Times New Roman" w:hAnsi="Times New Roman" w:cs="Times New Roman"/>
            <w:sz w:val="28"/>
            <w:szCs w:val="28"/>
          </w:rPr>
          <w:t>.</w:t>
        </w:r>
        <w:r w:rsidRPr="008C4579">
          <w:rPr>
            <w:rFonts w:ascii="Times New Roman" w:hAnsi="Times New Roman" w:cs="Times New Roman"/>
            <w:sz w:val="28"/>
            <w:szCs w:val="28"/>
            <w:lang w:val="en-US"/>
          </w:rPr>
          <w:t>v</w:t>
        </w:r>
        <w:r w:rsidRPr="006A08D2">
          <w:rPr>
            <w:rFonts w:ascii="Times New Roman" w:hAnsi="Times New Roman" w:cs="Times New Roman"/>
            <w:sz w:val="28"/>
            <w:szCs w:val="28"/>
          </w:rPr>
          <w:t>.</w:t>
        </w:r>
        <w:r w:rsidRPr="008C4579">
          <w:rPr>
            <w:rFonts w:ascii="Times New Roman" w:hAnsi="Times New Roman" w:cs="Times New Roman"/>
            <w:sz w:val="28"/>
            <w:szCs w:val="28"/>
            <w:lang w:val="en-US"/>
          </w:rPr>
          <w:t>generalova</w:t>
        </w:r>
        <w:r w:rsidRPr="006A08D2">
          <w:rPr>
            <w:rFonts w:ascii="Times New Roman" w:hAnsi="Times New Roman" w:cs="Times New Roman"/>
            <w:sz w:val="28"/>
            <w:szCs w:val="28"/>
          </w:rPr>
          <w:t>@</w:t>
        </w:r>
        <w:r w:rsidRPr="008C4579">
          <w:rPr>
            <w:rFonts w:ascii="Times New Roman" w:hAnsi="Times New Roman" w:cs="Times New Roman"/>
            <w:sz w:val="28"/>
            <w:szCs w:val="28"/>
            <w:lang w:val="en-US"/>
          </w:rPr>
          <w:t>spbu</w:t>
        </w:r>
        <w:r w:rsidRPr="006A08D2">
          <w:rPr>
            <w:rFonts w:ascii="Times New Roman" w:hAnsi="Times New Roman" w:cs="Times New Roman"/>
            <w:sz w:val="28"/>
            <w:szCs w:val="28"/>
          </w:rPr>
          <w:t>.</w:t>
        </w:r>
        <w:proofErr w:type="spellStart"/>
        <w:r w:rsidRPr="008C4579">
          <w:rPr>
            <w:rFonts w:ascii="Times New Roman" w:hAnsi="Times New Roman" w:cs="Times New Roman"/>
            <w:sz w:val="28"/>
            <w:szCs w:val="28"/>
            <w:lang w:val="en-US"/>
          </w:rPr>
          <w:t>ru</w:t>
        </w:r>
        <w:proofErr w:type="spellEnd"/>
      </w:hyperlink>
    </w:p>
    <w:p w14:paraId="158D9A64" w14:textId="77777777" w:rsidR="00CE4656" w:rsidRDefault="00CE4656" w:rsidP="00CE4656">
      <w:pPr>
        <w:spacing w:after="0" w:line="240" w:lineRule="auto"/>
        <w:ind w:firstLine="708"/>
        <w:jc w:val="right"/>
        <w:rPr>
          <w:rFonts w:ascii="Times New Roman" w:hAnsi="Times New Roman" w:cs="Times New Roman"/>
          <w:sz w:val="28"/>
          <w:szCs w:val="28"/>
        </w:rPr>
      </w:pPr>
    </w:p>
    <w:p w14:paraId="7468B176" w14:textId="77777777" w:rsidR="00CE4656" w:rsidRPr="00EA392A" w:rsidRDefault="00CE4656" w:rsidP="00CE4656">
      <w:pPr>
        <w:spacing w:after="0" w:line="240" w:lineRule="auto"/>
        <w:jc w:val="right"/>
        <w:rPr>
          <w:rFonts w:ascii="Times New Roman" w:hAnsi="Times New Roman" w:cs="Times New Roman"/>
          <w:b/>
          <w:bCs/>
          <w:sz w:val="28"/>
          <w:szCs w:val="28"/>
          <w:lang w:val="en-US"/>
        </w:rPr>
      </w:pPr>
      <w:proofErr w:type="spellStart"/>
      <w:r w:rsidRPr="00E90CF8">
        <w:rPr>
          <w:rFonts w:ascii="Times New Roman" w:hAnsi="Times New Roman" w:cs="Times New Roman"/>
          <w:b/>
          <w:bCs/>
          <w:sz w:val="28"/>
          <w:szCs w:val="28"/>
          <w:lang w:val="en-US"/>
        </w:rPr>
        <w:t>Sivkova</w:t>
      </w:r>
      <w:proofErr w:type="spellEnd"/>
      <w:r w:rsidRPr="00EA392A">
        <w:rPr>
          <w:rFonts w:ascii="Times New Roman" w:hAnsi="Times New Roman" w:cs="Times New Roman"/>
          <w:b/>
          <w:bCs/>
          <w:sz w:val="28"/>
          <w:szCs w:val="28"/>
          <w:lang w:val="en-US"/>
        </w:rPr>
        <w:t xml:space="preserve"> </w:t>
      </w:r>
      <w:r w:rsidRPr="00E90CF8">
        <w:rPr>
          <w:rFonts w:ascii="Times New Roman" w:hAnsi="Times New Roman" w:cs="Times New Roman"/>
          <w:b/>
          <w:bCs/>
          <w:sz w:val="28"/>
          <w:szCs w:val="28"/>
          <w:lang w:val="en-US"/>
        </w:rPr>
        <w:t>A</w:t>
      </w:r>
      <w:r w:rsidRPr="00EA392A">
        <w:rPr>
          <w:rFonts w:ascii="Times New Roman" w:hAnsi="Times New Roman" w:cs="Times New Roman"/>
          <w:b/>
          <w:bCs/>
          <w:sz w:val="28"/>
          <w:szCs w:val="28"/>
          <w:lang w:val="en-US"/>
        </w:rPr>
        <w:t xml:space="preserve">. </w:t>
      </w:r>
      <w:r w:rsidRPr="00E90CF8">
        <w:rPr>
          <w:rFonts w:ascii="Times New Roman" w:hAnsi="Times New Roman" w:cs="Times New Roman"/>
          <w:b/>
          <w:bCs/>
          <w:sz w:val="28"/>
          <w:szCs w:val="28"/>
          <w:lang w:val="en-US"/>
        </w:rPr>
        <w:t>A</w:t>
      </w:r>
      <w:r w:rsidRPr="00EA392A">
        <w:rPr>
          <w:rFonts w:ascii="Times New Roman" w:hAnsi="Times New Roman" w:cs="Times New Roman"/>
          <w:b/>
          <w:bCs/>
          <w:sz w:val="28"/>
          <w:szCs w:val="28"/>
          <w:lang w:val="en-US"/>
        </w:rPr>
        <w:t>.</w:t>
      </w:r>
    </w:p>
    <w:p w14:paraId="6F6CF27A" w14:textId="77777777" w:rsidR="00CE4656" w:rsidRPr="000E4D98" w:rsidRDefault="00CE4656" w:rsidP="00CE4656">
      <w:pPr>
        <w:spacing w:after="0" w:line="240" w:lineRule="auto"/>
        <w:jc w:val="right"/>
        <w:rPr>
          <w:rFonts w:ascii="Times New Roman" w:hAnsi="Times New Roman" w:cs="Times New Roman"/>
          <w:bCs/>
          <w:sz w:val="28"/>
          <w:szCs w:val="28"/>
          <w:lang w:val="en-US"/>
        </w:rPr>
      </w:pPr>
      <w:r w:rsidRPr="00E90CF8">
        <w:rPr>
          <w:rFonts w:ascii="Times New Roman" w:hAnsi="Times New Roman" w:cs="Times New Roman"/>
          <w:bCs/>
          <w:sz w:val="28"/>
          <w:szCs w:val="28"/>
          <w:lang w:val="en-US"/>
        </w:rPr>
        <w:t>St</w:t>
      </w:r>
      <w:r w:rsidRPr="00EA392A">
        <w:rPr>
          <w:rFonts w:ascii="Times New Roman" w:hAnsi="Times New Roman" w:cs="Times New Roman"/>
          <w:bCs/>
          <w:sz w:val="28"/>
          <w:szCs w:val="28"/>
          <w:lang w:val="en-US"/>
        </w:rPr>
        <w:t xml:space="preserve">. </w:t>
      </w:r>
      <w:r w:rsidRPr="00E90CF8">
        <w:rPr>
          <w:rFonts w:ascii="Times New Roman" w:hAnsi="Times New Roman" w:cs="Times New Roman"/>
          <w:bCs/>
          <w:sz w:val="28"/>
          <w:szCs w:val="28"/>
          <w:lang w:val="en-US"/>
        </w:rPr>
        <w:t>Petersburg</w:t>
      </w:r>
      <w:r w:rsidRPr="00EA392A">
        <w:rPr>
          <w:rFonts w:ascii="Times New Roman" w:hAnsi="Times New Roman" w:cs="Times New Roman"/>
          <w:bCs/>
          <w:sz w:val="28"/>
          <w:szCs w:val="28"/>
          <w:lang w:val="en-US"/>
        </w:rPr>
        <w:t xml:space="preserve"> </w:t>
      </w:r>
      <w:r w:rsidRPr="00E90CF8">
        <w:rPr>
          <w:rFonts w:ascii="Times New Roman" w:hAnsi="Times New Roman" w:cs="Times New Roman"/>
          <w:bCs/>
          <w:sz w:val="28"/>
          <w:szCs w:val="28"/>
          <w:lang w:val="en-US"/>
        </w:rPr>
        <w:t>State</w:t>
      </w:r>
      <w:r w:rsidRPr="00EA392A">
        <w:rPr>
          <w:rFonts w:ascii="Times New Roman" w:hAnsi="Times New Roman" w:cs="Times New Roman"/>
          <w:bCs/>
          <w:sz w:val="28"/>
          <w:szCs w:val="28"/>
          <w:lang w:val="en-US"/>
        </w:rPr>
        <w:t xml:space="preserve"> </w:t>
      </w:r>
      <w:r w:rsidRPr="00E90CF8">
        <w:rPr>
          <w:rFonts w:ascii="Times New Roman" w:hAnsi="Times New Roman" w:cs="Times New Roman"/>
          <w:bCs/>
          <w:sz w:val="28"/>
          <w:szCs w:val="28"/>
          <w:lang w:val="en-US"/>
        </w:rPr>
        <w:t>University</w:t>
      </w:r>
    </w:p>
    <w:p w14:paraId="419F20D7" w14:textId="77777777" w:rsidR="00CE4656" w:rsidRPr="000E4D98" w:rsidRDefault="00CE4656" w:rsidP="00CE4656">
      <w:pPr>
        <w:spacing w:after="0" w:line="240" w:lineRule="auto"/>
        <w:ind w:firstLine="708"/>
        <w:jc w:val="right"/>
        <w:rPr>
          <w:rFonts w:ascii="Times New Roman" w:hAnsi="Times New Roman" w:cs="Times New Roman"/>
          <w:sz w:val="28"/>
          <w:szCs w:val="28"/>
          <w:lang w:val="en-US"/>
        </w:rPr>
      </w:pPr>
      <w:r w:rsidRPr="008C4579">
        <w:rPr>
          <w:rFonts w:ascii="Times New Roman" w:hAnsi="Times New Roman" w:cs="Times New Roman"/>
          <w:sz w:val="28"/>
          <w:szCs w:val="28"/>
          <w:lang w:val="en-US"/>
        </w:rPr>
        <w:t>Bachelor of the educational program "Economics"</w:t>
      </w:r>
    </w:p>
    <w:p w14:paraId="10BBAEF3" w14:textId="77777777" w:rsidR="00CE4656" w:rsidRPr="00D06F09" w:rsidRDefault="00CE4656" w:rsidP="00CE4656">
      <w:pPr>
        <w:spacing w:after="0" w:line="240" w:lineRule="auto"/>
        <w:ind w:firstLine="708"/>
        <w:jc w:val="right"/>
        <w:rPr>
          <w:rFonts w:ascii="Times New Roman" w:hAnsi="Times New Roman" w:cs="Times New Roman"/>
          <w:sz w:val="28"/>
          <w:szCs w:val="28"/>
          <w:lang w:val="en-US"/>
        </w:rPr>
      </w:pPr>
      <w:r w:rsidRPr="008E7524">
        <w:rPr>
          <w:rFonts w:ascii="Times New Roman" w:hAnsi="Times New Roman" w:cs="Times New Roman"/>
          <w:sz w:val="28"/>
          <w:szCs w:val="28"/>
          <w:lang w:val="en-US"/>
        </w:rPr>
        <w:t>Saint</w:t>
      </w:r>
      <w:r w:rsidRPr="00D06F09">
        <w:rPr>
          <w:rFonts w:ascii="Times New Roman" w:hAnsi="Times New Roman" w:cs="Times New Roman"/>
          <w:sz w:val="28"/>
          <w:szCs w:val="28"/>
          <w:lang w:val="en-US"/>
        </w:rPr>
        <w:t xml:space="preserve"> </w:t>
      </w:r>
      <w:r w:rsidRPr="008E7524">
        <w:rPr>
          <w:rFonts w:ascii="Times New Roman" w:hAnsi="Times New Roman" w:cs="Times New Roman"/>
          <w:sz w:val="28"/>
          <w:szCs w:val="28"/>
          <w:lang w:val="en-US"/>
        </w:rPr>
        <w:t>Petersburg</w:t>
      </w:r>
      <w:r w:rsidRPr="00D06F09">
        <w:rPr>
          <w:rFonts w:ascii="Times New Roman" w:hAnsi="Times New Roman" w:cs="Times New Roman"/>
          <w:sz w:val="28"/>
          <w:szCs w:val="28"/>
          <w:lang w:val="en-US"/>
        </w:rPr>
        <w:t xml:space="preserve">, </w:t>
      </w:r>
      <w:r w:rsidRPr="008E7524">
        <w:rPr>
          <w:rFonts w:ascii="Times New Roman" w:hAnsi="Times New Roman" w:cs="Times New Roman"/>
          <w:sz w:val="28"/>
          <w:szCs w:val="28"/>
          <w:lang w:val="en-US"/>
        </w:rPr>
        <w:t>Russia</w:t>
      </w:r>
    </w:p>
    <w:p w14:paraId="0B3367C3" w14:textId="77777777" w:rsidR="00625BB1" w:rsidRPr="00D06F09" w:rsidRDefault="00625BB1" w:rsidP="00657FCA">
      <w:pPr>
        <w:spacing w:after="0" w:line="240" w:lineRule="auto"/>
        <w:jc w:val="right"/>
        <w:rPr>
          <w:rFonts w:ascii="Times New Roman" w:hAnsi="Times New Roman" w:cs="Times New Roman"/>
          <w:b/>
          <w:bCs/>
          <w:sz w:val="28"/>
          <w:szCs w:val="28"/>
          <w:lang w:val="en-US"/>
        </w:rPr>
      </w:pPr>
    </w:p>
    <w:p w14:paraId="4E206241" w14:textId="77777777" w:rsidR="00CE4656" w:rsidRPr="00D06F09" w:rsidRDefault="00CE4656" w:rsidP="00CE4656">
      <w:pPr>
        <w:spacing w:after="0" w:line="240" w:lineRule="auto"/>
        <w:ind w:firstLine="708"/>
        <w:jc w:val="right"/>
        <w:rPr>
          <w:rFonts w:ascii="Times New Roman" w:hAnsi="Times New Roman" w:cs="Times New Roman"/>
          <w:b/>
          <w:sz w:val="28"/>
          <w:szCs w:val="28"/>
          <w:lang w:val="en-US"/>
        </w:rPr>
      </w:pPr>
      <w:r w:rsidRPr="00D06F09">
        <w:rPr>
          <w:rFonts w:ascii="Times New Roman" w:hAnsi="Times New Roman" w:cs="Times New Roman"/>
          <w:b/>
          <w:sz w:val="28"/>
          <w:szCs w:val="28"/>
          <w:lang w:val="en-US"/>
        </w:rPr>
        <w:t>Scientific supervisor</w:t>
      </w:r>
    </w:p>
    <w:p w14:paraId="4B663D37" w14:textId="77777777" w:rsidR="00CE4656" w:rsidRPr="008E7524" w:rsidRDefault="00CE4656" w:rsidP="00CE4656">
      <w:pPr>
        <w:spacing w:after="0" w:line="240" w:lineRule="auto"/>
        <w:ind w:firstLine="708"/>
        <w:jc w:val="right"/>
        <w:rPr>
          <w:rFonts w:ascii="Times New Roman" w:hAnsi="Times New Roman" w:cs="Times New Roman"/>
          <w:b/>
          <w:sz w:val="28"/>
          <w:szCs w:val="28"/>
          <w:lang w:val="en-US"/>
        </w:rPr>
      </w:pPr>
      <w:proofErr w:type="spellStart"/>
      <w:r w:rsidRPr="008E7524">
        <w:rPr>
          <w:rFonts w:ascii="Times New Roman" w:hAnsi="Times New Roman" w:cs="Times New Roman"/>
          <w:b/>
          <w:sz w:val="28"/>
          <w:szCs w:val="28"/>
          <w:lang w:val="en-US"/>
        </w:rPr>
        <w:t>Generalova</w:t>
      </w:r>
      <w:proofErr w:type="spellEnd"/>
      <w:r w:rsidRPr="008E7524">
        <w:rPr>
          <w:rFonts w:ascii="Times New Roman" w:hAnsi="Times New Roman" w:cs="Times New Roman"/>
          <w:b/>
          <w:sz w:val="28"/>
          <w:szCs w:val="28"/>
          <w:lang w:val="en-US"/>
        </w:rPr>
        <w:t xml:space="preserve"> Natalia V.</w:t>
      </w:r>
    </w:p>
    <w:p w14:paraId="2C474C83" w14:textId="77777777" w:rsidR="00CE4656" w:rsidRPr="008C4579" w:rsidRDefault="00CE4656" w:rsidP="00CE4656">
      <w:pPr>
        <w:spacing w:after="0" w:line="240" w:lineRule="auto"/>
        <w:ind w:firstLine="708"/>
        <w:jc w:val="right"/>
        <w:rPr>
          <w:rFonts w:ascii="Times New Roman" w:hAnsi="Times New Roman" w:cs="Times New Roman"/>
          <w:sz w:val="28"/>
          <w:szCs w:val="28"/>
          <w:lang w:val="en-US"/>
        </w:rPr>
      </w:pPr>
      <w:r w:rsidRPr="004E7978">
        <w:rPr>
          <w:rFonts w:ascii="Times New Roman" w:hAnsi="Times New Roman" w:cs="Times New Roman"/>
          <w:sz w:val="28"/>
          <w:szCs w:val="28"/>
          <w:lang w:val="en-US"/>
        </w:rPr>
        <w:t>PhD in Economics, Associate Professor</w:t>
      </w:r>
    </w:p>
    <w:p w14:paraId="464EF5C9" w14:textId="77777777" w:rsidR="00CE4656" w:rsidRPr="008C4579" w:rsidRDefault="00CE4656" w:rsidP="00CE4656">
      <w:pPr>
        <w:spacing w:after="0" w:line="240" w:lineRule="auto"/>
        <w:ind w:firstLine="708"/>
        <w:jc w:val="right"/>
        <w:rPr>
          <w:rFonts w:ascii="Times New Roman" w:hAnsi="Times New Roman" w:cs="Times New Roman"/>
          <w:sz w:val="28"/>
          <w:szCs w:val="28"/>
          <w:lang w:val="en-US"/>
        </w:rPr>
      </w:pPr>
      <w:r w:rsidRPr="008C4579">
        <w:rPr>
          <w:rFonts w:ascii="Times New Roman" w:hAnsi="Times New Roman" w:cs="Times New Roman"/>
          <w:sz w:val="28"/>
          <w:szCs w:val="28"/>
          <w:lang w:val="en-US"/>
        </w:rPr>
        <w:t>Department of Statistics, Accounting and Auditing University</w:t>
      </w:r>
    </w:p>
    <w:p w14:paraId="5E3802B3" w14:textId="77777777" w:rsidR="00CE4656" w:rsidRPr="002D2A3F" w:rsidRDefault="00CE4656" w:rsidP="00CE4656">
      <w:pPr>
        <w:spacing w:after="0" w:line="240" w:lineRule="auto"/>
        <w:ind w:firstLine="708"/>
        <w:jc w:val="right"/>
        <w:rPr>
          <w:rFonts w:ascii="Times New Roman" w:hAnsi="Times New Roman" w:cs="Times New Roman"/>
          <w:sz w:val="28"/>
          <w:szCs w:val="28"/>
          <w:lang w:val="en-US"/>
        </w:rPr>
      </w:pPr>
      <w:r w:rsidRPr="008E7524">
        <w:rPr>
          <w:rFonts w:ascii="Times New Roman" w:hAnsi="Times New Roman" w:cs="Times New Roman"/>
          <w:sz w:val="28"/>
          <w:szCs w:val="28"/>
          <w:lang w:val="en-US"/>
        </w:rPr>
        <w:t>Saint</w:t>
      </w:r>
      <w:r w:rsidRPr="002D2A3F">
        <w:rPr>
          <w:rFonts w:ascii="Times New Roman" w:hAnsi="Times New Roman" w:cs="Times New Roman"/>
          <w:sz w:val="28"/>
          <w:szCs w:val="28"/>
          <w:lang w:val="en-US"/>
        </w:rPr>
        <w:t xml:space="preserve"> </w:t>
      </w:r>
      <w:r w:rsidRPr="008E7524">
        <w:rPr>
          <w:rFonts w:ascii="Times New Roman" w:hAnsi="Times New Roman" w:cs="Times New Roman"/>
          <w:sz w:val="28"/>
          <w:szCs w:val="28"/>
          <w:lang w:val="en-US"/>
        </w:rPr>
        <w:t>Petersburg</w:t>
      </w:r>
      <w:r w:rsidRPr="002D2A3F">
        <w:rPr>
          <w:rFonts w:ascii="Times New Roman" w:hAnsi="Times New Roman" w:cs="Times New Roman"/>
          <w:sz w:val="28"/>
          <w:szCs w:val="28"/>
          <w:lang w:val="en-US"/>
        </w:rPr>
        <w:t xml:space="preserve"> </w:t>
      </w:r>
      <w:r w:rsidRPr="008E7524">
        <w:rPr>
          <w:rFonts w:ascii="Times New Roman" w:hAnsi="Times New Roman" w:cs="Times New Roman"/>
          <w:sz w:val="28"/>
          <w:szCs w:val="28"/>
          <w:lang w:val="en-US"/>
        </w:rPr>
        <w:t>State</w:t>
      </w:r>
      <w:r w:rsidRPr="002D2A3F">
        <w:rPr>
          <w:rFonts w:ascii="Times New Roman" w:hAnsi="Times New Roman" w:cs="Times New Roman"/>
          <w:sz w:val="28"/>
          <w:szCs w:val="28"/>
          <w:lang w:val="en-US"/>
        </w:rPr>
        <w:t xml:space="preserve"> </w:t>
      </w:r>
      <w:r w:rsidRPr="008E7524">
        <w:rPr>
          <w:rFonts w:ascii="Times New Roman" w:hAnsi="Times New Roman" w:cs="Times New Roman"/>
          <w:sz w:val="28"/>
          <w:szCs w:val="28"/>
          <w:lang w:val="en-US"/>
        </w:rPr>
        <w:t>University</w:t>
      </w:r>
    </w:p>
    <w:p w14:paraId="25CC6F56" w14:textId="77777777" w:rsidR="00CE4656" w:rsidRPr="002D2A3F" w:rsidRDefault="006C0C83" w:rsidP="00CE4656">
      <w:pPr>
        <w:spacing w:after="0" w:line="240" w:lineRule="auto"/>
        <w:ind w:firstLine="708"/>
        <w:jc w:val="right"/>
        <w:rPr>
          <w:rFonts w:ascii="Times New Roman" w:hAnsi="Times New Roman" w:cs="Times New Roman"/>
          <w:sz w:val="28"/>
          <w:szCs w:val="28"/>
          <w:lang w:val="en-US"/>
        </w:rPr>
      </w:pPr>
      <w:hyperlink r:id="rId9" w:history="1">
        <w:r w:rsidR="00CE4656" w:rsidRPr="008E7524">
          <w:rPr>
            <w:rFonts w:ascii="Times New Roman" w:hAnsi="Times New Roman" w:cs="Times New Roman"/>
            <w:sz w:val="28"/>
            <w:szCs w:val="28"/>
            <w:lang w:val="en-US"/>
          </w:rPr>
          <w:t>n</w:t>
        </w:r>
        <w:r w:rsidR="00CE4656" w:rsidRPr="002D2A3F">
          <w:rPr>
            <w:rFonts w:ascii="Times New Roman" w:hAnsi="Times New Roman" w:cs="Times New Roman"/>
            <w:sz w:val="28"/>
            <w:szCs w:val="28"/>
            <w:lang w:val="en-US"/>
          </w:rPr>
          <w:t>.</w:t>
        </w:r>
        <w:r w:rsidR="00CE4656" w:rsidRPr="008E7524">
          <w:rPr>
            <w:rFonts w:ascii="Times New Roman" w:hAnsi="Times New Roman" w:cs="Times New Roman"/>
            <w:sz w:val="28"/>
            <w:szCs w:val="28"/>
            <w:lang w:val="en-US"/>
          </w:rPr>
          <w:t>v</w:t>
        </w:r>
        <w:r w:rsidR="00CE4656" w:rsidRPr="002D2A3F">
          <w:rPr>
            <w:rFonts w:ascii="Times New Roman" w:hAnsi="Times New Roman" w:cs="Times New Roman"/>
            <w:sz w:val="28"/>
            <w:szCs w:val="28"/>
            <w:lang w:val="en-US"/>
          </w:rPr>
          <w:t>.</w:t>
        </w:r>
        <w:r w:rsidR="00CE4656" w:rsidRPr="008E7524">
          <w:rPr>
            <w:rFonts w:ascii="Times New Roman" w:hAnsi="Times New Roman" w:cs="Times New Roman"/>
            <w:sz w:val="28"/>
            <w:szCs w:val="28"/>
            <w:lang w:val="en-US"/>
          </w:rPr>
          <w:t>generalova</w:t>
        </w:r>
        <w:r w:rsidR="00CE4656" w:rsidRPr="002D2A3F">
          <w:rPr>
            <w:rFonts w:ascii="Times New Roman" w:hAnsi="Times New Roman" w:cs="Times New Roman"/>
            <w:sz w:val="28"/>
            <w:szCs w:val="28"/>
            <w:lang w:val="en-US"/>
          </w:rPr>
          <w:t>@</w:t>
        </w:r>
        <w:r w:rsidR="00CE4656" w:rsidRPr="008E7524">
          <w:rPr>
            <w:rFonts w:ascii="Times New Roman" w:hAnsi="Times New Roman" w:cs="Times New Roman"/>
            <w:sz w:val="28"/>
            <w:szCs w:val="28"/>
            <w:lang w:val="en-US"/>
          </w:rPr>
          <w:t>spbu</w:t>
        </w:r>
        <w:r w:rsidR="00CE4656" w:rsidRPr="002D2A3F">
          <w:rPr>
            <w:rFonts w:ascii="Times New Roman" w:hAnsi="Times New Roman" w:cs="Times New Roman"/>
            <w:sz w:val="28"/>
            <w:szCs w:val="28"/>
            <w:lang w:val="en-US"/>
          </w:rPr>
          <w:t>.</w:t>
        </w:r>
        <w:r w:rsidR="00CE4656" w:rsidRPr="008E7524">
          <w:rPr>
            <w:rFonts w:ascii="Times New Roman" w:hAnsi="Times New Roman" w:cs="Times New Roman"/>
            <w:sz w:val="28"/>
            <w:szCs w:val="28"/>
            <w:lang w:val="en-US"/>
          </w:rPr>
          <w:t>ru</w:t>
        </w:r>
      </w:hyperlink>
    </w:p>
    <w:p w14:paraId="1DDC4562" w14:textId="77777777" w:rsidR="00543870" w:rsidRPr="002D2A3F" w:rsidRDefault="00543870" w:rsidP="00657FCA">
      <w:pPr>
        <w:spacing w:after="0" w:line="240" w:lineRule="auto"/>
        <w:jc w:val="right"/>
        <w:rPr>
          <w:rFonts w:ascii="Times New Roman" w:hAnsi="Times New Roman" w:cs="Times New Roman"/>
          <w:b/>
          <w:bCs/>
          <w:sz w:val="28"/>
          <w:szCs w:val="28"/>
          <w:lang w:val="en-US"/>
        </w:rPr>
      </w:pPr>
    </w:p>
    <w:p w14:paraId="53637049" w14:textId="77777777" w:rsidR="00625BB1" w:rsidRPr="002D2A3F" w:rsidRDefault="00625BB1" w:rsidP="00625BB1">
      <w:pPr>
        <w:spacing w:after="0" w:line="240" w:lineRule="auto"/>
        <w:ind w:firstLine="708"/>
        <w:jc w:val="right"/>
        <w:rPr>
          <w:rFonts w:ascii="Times New Roman" w:hAnsi="Times New Roman" w:cs="Times New Roman"/>
          <w:sz w:val="28"/>
          <w:szCs w:val="28"/>
          <w:lang w:val="en-US"/>
        </w:rPr>
      </w:pPr>
    </w:p>
    <w:p w14:paraId="28D795C9" w14:textId="77777777" w:rsidR="00543870" w:rsidRPr="002D2A3F" w:rsidRDefault="00543870" w:rsidP="00543870">
      <w:pPr>
        <w:spacing w:afterLines="160" w:after="384" w:line="240" w:lineRule="auto"/>
        <w:jc w:val="right"/>
        <w:rPr>
          <w:rFonts w:ascii="Times New Roman" w:hAnsi="Times New Roman" w:cs="Times New Roman"/>
          <w:bCs/>
          <w:sz w:val="28"/>
          <w:szCs w:val="28"/>
          <w:lang w:val="en-US"/>
        </w:rPr>
      </w:pPr>
    </w:p>
    <w:p w14:paraId="7199FDC2" w14:textId="65B9C407" w:rsidR="00881CEC" w:rsidRPr="000E4D98" w:rsidRDefault="00881CEC" w:rsidP="00364DC5">
      <w:pPr>
        <w:spacing w:line="240" w:lineRule="auto"/>
        <w:jc w:val="both"/>
        <w:rPr>
          <w:rFonts w:ascii="Times New Roman" w:hAnsi="Times New Roman" w:cs="Times New Roman"/>
          <w:b/>
          <w:sz w:val="28"/>
          <w:szCs w:val="28"/>
        </w:rPr>
      </w:pPr>
      <w:r w:rsidRPr="000E4D98">
        <w:rPr>
          <w:rFonts w:ascii="Times New Roman" w:hAnsi="Times New Roman" w:cs="Times New Roman"/>
          <w:b/>
          <w:sz w:val="28"/>
          <w:szCs w:val="28"/>
        </w:rPr>
        <w:t xml:space="preserve">Создание Совета по международным стандартам </w:t>
      </w:r>
      <w:r w:rsidR="00625BB1">
        <w:rPr>
          <w:rFonts w:ascii="Times New Roman" w:hAnsi="Times New Roman" w:cs="Times New Roman"/>
          <w:b/>
          <w:sz w:val="28"/>
          <w:szCs w:val="28"/>
        </w:rPr>
        <w:t xml:space="preserve">отчетности </w:t>
      </w:r>
      <w:r w:rsidRPr="000E4D98">
        <w:rPr>
          <w:rFonts w:ascii="Times New Roman" w:hAnsi="Times New Roman" w:cs="Times New Roman"/>
          <w:b/>
          <w:sz w:val="28"/>
          <w:szCs w:val="28"/>
        </w:rPr>
        <w:t>устойчиво</w:t>
      </w:r>
      <w:r w:rsidR="00625BB1">
        <w:rPr>
          <w:rFonts w:ascii="Times New Roman" w:hAnsi="Times New Roman" w:cs="Times New Roman"/>
          <w:b/>
          <w:sz w:val="28"/>
          <w:szCs w:val="28"/>
        </w:rPr>
        <w:t xml:space="preserve">го развития </w:t>
      </w:r>
      <w:r w:rsidRPr="000E4D98">
        <w:rPr>
          <w:rFonts w:ascii="Times New Roman" w:hAnsi="Times New Roman" w:cs="Times New Roman"/>
          <w:b/>
          <w:sz w:val="28"/>
          <w:szCs w:val="28"/>
        </w:rPr>
        <w:t>(ISSB)</w:t>
      </w:r>
      <w:r w:rsidR="008C3095" w:rsidRPr="000E4D98">
        <w:rPr>
          <w:rFonts w:ascii="Times New Roman" w:hAnsi="Times New Roman" w:cs="Times New Roman"/>
          <w:b/>
          <w:sz w:val="28"/>
          <w:szCs w:val="28"/>
        </w:rPr>
        <w:t xml:space="preserve">: </w:t>
      </w:r>
      <w:r w:rsidR="00157FBA">
        <w:rPr>
          <w:rFonts w:ascii="Times New Roman" w:hAnsi="Times New Roman" w:cs="Times New Roman"/>
          <w:b/>
          <w:sz w:val="28"/>
          <w:szCs w:val="28"/>
        </w:rPr>
        <w:t xml:space="preserve">шанс для гармонизации </w:t>
      </w:r>
      <w:r w:rsidR="008C3095" w:rsidRPr="000E4D98">
        <w:rPr>
          <w:rFonts w:ascii="Times New Roman" w:hAnsi="Times New Roman" w:cs="Times New Roman"/>
          <w:b/>
          <w:sz w:val="28"/>
          <w:szCs w:val="28"/>
        </w:rPr>
        <w:t>финансовой и</w:t>
      </w:r>
      <w:r w:rsidR="00872528" w:rsidRPr="000E4D98">
        <w:rPr>
          <w:rFonts w:ascii="Times New Roman" w:hAnsi="Times New Roman" w:cs="Times New Roman"/>
          <w:b/>
          <w:sz w:val="28"/>
          <w:szCs w:val="28"/>
        </w:rPr>
        <w:t xml:space="preserve"> нефинансовой отчетности</w:t>
      </w:r>
      <w:r w:rsidR="008C3095" w:rsidRPr="000E4D98">
        <w:rPr>
          <w:rFonts w:ascii="Times New Roman" w:hAnsi="Times New Roman" w:cs="Times New Roman"/>
          <w:b/>
          <w:sz w:val="28"/>
          <w:szCs w:val="28"/>
        </w:rPr>
        <w:t xml:space="preserve"> </w:t>
      </w:r>
    </w:p>
    <w:p w14:paraId="3BA8EF17" w14:textId="77777777" w:rsidR="00364DC5" w:rsidRPr="00BE1D87" w:rsidRDefault="00364DC5" w:rsidP="00543870">
      <w:pPr>
        <w:spacing w:after="0" w:line="240" w:lineRule="auto"/>
        <w:jc w:val="both"/>
        <w:rPr>
          <w:rFonts w:ascii="Times New Roman" w:hAnsi="Times New Roman" w:cs="Times New Roman"/>
          <w:b/>
          <w:bCs/>
          <w:sz w:val="20"/>
          <w:szCs w:val="20"/>
        </w:rPr>
      </w:pPr>
    </w:p>
    <w:p w14:paraId="5AE929AF" w14:textId="5C0151E8" w:rsidR="00543870" w:rsidRPr="00D06F09" w:rsidRDefault="00543870" w:rsidP="00D06F09">
      <w:pPr>
        <w:spacing w:after="0" w:line="360" w:lineRule="auto"/>
        <w:jc w:val="both"/>
        <w:rPr>
          <w:rFonts w:ascii="Times New Roman" w:hAnsi="Times New Roman" w:cs="Times New Roman"/>
          <w:bCs/>
          <w:color w:val="FF0000"/>
          <w:sz w:val="24"/>
          <w:szCs w:val="24"/>
        </w:rPr>
      </w:pPr>
      <w:r w:rsidRPr="00D06F09">
        <w:rPr>
          <w:rFonts w:ascii="Times New Roman" w:hAnsi="Times New Roman" w:cs="Times New Roman"/>
          <w:b/>
          <w:bCs/>
          <w:sz w:val="24"/>
          <w:szCs w:val="24"/>
        </w:rPr>
        <w:t xml:space="preserve">Аннотация. </w:t>
      </w:r>
      <w:r w:rsidRPr="00D06F09">
        <w:rPr>
          <w:rFonts w:ascii="Times New Roman" w:hAnsi="Times New Roman" w:cs="Times New Roman"/>
          <w:sz w:val="24"/>
          <w:szCs w:val="24"/>
        </w:rPr>
        <w:t>Ст</w:t>
      </w:r>
      <w:r w:rsidR="00527E3C" w:rsidRPr="00D06F09">
        <w:rPr>
          <w:rFonts w:ascii="Times New Roman" w:hAnsi="Times New Roman" w:cs="Times New Roman"/>
          <w:sz w:val="24"/>
          <w:szCs w:val="24"/>
        </w:rPr>
        <w:t>атья</w:t>
      </w:r>
      <w:r w:rsidR="00527E3C" w:rsidRPr="00D06F09">
        <w:rPr>
          <w:rFonts w:ascii="Times New Roman" w:hAnsi="Times New Roman" w:cs="Times New Roman"/>
          <w:bCs/>
          <w:sz w:val="24"/>
          <w:szCs w:val="24"/>
        </w:rPr>
        <w:t xml:space="preserve"> посвящена </w:t>
      </w:r>
      <w:r w:rsidR="00527E3C" w:rsidRPr="00D06F09">
        <w:rPr>
          <w:rFonts w:ascii="Times New Roman" w:hAnsi="Times New Roman" w:cs="Times New Roman"/>
          <w:sz w:val="24"/>
          <w:szCs w:val="24"/>
        </w:rPr>
        <w:t>проблем</w:t>
      </w:r>
      <w:r w:rsidR="00335EE2">
        <w:rPr>
          <w:rFonts w:ascii="Times New Roman" w:hAnsi="Times New Roman" w:cs="Times New Roman"/>
          <w:sz w:val="24"/>
          <w:szCs w:val="24"/>
        </w:rPr>
        <w:t>атик</w:t>
      </w:r>
      <w:r w:rsidR="00527E3C" w:rsidRPr="00D06F09">
        <w:rPr>
          <w:rFonts w:ascii="Times New Roman" w:hAnsi="Times New Roman" w:cs="Times New Roman"/>
          <w:sz w:val="24"/>
          <w:szCs w:val="24"/>
        </w:rPr>
        <w:t>е</w:t>
      </w:r>
      <w:r w:rsidR="00527E3C" w:rsidRPr="00D06F09">
        <w:rPr>
          <w:rFonts w:ascii="Times New Roman" w:hAnsi="Times New Roman" w:cs="Times New Roman"/>
          <w:bCs/>
          <w:sz w:val="24"/>
          <w:szCs w:val="24"/>
        </w:rPr>
        <w:t xml:space="preserve"> регулирования</w:t>
      </w:r>
      <w:r w:rsidRPr="00D06F09">
        <w:rPr>
          <w:rFonts w:ascii="Times New Roman" w:hAnsi="Times New Roman" w:cs="Times New Roman"/>
          <w:bCs/>
          <w:sz w:val="24"/>
          <w:szCs w:val="24"/>
        </w:rPr>
        <w:t xml:space="preserve"> </w:t>
      </w:r>
      <w:r w:rsidR="007C25DA">
        <w:rPr>
          <w:rFonts w:ascii="Times New Roman" w:hAnsi="Times New Roman" w:cs="Times New Roman"/>
          <w:bCs/>
          <w:sz w:val="24"/>
          <w:szCs w:val="24"/>
        </w:rPr>
        <w:t xml:space="preserve">нефинансовой </w:t>
      </w:r>
      <w:r w:rsidR="00ED5F3B" w:rsidRPr="00D06F09">
        <w:rPr>
          <w:rFonts w:ascii="Times New Roman" w:hAnsi="Times New Roman" w:cs="Times New Roman"/>
          <w:bCs/>
          <w:sz w:val="24"/>
          <w:szCs w:val="24"/>
        </w:rPr>
        <w:t xml:space="preserve">отчетности </w:t>
      </w:r>
      <w:r w:rsidR="002663FA">
        <w:rPr>
          <w:rFonts w:ascii="Times New Roman" w:hAnsi="Times New Roman" w:cs="Times New Roman"/>
          <w:bCs/>
          <w:sz w:val="24"/>
          <w:szCs w:val="24"/>
        </w:rPr>
        <w:t xml:space="preserve">компаний </w:t>
      </w:r>
      <w:r w:rsidR="00BE1D87" w:rsidRPr="00D06F09">
        <w:rPr>
          <w:rFonts w:ascii="Times New Roman" w:hAnsi="Times New Roman" w:cs="Times New Roman"/>
          <w:bCs/>
          <w:sz w:val="24"/>
          <w:szCs w:val="24"/>
        </w:rPr>
        <w:t xml:space="preserve">в области устойчивого развития </w:t>
      </w:r>
      <w:r w:rsidRPr="00D06F09">
        <w:rPr>
          <w:rFonts w:ascii="Times New Roman" w:hAnsi="Times New Roman" w:cs="Times New Roman"/>
          <w:bCs/>
          <w:sz w:val="24"/>
          <w:szCs w:val="24"/>
        </w:rPr>
        <w:t>в</w:t>
      </w:r>
      <w:r w:rsidR="007C25DA">
        <w:rPr>
          <w:rFonts w:ascii="Times New Roman" w:hAnsi="Times New Roman" w:cs="Times New Roman"/>
          <w:bCs/>
          <w:sz w:val="24"/>
          <w:szCs w:val="24"/>
        </w:rPr>
        <w:t xml:space="preserve"> контексте</w:t>
      </w:r>
      <w:r w:rsidRPr="00D06F09">
        <w:rPr>
          <w:rFonts w:ascii="Times New Roman" w:hAnsi="Times New Roman" w:cs="Times New Roman"/>
          <w:bCs/>
          <w:sz w:val="24"/>
          <w:szCs w:val="24"/>
        </w:rPr>
        <w:t xml:space="preserve"> </w:t>
      </w:r>
      <w:r w:rsidR="007C25DA">
        <w:rPr>
          <w:rFonts w:ascii="Times New Roman" w:hAnsi="Times New Roman" w:cs="Times New Roman"/>
          <w:bCs/>
          <w:sz w:val="24"/>
          <w:szCs w:val="24"/>
        </w:rPr>
        <w:t xml:space="preserve">создания </w:t>
      </w:r>
      <w:r w:rsidR="00E0218E" w:rsidRPr="00D06F09">
        <w:rPr>
          <w:rFonts w:ascii="Times New Roman" w:hAnsi="Times New Roman" w:cs="Times New Roman"/>
          <w:bCs/>
          <w:sz w:val="24"/>
          <w:szCs w:val="24"/>
        </w:rPr>
        <w:t>Совета</w:t>
      </w:r>
      <w:r w:rsidR="007C25DA">
        <w:rPr>
          <w:rFonts w:ascii="Times New Roman" w:hAnsi="Times New Roman" w:cs="Times New Roman"/>
          <w:bCs/>
          <w:sz w:val="24"/>
          <w:szCs w:val="24"/>
        </w:rPr>
        <w:t xml:space="preserve"> </w:t>
      </w:r>
      <w:r w:rsidR="00335EE2" w:rsidRPr="00335EE2">
        <w:rPr>
          <w:rFonts w:ascii="Times New Roman" w:hAnsi="Times New Roman" w:cs="Times New Roman"/>
          <w:bCs/>
          <w:sz w:val="24"/>
          <w:szCs w:val="24"/>
        </w:rPr>
        <w:t xml:space="preserve">по международным стандартам отчетности </w:t>
      </w:r>
      <w:r w:rsidR="007C25DA">
        <w:rPr>
          <w:rFonts w:ascii="Times New Roman" w:hAnsi="Times New Roman" w:cs="Times New Roman"/>
          <w:bCs/>
          <w:sz w:val="24"/>
          <w:szCs w:val="24"/>
        </w:rPr>
        <w:t xml:space="preserve">в области </w:t>
      </w:r>
      <w:r w:rsidR="00335EE2" w:rsidRPr="00335EE2">
        <w:rPr>
          <w:rFonts w:ascii="Times New Roman" w:hAnsi="Times New Roman" w:cs="Times New Roman"/>
          <w:bCs/>
          <w:sz w:val="24"/>
          <w:szCs w:val="24"/>
        </w:rPr>
        <w:t>устойчивого развития (ISSB)</w:t>
      </w:r>
      <w:r w:rsidR="00335EE2">
        <w:rPr>
          <w:rFonts w:ascii="Times New Roman" w:hAnsi="Times New Roman" w:cs="Times New Roman"/>
          <w:bCs/>
          <w:sz w:val="24"/>
          <w:szCs w:val="24"/>
        </w:rPr>
        <w:t xml:space="preserve"> </w:t>
      </w:r>
      <w:r w:rsidR="0051624C" w:rsidRPr="00D06F09">
        <w:rPr>
          <w:rFonts w:ascii="Times New Roman" w:hAnsi="Times New Roman" w:cs="Times New Roman"/>
          <w:bCs/>
          <w:sz w:val="24"/>
          <w:szCs w:val="24"/>
        </w:rPr>
        <w:t>и процесс</w:t>
      </w:r>
      <w:r w:rsidR="007C25DA">
        <w:rPr>
          <w:rFonts w:ascii="Times New Roman" w:hAnsi="Times New Roman" w:cs="Times New Roman"/>
          <w:bCs/>
          <w:sz w:val="24"/>
          <w:szCs w:val="24"/>
        </w:rPr>
        <w:t>а</w:t>
      </w:r>
      <w:r w:rsidR="0051624C" w:rsidRPr="00D06F09">
        <w:rPr>
          <w:rFonts w:ascii="Times New Roman" w:hAnsi="Times New Roman" w:cs="Times New Roman"/>
          <w:bCs/>
          <w:sz w:val="24"/>
          <w:szCs w:val="24"/>
        </w:rPr>
        <w:t xml:space="preserve"> его интеграции в </w:t>
      </w:r>
      <w:r w:rsidR="0051624C" w:rsidRPr="00D06F09">
        <w:rPr>
          <w:rFonts w:ascii="Times New Roman" w:hAnsi="Times New Roman" w:cs="Times New Roman"/>
          <w:bCs/>
          <w:sz w:val="24"/>
          <w:szCs w:val="24"/>
          <w:lang w:val="en-US"/>
        </w:rPr>
        <w:t>IFRS</w:t>
      </w:r>
      <w:r w:rsidR="0051624C" w:rsidRPr="00D06F09">
        <w:rPr>
          <w:rFonts w:ascii="Times New Roman" w:hAnsi="Times New Roman" w:cs="Times New Roman"/>
          <w:bCs/>
          <w:sz w:val="24"/>
          <w:szCs w:val="24"/>
        </w:rPr>
        <w:t xml:space="preserve"> </w:t>
      </w:r>
      <w:r w:rsidR="0051624C" w:rsidRPr="00D06F09">
        <w:rPr>
          <w:rFonts w:ascii="Times New Roman" w:hAnsi="Times New Roman" w:cs="Times New Roman"/>
          <w:bCs/>
          <w:sz w:val="24"/>
          <w:szCs w:val="24"/>
          <w:lang w:val="en-US"/>
        </w:rPr>
        <w:t>Foundation</w:t>
      </w:r>
      <w:r w:rsidR="007C25DA">
        <w:rPr>
          <w:rFonts w:ascii="Times New Roman" w:hAnsi="Times New Roman" w:cs="Times New Roman"/>
          <w:bCs/>
          <w:sz w:val="24"/>
          <w:szCs w:val="24"/>
        </w:rPr>
        <w:t>.</w:t>
      </w:r>
      <w:r w:rsidR="0051624C" w:rsidRPr="00D06F09">
        <w:rPr>
          <w:rFonts w:ascii="Times New Roman" w:hAnsi="Times New Roman" w:cs="Times New Roman"/>
          <w:bCs/>
          <w:sz w:val="24"/>
          <w:szCs w:val="24"/>
        </w:rPr>
        <w:t xml:space="preserve"> </w:t>
      </w:r>
      <w:r w:rsidR="007C25DA">
        <w:rPr>
          <w:rFonts w:ascii="Times New Roman" w:hAnsi="Times New Roman" w:cs="Times New Roman"/>
          <w:bCs/>
          <w:sz w:val="24"/>
          <w:szCs w:val="24"/>
        </w:rPr>
        <w:t>Особое внимание в статье уделяется</w:t>
      </w:r>
      <w:r w:rsidR="00296788">
        <w:rPr>
          <w:rFonts w:ascii="Times New Roman" w:hAnsi="Times New Roman" w:cs="Times New Roman"/>
          <w:bCs/>
          <w:sz w:val="24"/>
          <w:szCs w:val="24"/>
        </w:rPr>
        <w:t xml:space="preserve"> проблемам заинтересованных сторон в связи с отсутствием определенности в вопросе регулирования нефинансовой отчетности</w:t>
      </w:r>
      <w:r w:rsidR="00C61D45" w:rsidRPr="00D06F09">
        <w:rPr>
          <w:rFonts w:ascii="Times New Roman" w:hAnsi="Times New Roman" w:cs="Times New Roman"/>
          <w:bCs/>
          <w:sz w:val="24"/>
          <w:szCs w:val="24"/>
        </w:rPr>
        <w:t>.</w:t>
      </w:r>
      <w:r w:rsidRPr="00D06F09">
        <w:rPr>
          <w:rFonts w:ascii="Times New Roman" w:hAnsi="Times New Roman" w:cs="Times New Roman"/>
          <w:bCs/>
          <w:sz w:val="24"/>
          <w:szCs w:val="24"/>
        </w:rPr>
        <w:t xml:space="preserve"> </w:t>
      </w:r>
      <w:r w:rsidR="00F410A7">
        <w:rPr>
          <w:rFonts w:ascii="Times New Roman" w:hAnsi="Times New Roman" w:cs="Times New Roman"/>
          <w:bCs/>
          <w:sz w:val="24"/>
          <w:szCs w:val="24"/>
        </w:rPr>
        <w:t>Автор анализирует возможные траектории развития</w:t>
      </w:r>
      <w:r w:rsidR="00C61D45" w:rsidRPr="00D06F09">
        <w:rPr>
          <w:rFonts w:ascii="Times New Roman" w:hAnsi="Times New Roman" w:cs="Times New Roman"/>
          <w:bCs/>
          <w:sz w:val="24"/>
          <w:szCs w:val="24"/>
        </w:rPr>
        <w:t xml:space="preserve"> создаваемых стандартов</w:t>
      </w:r>
      <w:r w:rsidR="00F410A7">
        <w:rPr>
          <w:rFonts w:ascii="Times New Roman" w:hAnsi="Times New Roman" w:cs="Times New Roman"/>
          <w:bCs/>
          <w:sz w:val="24"/>
          <w:szCs w:val="24"/>
        </w:rPr>
        <w:t xml:space="preserve"> в контексте взаимодействии </w:t>
      </w:r>
      <w:r w:rsidR="00F5145B">
        <w:rPr>
          <w:rFonts w:ascii="Times New Roman" w:hAnsi="Times New Roman" w:cs="Times New Roman"/>
          <w:bCs/>
          <w:sz w:val="24"/>
          <w:szCs w:val="24"/>
        </w:rPr>
        <w:t>действующих</w:t>
      </w:r>
      <w:r w:rsidR="00F410A7">
        <w:rPr>
          <w:rFonts w:ascii="Times New Roman" w:hAnsi="Times New Roman" w:cs="Times New Roman"/>
          <w:bCs/>
          <w:sz w:val="24"/>
          <w:szCs w:val="24"/>
        </w:rPr>
        <w:t xml:space="preserve"> и вновь созданных советов</w:t>
      </w:r>
      <w:r w:rsidRPr="00D06F09">
        <w:rPr>
          <w:rFonts w:ascii="Times New Roman" w:hAnsi="Times New Roman" w:cs="Times New Roman"/>
          <w:bCs/>
          <w:sz w:val="24"/>
          <w:szCs w:val="24"/>
        </w:rPr>
        <w:t xml:space="preserve">. </w:t>
      </w:r>
      <w:r w:rsidR="007C25DA">
        <w:rPr>
          <w:rFonts w:ascii="Times New Roman" w:hAnsi="Times New Roman" w:cs="Times New Roman"/>
          <w:bCs/>
          <w:sz w:val="24"/>
          <w:szCs w:val="24"/>
        </w:rPr>
        <w:t xml:space="preserve"> </w:t>
      </w:r>
      <w:r w:rsidR="002663FA">
        <w:rPr>
          <w:rFonts w:ascii="Times New Roman" w:hAnsi="Times New Roman" w:cs="Times New Roman"/>
          <w:bCs/>
          <w:sz w:val="24"/>
          <w:szCs w:val="24"/>
        </w:rPr>
        <w:t>Обосновывается</w:t>
      </w:r>
      <w:r w:rsidRPr="00D06F09">
        <w:rPr>
          <w:rFonts w:ascii="Times New Roman" w:hAnsi="Times New Roman" w:cs="Times New Roman"/>
          <w:bCs/>
          <w:sz w:val="24"/>
          <w:szCs w:val="24"/>
        </w:rPr>
        <w:t xml:space="preserve"> вывод о том, что</w:t>
      </w:r>
      <w:r w:rsidR="00C61D45" w:rsidRPr="00D06F09">
        <w:rPr>
          <w:rFonts w:ascii="Times New Roman" w:hAnsi="Times New Roman" w:cs="Times New Roman"/>
          <w:bCs/>
          <w:sz w:val="24"/>
          <w:szCs w:val="24"/>
        </w:rPr>
        <w:t xml:space="preserve"> </w:t>
      </w:r>
      <w:r w:rsidR="002663FA">
        <w:rPr>
          <w:rFonts w:ascii="Times New Roman" w:hAnsi="Times New Roman" w:cs="Times New Roman"/>
          <w:bCs/>
          <w:sz w:val="24"/>
          <w:szCs w:val="24"/>
        </w:rPr>
        <w:t xml:space="preserve">создание нового регулятора нефинансовой отчетности </w:t>
      </w:r>
      <w:r w:rsidR="002663FA" w:rsidRPr="00335EE2">
        <w:rPr>
          <w:rFonts w:ascii="Times New Roman" w:hAnsi="Times New Roman" w:cs="Times New Roman"/>
          <w:bCs/>
          <w:sz w:val="24"/>
          <w:szCs w:val="24"/>
        </w:rPr>
        <w:t>ISSB</w:t>
      </w:r>
      <w:r w:rsidR="002663FA">
        <w:rPr>
          <w:rFonts w:ascii="Times New Roman" w:hAnsi="Times New Roman" w:cs="Times New Roman"/>
          <w:bCs/>
          <w:sz w:val="24"/>
          <w:szCs w:val="24"/>
        </w:rPr>
        <w:t xml:space="preserve"> наряду с действующим Советом по МСФО (</w:t>
      </w:r>
      <w:r w:rsidR="002663FA">
        <w:rPr>
          <w:rFonts w:ascii="Times New Roman" w:hAnsi="Times New Roman" w:cs="Times New Roman"/>
          <w:bCs/>
          <w:sz w:val="24"/>
          <w:szCs w:val="24"/>
          <w:lang w:val="en-US"/>
        </w:rPr>
        <w:t>IASB</w:t>
      </w:r>
      <w:r w:rsidR="002663FA">
        <w:rPr>
          <w:rFonts w:ascii="Times New Roman" w:hAnsi="Times New Roman" w:cs="Times New Roman"/>
          <w:bCs/>
          <w:sz w:val="24"/>
          <w:szCs w:val="24"/>
        </w:rPr>
        <w:t>)</w:t>
      </w:r>
      <w:r w:rsidR="002663FA" w:rsidRPr="00D06F09">
        <w:rPr>
          <w:rFonts w:ascii="Times New Roman" w:hAnsi="Times New Roman" w:cs="Times New Roman"/>
          <w:bCs/>
          <w:sz w:val="24"/>
          <w:szCs w:val="24"/>
        </w:rPr>
        <w:t xml:space="preserve"> </w:t>
      </w:r>
      <w:r w:rsidR="002663FA">
        <w:rPr>
          <w:rFonts w:ascii="Times New Roman" w:hAnsi="Times New Roman" w:cs="Times New Roman"/>
          <w:bCs/>
          <w:sz w:val="24"/>
          <w:szCs w:val="24"/>
        </w:rPr>
        <w:t>под общим руководством Фонда МСФО (</w:t>
      </w:r>
      <w:r w:rsidR="002663FA" w:rsidRPr="000011D0">
        <w:rPr>
          <w:rFonts w:ascii="Times New Roman" w:hAnsi="Times New Roman" w:cs="Times New Roman"/>
          <w:bCs/>
          <w:sz w:val="24"/>
          <w:szCs w:val="24"/>
          <w:lang w:val="en-US"/>
        </w:rPr>
        <w:t>IFRS</w:t>
      </w:r>
      <w:r w:rsidR="002663FA" w:rsidRPr="000011D0">
        <w:rPr>
          <w:rFonts w:ascii="Times New Roman" w:hAnsi="Times New Roman" w:cs="Times New Roman"/>
          <w:bCs/>
          <w:sz w:val="24"/>
          <w:szCs w:val="24"/>
        </w:rPr>
        <w:t xml:space="preserve"> </w:t>
      </w:r>
      <w:r w:rsidR="002663FA" w:rsidRPr="000011D0">
        <w:rPr>
          <w:rFonts w:ascii="Times New Roman" w:hAnsi="Times New Roman" w:cs="Times New Roman"/>
          <w:bCs/>
          <w:sz w:val="24"/>
          <w:szCs w:val="24"/>
          <w:lang w:val="en-US"/>
        </w:rPr>
        <w:t>Foundation</w:t>
      </w:r>
      <w:r w:rsidR="002663FA">
        <w:rPr>
          <w:rFonts w:ascii="Times New Roman" w:hAnsi="Times New Roman" w:cs="Times New Roman"/>
          <w:bCs/>
          <w:sz w:val="24"/>
          <w:szCs w:val="24"/>
        </w:rPr>
        <w:t>) является позитивным шагом на пути гармонизированного развития финансовой и нефинансовой отчетности</w:t>
      </w:r>
      <w:r w:rsidRPr="00D06F09">
        <w:rPr>
          <w:rFonts w:ascii="Times New Roman" w:hAnsi="Times New Roman" w:cs="Times New Roman"/>
          <w:bCs/>
          <w:sz w:val="24"/>
          <w:szCs w:val="24"/>
        </w:rPr>
        <w:t>.</w:t>
      </w:r>
    </w:p>
    <w:p w14:paraId="3DF100BB" w14:textId="77777777" w:rsidR="00543870" w:rsidRPr="00D06F09" w:rsidRDefault="00543870" w:rsidP="00543870">
      <w:pPr>
        <w:spacing w:afterLines="160" w:after="384" w:line="240" w:lineRule="auto"/>
        <w:jc w:val="both"/>
        <w:rPr>
          <w:rFonts w:ascii="Times New Roman" w:hAnsi="Times New Roman" w:cs="Times New Roman"/>
          <w:bCs/>
          <w:sz w:val="24"/>
          <w:szCs w:val="24"/>
        </w:rPr>
      </w:pPr>
      <w:r w:rsidRPr="00D06F09">
        <w:rPr>
          <w:rFonts w:ascii="Times New Roman" w:hAnsi="Times New Roman" w:cs="Times New Roman"/>
          <w:b/>
          <w:bCs/>
          <w:sz w:val="24"/>
          <w:szCs w:val="24"/>
        </w:rPr>
        <w:lastRenderedPageBreak/>
        <w:t>Ключевые слова.</w:t>
      </w:r>
      <w:r w:rsidR="00D63614" w:rsidRPr="00D06F09">
        <w:rPr>
          <w:rFonts w:ascii="Times New Roman" w:hAnsi="Times New Roman" w:cs="Times New Roman"/>
          <w:bCs/>
          <w:sz w:val="24"/>
          <w:szCs w:val="24"/>
        </w:rPr>
        <w:t xml:space="preserve"> МСФО, </w:t>
      </w:r>
      <w:r w:rsidR="00BE1D87" w:rsidRPr="00D06F09">
        <w:rPr>
          <w:rFonts w:ascii="Times New Roman" w:hAnsi="Times New Roman" w:cs="Times New Roman"/>
          <w:bCs/>
          <w:sz w:val="24"/>
          <w:szCs w:val="24"/>
        </w:rPr>
        <w:t>отчетность в области устойчивого развития</w:t>
      </w:r>
      <w:r w:rsidR="00E0218E" w:rsidRPr="00D06F09">
        <w:rPr>
          <w:rFonts w:ascii="Times New Roman" w:hAnsi="Times New Roman" w:cs="Times New Roman"/>
          <w:bCs/>
          <w:sz w:val="24"/>
          <w:szCs w:val="24"/>
        </w:rPr>
        <w:t xml:space="preserve">, </w:t>
      </w:r>
      <w:r w:rsidR="00BE1D87" w:rsidRPr="00D06F09">
        <w:rPr>
          <w:rFonts w:ascii="Times New Roman" w:hAnsi="Times New Roman" w:cs="Times New Roman"/>
          <w:bCs/>
          <w:sz w:val="24"/>
          <w:szCs w:val="24"/>
          <w:lang w:val="en-US"/>
        </w:rPr>
        <w:t>IASB</w:t>
      </w:r>
      <w:r w:rsidR="00BE1D87" w:rsidRPr="00D06F09">
        <w:rPr>
          <w:rFonts w:ascii="Times New Roman" w:hAnsi="Times New Roman" w:cs="Times New Roman"/>
          <w:bCs/>
          <w:sz w:val="24"/>
          <w:szCs w:val="24"/>
        </w:rPr>
        <w:t xml:space="preserve">, </w:t>
      </w:r>
      <w:r w:rsidR="00BE1D87" w:rsidRPr="00D06F09">
        <w:rPr>
          <w:rFonts w:ascii="Times New Roman" w:hAnsi="Times New Roman" w:cs="Times New Roman"/>
          <w:bCs/>
          <w:sz w:val="24"/>
          <w:szCs w:val="24"/>
          <w:lang w:val="en-US"/>
        </w:rPr>
        <w:t>ISSB</w:t>
      </w:r>
      <w:r w:rsidR="00D63614" w:rsidRPr="00D06F09">
        <w:rPr>
          <w:rFonts w:ascii="Times New Roman" w:hAnsi="Times New Roman" w:cs="Times New Roman"/>
          <w:bCs/>
          <w:sz w:val="24"/>
          <w:szCs w:val="24"/>
        </w:rPr>
        <w:t>.</w:t>
      </w:r>
    </w:p>
    <w:p w14:paraId="61B5DDD3" w14:textId="784632B0" w:rsidR="00625BB1" w:rsidRDefault="00C9617E" w:rsidP="00543870">
      <w:pPr>
        <w:spacing w:after="0" w:line="240" w:lineRule="auto"/>
        <w:jc w:val="both"/>
        <w:rPr>
          <w:rFonts w:ascii="Times New Roman" w:hAnsi="Times New Roman" w:cs="Times New Roman"/>
          <w:b/>
          <w:sz w:val="28"/>
          <w:szCs w:val="28"/>
          <w:lang w:val="en-US"/>
        </w:rPr>
      </w:pPr>
      <w:r w:rsidRPr="00C9617E">
        <w:rPr>
          <w:rFonts w:ascii="Times New Roman" w:hAnsi="Times New Roman" w:cs="Times New Roman"/>
          <w:b/>
          <w:sz w:val="28"/>
          <w:szCs w:val="28"/>
          <w:lang w:val="en-US"/>
        </w:rPr>
        <w:t xml:space="preserve">Creation of the International Sustainability Standards Board (ISSB): </w:t>
      </w:r>
      <w:r w:rsidR="00296788" w:rsidRPr="00296788">
        <w:rPr>
          <w:rFonts w:ascii="Times New Roman" w:hAnsi="Times New Roman" w:cs="Times New Roman"/>
          <w:b/>
          <w:sz w:val="28"/>
          <w:szCs w:val="28"/>
          <w:lang w:val="en-US"/>
        </w:rPr>
        <w:t>a chance to harmonize financial and non-financial reporting</w:t>
      </w:r>
    </w:p>
    <w:p w14:paraId="190BC3F7" w14:textId="77777777" w:rsidR="00C9617E" w:rsidRPr="00C9617E" w:rsidRDefault="00C9617E" w:rsidP="00543870">
      <w:pPr>
        <w:spacing w:after="0" w:line="240" w:lineRule="auto"/>
        <w:jc w:val="both"/>
        <w:rPr>
          <w:rFonts w:ascii="Times New Roman" w:hAnsi="Times New Roman" w:cs="Times New Roman"/>
          <w:b/>
          <w:bCs/>
          <w:sz w:val="20"/>
          <w:szCs w:val="28"/>
          <w:lang w:val="en-US"/>
        </w:rPr>
      </w:pPr>
    </w:p>
    <w:p w14:paraId="7369AC2D" w14:textId="4A78CE04" w:rsidR="00543870" w:rsidRPr="00F83306" w:rsidRDefault="00296788" w:rsidP="00F83306">
      <w:pPr>
        <w:spacing w:after="0" w:line="360" w:lineRule="auto"/>
        <w:jc w:val="both"/>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Absract</w:t>
      </w:r>
      <w:proofErr w:type="spellEnd"/>
      <w:r>
        <w:rPr>
          <w:rFonts w:ascii="Times New Roman" w:hAnsi="Times New Roman" w:cs="Times New Roman"/>
          <w:b/>
          <w:bCs/>
          <w:sz w:val="24"/>
          <w:szCs w:val="24"/>
          <w:lang w:val="en-US"/>
        </w:rPr>
        <w:t>.</w:t>
      </w:r>
      <w:r w:rsidR="001F78B1" w:rsidRPr="00F83306">
        <w:rPr>
          <w:rFonts w:ascii="Times New Roman" w:hAnsi="Times New Roman" w:cs="Times New Roman"/>
          <w:b/>
          <w:bCs/>
          <w:sz w:val="24"/>
          <w:szCs w:val="24"/>
          <w:lang w:val="en-US"/>
        </w:rPr>
        <w:t xml:space="preserve"> </w:t>
      </w:r>
      <w:r w:rsidR="00F5145B" w:rsidRPr="00F5145B">
        <w:rPr>
          <w:rFonts w:ascii="Times New Roman" w:hAnsi="Times New Roman" w:cs="Times New Roman"/>
          <w:bCs/>
          <w:sz w:val="24"/>
          <w:szCs w:val="24"/>
          <w:lang w:val="en-US"/>
        </w:rPr>
        <w:t>The article is devoted to the regulation of non-financial reporting of companies in the field of sustainable development in the context of the creation of the Council for International Standards of Reporting in the Field of Sustainable Development (ISSB) and the process of its integration into the IFRS Foundation. Particular attention is paid in the article to the problems of stakeholders due to the lack of certainty in the regulation of non-financial reporting. The author analyzes the possible development trajectories of the standards being created in the context of the interaction of existing and newly created councils.  The conclusion is substantiated that the creation of a new non-financial reporting regulator ISSB along with the current IASB under the overall guidance of the IFRS Foundation is a positive step towards the harmonized development of financial and non-financial reporting.</w:t>
      </w:r>
    </w:p>
    <w:p w14:paraId="37FF2532" w14:textId="77777777" w:rsidR="00AB1778" w:rsidRPr="0058367E" w:rsidRDefault="00543870" w:rsidP="00AB1778">
      <w:pPr>
        <w:spacing w:line="240" w:lineRule="auto"/>
        <w:jc w:val="both"/>
        <w:rPr>
          <w:rFonts w:ascii="Times New Roman" w:hAnsi="Times New Roman" w:cs="Times New Roman"/>
          <w:b/>
          <w:bCs/>
          <w:sz w:val="24"/>
          <w:szCs w:val="24"/>
          <w:lang w:val="en-US"/>
        </w:rPr>
      </w:pPr>
      <w:r w:rsidRPr="00F83306">
        <w:rPr>
          <w:rFonts w:ascii="Times New Roman" w:hAnsi="Times New Roman" w:cs="Times New Roman"/>
          <w:b/>
          <w:bCs/>
          <w:sz w:val="24"/>
          <w:szCs w:val="24"/>
          <w:lang w:val="en-US"/>
        </w:rPr>
        <w:t xml:space="preserve">Keywords. </w:t>
      </w:r>
      <w:r w:rsidR="00E0218E" w:rsidRPr="00F83306">
        <w:rPr>
          <w:rFonts w:ascii="Times New Roman" w:hAnsi="Times New Roman" w:cs="Times New Roman"/>
          <w:bCs/>
          <w:sz w:val="24"/>
          <w:szCs w:val="24"/>
          <w:lang w:val="en-US"/>
        </w:rPr>
        <w:t>IFRS</w:t>
      </w:r>
      <w:r w:rsidR="00163C16" w:rsidRPr="00F83306">
        <w:rPr>
          <w:rFonts w:ascii="Times New Roman" w:hAnsi="Times New Roman" w:cs="Times New Roman"/>
          <w:bCs/>
          <w:sz w:val="24"/>
          <w:szCs w:val="24"/>
          <w:lang w:val="en-US"/>
        </w:rPr>
        <w:t>, sustainability reporting</w:t>
      </w:r>
      <w:r w:rsidR="00E0218E" w:rsidRPr="00F83306">
        <w:rPr>
          <w:rFonts w:ascii="Times New Roman" w:hAnsi="Times New Roman" w:cs="Times New Roman"/>
          <w:bCs/>
          <w:sz w:val="24"/>
          <w:szCs w:val="24"/>
          <w:lang w:val="en-US"/>
        </w:rPr>
        <w:t>, IASB,</w:t>
      </w:r>
      <w:r w:rsidR="00E0218E" w:rsidRPr="00F83306">
        <w:rPr>
          <w:rFonts w:ascii="Times New Roman" w:hAnsi="Times New Roman" w:cs="Times New Roman"/>
          <w:b/>
          <w:bCs/>
          <w:sz w:val="24"/>
          <w:szCs w:val="24"/>
          <w:lang w:val="en-US"/>
        </w:rPr>
        <w:t xml:space="preserve"> </w:t>
      </w:r>
      <w:r w:rsidR="00E0218E" w:rsidRPr="00F83306">
        <w:rPr>
          <w:rFonts w:ascii="Times New Roman" w:hAnsi="Times New Roman" w:cs="Times New Roman"/>
          <w:bCs/>
          <w:sz w:val="24"/>
          <w:szCs w:val="24"/>
          <w:lang w:val="en-US"/>
        </w:rPr>
        <w:t>ISSB</w:t>
      </w:r>
      <w:r w:rsidR="00E0218E" w:rsidRPr="00F83306">
        <w:rPr>
          <w:rFonts w:ascii="Times New Roman" w:hAnsi="Times New Roman" w:cs="Times New Roman"/>
          <w:b/>
          <w:bCs/>
          <w:sz w:val="24"/>
          <w:szCs w:val="24"/>
          <w:lang w:val="en-US"/>
        </w:rPr>
        <w:t>.</w:t>
      </w:r>
    </w:p>
    <w:p w14:paraId="5242C9E7" w14:textId="0D520531" w:rsidR="005B5A9F" w:rsidRDefault="00050A46" w:rsidP="00AB1778">
      <w:pPr>
        <w:spacing w:line="240" w:lineRule="auto"/>
        <w:jc w:val="both"/>
        <w:rPr>
          <w:rFonts w:ascii="Times New Roman" w:hAnsi="Times New Roman" w:cs="Times New Roman"/>
          <w:b/>
          <w:sz w:val="28"/>
          <w:szCs w:val="28"/>
        </w:rPr>
      </w:pPr>
      <w:r w:rsidRPr="00DF537C">
        <w:rPr>
          <w:rFonts w:ascii="Times New Roman" w:hAnsi="Times New Roman" w:cs="Times New Roman"/>
          <w:b/>
          <w:sz w:val="28"/>
          <w:szCs w:val="28"/>
        </w:rPr>
        <w:t>Актуальность исследования</w:t>
      </w:r>
    </w:p>
    <w:p w14:paraId="11C6A9B5" w14:textId="77777777" w:rsidR="00052E1D" w:rsidRDefault="00DF537C" w:rsidP="00615A8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EC0821">
        <w:rPr>
          <w:rFonts w:ascii="Times New Roman" w:hAnsi="Times New Roman" w:cs="Times New Roman"/>
          <w:sz w:val="28"/>
          <w:szCs w:val="28"/>
        </w:rPr>
        <w:t>В настоящее время происходит рост популярности и применения нефинансовой</w:t>
      </w:r>
      <w:r w:rsidR="005E78F0">
        <w:rPr>
          <w:rFonts w:ascii="Times New Roman" w:hAnsi="Times New Roman" w:cs="Times New Roman"/>
          <w:sz w:val="28"/>
          <w:szCs w:val="28"/>
        </w:rPr>
        <w:t xml:space="preserve"> отчетности для получения более полной, всесторонней и объективной информации о деятельности компаний. Но, в отличии от финансовой отчетности, отчетность в области устойчивого развития регламентируется большим количеством стандартов и методик, при ее составлении отсутствуют единые правила оформления, структура внутреннего содержания важных аспектов – все это приводит к возникновению проблем у различных </w:t>
      </w:r>
      <w:proofErr w:type="spellStart"/>
      <w:r w:rsidR="005E78F0">
        <w:rPr>
          <w:rFonts w:ascii="Times New Roman" w:hAnsi="Times New Roman" w:cs="Times New Roman"/>
          <w:sz w:val="28"/>
          <w:szCs w:val="28"/>
        </w:rPr>
        <w:t>стейкхолдеров</w:t>
      </w:r>
      <w:proofErr w:type="spellEnd"/>
      <w:r w:rsidR="005E78F0">
        <w:rPr>
          <w:rFonts w:ascii="Times New Roman" w:hAnsi="Times New Roman" w:cs="Times New Roman"/>
          <w:sz w:val="28"/>
          <w:szCs w:val="28"/>
        </w:rPr>
        <w:t xml:space="preserve">. </w:t>
      </w:r>
    </w:p>
    <w:p w14:paraId="1E9DE63F" w14:textId="441FC49E" w:rsidR="00DF537C" w:rsidRDefault="005E78F0" w:rsidP="00615A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Проблематику нефинансовой </w:t>
      </w:r>
      <w:r w:rsidR="009125AA">
        <w:rPr>
          <w:rFonts w:ascii="Times New Roman" w:hAnsi="Times New Roman" w:cs="Times New Roman"/>
          <w:sz w:val="28"/>
          <w:szCs w:val="28"/>
        </w:rPr>
        <w:t xml:space="preserve">отчетности </w:t>
      </w:r>
      <w:r>
        <w:rPr>
          <w:rFonts w:ascii="Times New Roman" w:hAnsi="Times New Roman" w:cs="Times New Roman"/>
          <w:sz w:val="28"/>
          <w:szCs w:val="28"/>
        </w:rPr>
        <w:t>можно рассматривать с позиции различных субъекто</w:t>
      </w:r>
      <w:r w:rsidR="009125AA">
        <w:rPr>
          <w:rFonts w:ascii="Times New Roman" w:hAnsi="Times New Roman" w:cs="Times New Roman"/>
          <w:sz w:val="28"/>
          <w:szCs w:val="28"/>
        </w:rPr>
        <w:t xml:space="preserve">в. Так, для пользователей (инвесторов) данного вида отчетности характерны следующие проблемы: трудности в определении влияния нефинансовой отчетности на финансовые показатели компаний для выбора перспективного и эффективного объекта вложения капитала, сложности в сопоставлении нефинансовых отчетах </w:t>
      </w:r>
      <w:r w:rsidR="002C074D">
        <w:rPr>
          <w:rFonts w:ascii="Times New Roman" w:hAnsi="Times New Roman" w:cs="Times New Roman"/>
          <w:sz w:val="28"/>
          <w:szCs w:val="28"/>
        </w:rPr>
        <w:t xml:space="preserve">компании за разные периоды. В свою очередь, проблемы для самих компаний в составлении нефинансовых отчетностей заключаются в следующем: необходимо большое количество </w:t>
      </w:r>
      <w:r w:rsidR="002C074D">
        <w:rPr>
          <w:rFonts w:ascii="Times New Roman" w:hAnsi="Times New Roman" w:cs="Times New Roman"/>
          <w:sz w:val="28"/>
          <w:szCs w:val="28"/>
        </w:rPr>
        <w:lastRenderedPageBreak/>
        <w:t>времени и средств, затрачиваемые на выбор стандартов и структуры, наиболее четко определяющих деятельность компании в области устойчивого развития, а также постоянный контроль за развитием законодательной базой для нефинансовой отчетности и сложности в определении ее влияния на финансовую отчетность. Регуляторы могут сталкиваться со сло</w:t>
      </w:r>
      <w:r w:rsidR="00052E1D">
        <w:rPr>
          <w:rFonts w:ascii="Times New Roman" w:hAnsi="Times New Roman" w:cs="Times New Roman"/>
          <w:sz w:val="28"/>
          <w:szCs w:val="28"/>
        </w:rPr>
        <w:t>жностями в области мониторинга,</w:t>
      </w:r>
      <w:r w:rsidR="002C074D">
        <w:rPr>
          <w:rFonts w:ascii="Times New Roman" w:hAnsi="Times New Roman" w:cs="Times New Roman"/>
          <w:sz w:val="28"/>
          <w:szCs w:val="28"/>
        </w:rPr>
        <w:t xml:space="preserve"> </w:t>
      </w:r>
      <w:r w:rsidR="00052E1D">
        <w:rPr>
          <w:rFonts w:ascii="Times New Roman" w:hAnsi="Times New Roman" w:cs="Times New Roman"/>
          <w:sz w:val="28"/>
          <w:szCs w:val="28"/>
        </w:rPr>
        <w:t xml:space="preserve">координации и обобщения разрабатываемых стандартов. При этом, для них важно иметь единую базу для последующей сопоставимости и </w:t>
      </w:r>
      <w:proofErr w:type="spellStart"/>
      <w:r w:rsidR="00052E1D">
        <w:rPr>
          <w:rFonts w:ascii="Times New Roman" w:hAnsi="Times New Roman" w:cs="Times New Roman"/>
          <w:sz w:val="28"/>
          <w:szCs w:val="28"/>
        </w:rPr>
        <w:t>коллации</w:t>
      </w:r>
      <w:proofErr w:type="spellEnd"/>
      <w:r w:rsidR="00052E1D">
        <w:rPr>
          <w:rFonts w:ascii="Times New Roman" w:hAnsi="Times New Roman" w:cs="Times New Roman"/>
          <w:sz w:val="28"/>
          <w:szCs w:val="28"/>
        </w:rPr>
        <w:t xml:space="preserve"> данных.</w:t>
      </w:r>
    </w:p>
    <w:p w14:paraId="4D83D951" w14:textId="1BDF2E84" w:rsidR="00052E1D" w:rsidRDefault="00052E1D" w:rsidP="00615A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условиях процесса информатизации 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общества есть шанс решить данные проблемы, в следствии этого гипотеза данной статьи состоит в том, что в настоящее время одной финансовой отчетности не хватает для полного отражения ситуации в компании, необходима нефинансовая отчетность, которая систематизирована и </w:t>
      </w:r>
      <w:r w:rsidR="00476248">
        <w:rPr>
          <w:rFonts w:ascii="Times New Roman" w:hAnsi="Times New Roman" w:cs="Times New Roman"/>
          <w:sz w:val="28"/>
          <w:szCs w:val="28"/>
        </w:rPr>
        <w:t>урегулирована. Инициативы Фонда МСФО, направленные на создание нового Совета по международным стандартам отчетности в области устойчивого развития, дадут шанс на решении данных проблем.</w:t>
      </w:r>
    </w:p>
    <w:p w14:paraId="61C88D10" w14:textId="21A91DA6" w:rsidR="000771A5" w:rsidRPr="000771A5" w:rsidRDefault="00476248" w:rsidP="00615A89">
      <w:pPr>
        <w:spacing w:after="0" w:line="360" w:lineRule="auto"/>
        <w:jc w:val="both"/>
        <w:rPr>
          <w:rFonts w:ascii="Times New Roman" w:hAnsi="Times New Roman" w:cs="Times New Roman"/>
          <w:b/>
          <w:sz w:val="28"/>
          <w:szCs w:val="24"/>
        </w:rPr>
      </w:pPr>
      <w:r>
        <w:rPr>
          <w:rFonts w:ascii="Times New Roman" w:hAnsi="Times New Roman" w:cs="Times New Roman"/>
          <w:sz w:val="28"/>
          <w:szCs w:val="28"/>
        </w:rPr>
        <w:tab/>
        <w:t>В данной статье были предприняты попытки анализа развития ситуации на современном этапе. Все это определило структуру статьи: в первой</w:t>
      </w:r>
      <w:r w:rsidR="00095487">
        <w:rPr>
          <w:rFonts w:ascii="Times New Roman" w:hAnsi="Times New Roman" w:cs="Times New Roman"/>
          <w:sz w:val="28"/>
          <w:szCs w:val="28"/>
        </w:rPr>
        <w:t xml:space="preserve"> части которой будет рассмотрено</w:t>
      </w:r>
      <w:r>
        <w:rPr>
          <w:rFonts w:ascii="Times New Roman" w:hAnsi="Times New Roman" w:cs="Times New Roman"/>
          <w:sz w:val="28"/>
          <w:szCs w:val="28"/>
        </w:rPr>
        <w:t xml:space="preserve"> </w:t>
      </w:r>
      <w:r w:rsidR="00095487">
        <w:rPr>
          <w:rFonts w:ascii="Times New Roman" w:hAnsi="Times New Roman" w:cs="Times New Roman"/>
          <w:sz w:val="28"/>
          <w:szCs w:val="28"/>
        </w:rPr>
        <w:t xml:space="preserve">развитие нефинансовой отчетности и ее, существующие в современных условиях, </w:t>
      </w:r>
      <w:r>
        <w:rPr>
          <w:rFonts w:ascii="Times New Roman" w:hAnsi="Times New Roman" w:cs="Times New Roman"/>
          <w:sz w:val="28"/>
          <w:szCs w:val="28"/>
        </w:rPr>
        <w:t>регуляторы («</w:t>
      </w:r>
      <w:r w:rsidRPr="00476248">
        <w:rPr>
          <w:rFonts w:ascii="Times New Roman" w:hAnsi="Times New Roman" w:cs="Times New Roman"/>
          <w:sz w:val="28"/>
          <w:szCs w:val="28"/>
        </w:rPr>
        <w:t>Нефинансовая отчетность как инструмент устойчивого развития</w:t>
      </w:r>
      <w:r>
        <w:rPr>
          <w:rFonts w:ascii="Times New Roman" w:hAnsi="Times New Roman" w:cs="Times New Roman"/>
          <w:sz w:val="28"/>
          <w:szCs w:val="28"/>
        </w:rPr>
        <w:t xml:space="preserve">»), далее будут отражены различные </w:t>
      </w:r>
      <w:r w:rsidR="000771A5">
        <w:rPr>
          <w:rFonts w:ascii="Times New Roman" w:hAnsi="Times New Roman" w:cs="Times New Roman"/>
          <w:sz w:val="28"/>
          <w:szCs w:val="28"/>
        </w:rPr>
        <w:t>пути развития финансовой и нефинансовой отчетности, их взаимосвязь («</w:t>
      </w:r>
      <w:r w:rsidR="000771A5" w:rsidRPr="000771A5">
        <w:rPr>
          <w:rFonts w:ascii="Times New Roman" w:hAnsi="Times New Roman" w:cs="Times New Roman"/>
          <w:sz w:val="28"/>
          <w:szCs w:val="28"/>
        </w:rPr>
        <w:t>Соотношение финансовой и нефинансовой отчетности</w:t>
      </w:r>
      <w:r w:rsidR="000771A5">
        <w:rPr>
          <w:rFonts w:ascii="Times New Roman" w:hAnsi="Times New Roman" w:cs="Times New Roman"/>
          <w:sz w:val="28"/>
          <w:szCs w:val="28"/>
        </w:rPr>
        <w:t>»), раскрыта инициатива Фонда МСФО в связи с возникающими проблема</w:t>
      </w:r>
      <w:r w:rsidR="00095487">
        <w:rPr>
          <w:rFonts w:ascii="Times New Roman" w:hAnsi="Times New Roman" w:cs="Times New Roman"/>
          <w:sz w:val="28"/>
          <w:szCs w:val="28"/>
        </w:rPr>
        <w:t>ми</w:t>
      </w:r>
      <w:r w:rsidR="000771A5">
        <w:rPr>
          <w:rFonts w:ascii="Times New Roman" w:hAnsi="Times New Roman" w:cs="Times New Roman"/>
          <w:sz w:val="28"/>
          <w:szCs w:val="28"/>
        </w:rPr>
        <w:t xml:space="preserve"> нефинансовой отчетности («</w:t>
      </w:r>
      <w:r w:rsidR="000771A5" w:rsidRPr="000771A5">
        <w:rPr>
          <w:rFonts w:ascii="Times New Roman" w:hAnsi="Times New Roman" w:cs="Times New Roman"/>
          <w:sz w:val="28"/>
          <w:szCs w:val="28"/>
        </w:rPr>
        <w:t xml:space="preserve">Роль IFRS </w:t>
      </w:r>
      <w:proofErr w:type="spellStart"/>
      <w:r w:rsidR="000771A5" w:rsidRPr="000771A5">
        <w:rPr>
          <w:rFonts w:ascii="Times New Roman" w:hAnsi="Times New Roman" w:cs="Times New Roman"/>
          <w:sz w:val="28"/>
          <w:szCs w:val="28"/>
        </w:rPr>
        <w:t>Foundation</w:t>
      </w:r>
      <w:proofErr w:type="spellEnd"/>
      <w:r w:rsidR="000771A5" w:rsidRPr="000771A5">
        <w:rPr>
          <w:rFonts w:ascii="Times New Roman" w:hAnsi="Times New Roman" w:cs="Times New Roman"/>
          <w:sz w:val="28"/>
          <w:szCs w:val="28"/>
        </w:rPr>
        <w:t xml:space="preserve"> в регулировании нефинансовой отчетности: создание ISSB») и подведены итоги.</w:t>
      </w:r>
    </w:p>
    <w:p w14:paraId="67487B7B" w14:textId="75208EE0" w:rsidR="005E0F5E" w:rsidRPr="00364DC5" w:rsidRDefault="00872528" w:rsidP="00364DC5">
      <w:pPr>
        <w:spacing w:line="240" w:lineRule="auto"/>
        <w:jc w:val="both"/>
        <w:rPr>
          <w:rFonts w:ascii="Times New Roman" w:hAnsi="Times New Roman" w:cs="Times New Roman"/>
          <w:bCs/>
          <w:sz w:val="20"/>
          <w:szCs w:val="28"/>
        </w:rPr>
      </w:pPr>
      <w:r>
        <w:rPr>
          <w:rFonts w:ascii="Times New Roman" w:hAnsi="Times New Roman" w:cs="Times New Roman"/>
          <w:b/>
          <w:sz w:val="28"/>
          <w:szCs w:val="28"/>
        </w:rPr>
        <w:t>Нефинансовая отчетность как инструмент устойчивого развития</w:t>
      </w:r>
    </w:p>
    <w:p w14:paraId="7411A8A5" w14:textId="057688EE" w:rsidR="004E0DF1" w:rsidRDefault="005B5A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широкое </w:t>
      </w:r>
      <w:r w:rsidR="002E544D" w:rsidRPr="004C7065">
        <w:rPr>
          <w:rFonts w:ascii="Times New Roman" w:hAnsi="Times New Roman" w:cs="Times New Roman"/>
          <w:sz w:val="28"/>
          <w:szCs w:val="28"/>
        </w:rPr>
        <w:t xml:space="preserve">распространение </w:t>
      </w:r>
      <w:r>
        <w:rPr>
          <w:rFonts w:ascii="Times New Roman" w:hAnsi="Times New Roman" w:cs="Times New Roman"/>
          <w:sz w:val="28"/>
          <w:szCs w:val="28"/>
        </w:rPr>
        <w:t xml:space="preserve">получила </w:t>
      </w:r>
      <w:r w:rsidR="007C25DA">
        <w:rPr>
          <w:rFonts w:ascii="Times New Roman" w:hAnsi="Times New Roman" w:cs="Times New Roman"/>
          <w:sz w:val="28"/>
          <w:szCs w:val="28"/>
        </w:rPr>
        <w:t xml:space="preserve">концепция </w:t>
      </w:r>
      <w:r w:rsidR="002E544D" w:rsidRPr="004C7065">
        <w:rPr>
          <w:rFonts w:ascii="Times New Roman" w:hAnsi="Times New Roman" w:cs="Times New Roman"/>
          <w:sz w:val="28"/>
          <w:szCs w:val="28"/>
          <w:lang w:val="en-US"/>
        </w:rPr>
        <w:t>ESG</w:t>
      </w:r>
      <w:r w:rsidR="002A28DB" w:rsidRPr="004C7065">
        <w:rPr>
          <w:rFonts w:ascii="Times New Roman" w:hAnsi="Times New Roman" w:cs="Times New Roman"/>
          <w:sz w:val="28"/>
          <w:szCs w:val="28"/>
        </w:rPr>
        <w:t xml:space="preserve">, </w:t>
      </w:r>
      <w:r>
        <w:rPr>
          <w:rFonts w:ascii="Times New Roman" w:hAnsi="Times New Roman" w:cs="Times New Roman"/>
          <w:sz w:val="28"/>
          <w:szCs w:val="28"/>
        </w:rPr>
        <w:t xml:space="preserve">согласно которой компании по всему миру стали </w:t>
      </w:r>
      <w:r w:rsidRPr="004C7065">
        <w:rPr>
          <w:rFonts w:ascii="Times New Roman" w:hAnsi="Times New Roman" w:cs="Times New Roman"/>
          <w:sz w:val="28"/>
          <w:szCs w:val="28"/>
        </w:rPr>
        <w:t>все больше</w:t>
      </w:r>
      <w:r>
        <w:rPr>
          <w:rFonts w:ascii="Times New Roman" w:hAnsi="Times New Roman" w:cs="Times New Roman"/>
          <w:sz w:val="28"/>
          <w:szCs w:val="28"/>
        </w:rPr>
        <w:t>е</w:t>
      </w:r>
      <w:r w:rsidR="005E0C04">
        <w:rPr>
          <w:rFonts w:ascii="Times New Roman" w:hAnsi="Times New Roman" w:cs="Times New Roman"/>
          <w:sz w:val="28"/>
          <w:szCs w:val="28"/>
        </w:rPr>
        <w:t xml:space="preserve"> внимания стали уделять </w:t>
      </w:r>
      <w:r w:rsidR="005E0C04" w:rsidRPr="004C7065">
        <w:rPr>
          <w:rFonts w:ascii="Times New Roman" w:hAnsi="Times New Roman" w:cs="Times New Roman"/>
          <w:sz w:val="28"/>
          <w:szCs w:val="28"/>
        </w:rPr>
        <w:t>вопроса</w:t>
      </w:r>
      <w:r w:rsidR="005E0C04">
        <w:rPr>
          <w:rFonts w:ascii="Times New Roman" w:hAnsi="Times New Roman" w:cs="Times New Roman"/>
          <w:sz w:val="28"/>
          <w:szCs w:val="28"/>
        </w:rPr>
        <w:t>м</w:t>
      </w:r>
      <w:r w:rsidR="007C25DA">
        <w:rPr>
          <w:rFonts w:ascii="Times New Roman" w:hAnsi="Times New Roman" w:cs="Times New Roman"/>
          <w:sz w:val="28"/>
          <w:szCs w:val="28"/>
        </w:rPr>
        <w:t xml:space="preserve"> своего участия в </w:t>
      </w:r>
      <w:r w:rsidR="005E0C04" w:rsidRPr="004C7065">
        <w:rPr>
          <w:rFonts w:ascii="Times New Roman" w:hAnsi="Times New Roman" w:cs="Times New Roman"/>
          <w:sz w:val="28"/>
          <w:szCs w:val="28"/>
        </w:rPr>
        <w:t>экологическ</w:t>
      </w:r>
      <w:r w:rsidR="005E0C04">
        <w:rPr>
          <w:rFonts w:ascii="Times New Roman" w:hAnsi="Times New Roman" w:cs="Times New Roman"/>
          <w:sz w:val="28"/>
          <w:szCs w:val="28"/>
        </w:rPr>
        <w:t>о</w:t>
      </w:r>
      <w:r w:rsidR="007C25DA">
        <w:rPr>
          <w:rFonts w:ascii="Times New Roman" w:hAnsi="Times New Roman" w:cs="Times New Roman"/>
          <w:sz w:val="28"/>
          <w:szCs w:val="28"/>
        </w:rPr>
        <w:t>м</w:t>
      </w:r>
      <w:r w:rsidR="005E0C04" w:rsidRPr="004C7065">
        <w:rPr>
          <w:rFonts w:ascii="Times New Roman" w:hAnsi="Times New Roman" w:cs="Times New Roman"/>
          <w:sz w:val="28"/>
          <w:szCs w:val="28"/>
        </w:rPr>
        <w:t xml:space="preserve">, </w:t>
      </w:r>
      <w:r w:rsidR="007C25DA">
        <w:rPr>
          <w:rFonts w:ascii="Times New Roman" w:hAnsi="Times New Roman" w:cs="Times New Roman"/>
          <w:sz w:val="28"/>
          <w:szCs w:val="28"/>
        </w:rPr>
        <w:t xml:space="preserve">и </w:t>
      </w:r>
      <w:r w:rsidR="005E0C04" w:rsidRPr="004C7065">
        <w:rPr>
          <w:rFonts w:ascii="Times New Roman" w:hAnsi="Times New Roman" w:cs="Times New Roman"/>
          <w:sz w:val="28"/>
          <w:szCs w:val="28"/>
        </w:rPr>
        <w:t>социальн</w:t>
      </w:r>
      <w:r w:rsidR="005E0C04">
        <w:rPr>
          <w:rFonts w:ascii="Times New Roman" w:hAnsi="Times New Roman" w:cs="Times New Roman"/>
          <w:sz w:val="28"/>
          <w:szCs w:val="28"/>
        </w:rPr>
        <w:t>о</w:t>
      </w:r>
      <w:r w:rsidR="007C25DA">
        <w:rPr>
          <w:rFonts w:ascii="Times New Roman" w:hAnsi="Times New Roman" w:cs="Times New Roman"/>
          <w:sz w:val="28"/>
          <w:szCs w:val="28"/>
        </w:rPr>
        <w:t>м</w:t>
      </w:r>
      <w:r w:rsidR="005E0C04">
        <w:rPr>
          <w:rFonts w:ascii="Times New Roman" w:hAnsi="Times New Roman" w:cs="Times New Roman"/>
          <w:sz w:val="28"/>
          <w:szCs w:val="28"/>
        </w:rPr>
        <w:t xml:space="preserve"> развити</w:t>
      </w:r>
      <w:r w:rsidR="007C25DA">
        <w:rPr>
          <w:rFonts w:ascii="Times New Roman" w:hAnsi="Times New Roman" w:cs="Times New Roman"/>
          <w:sz w:val="28"/>
          <w:szCs w:val="28"/>
        </w:rPr>
        <w:t>и</w:t>
      </w:r>
      <w:r w:rsidR="005E0C04">
        <w:rPr>
          <w:rFonts w:ascii="Times New Roman" w:hAnsi="Times New Roman" w:cs="Times New Roman"/>
          <w:sz w:val="28"/>
          <w:szCs w:val="28"/>
        </w:rPr>
        <w:t xml:space="preserve"> </w:t>
      </w:r>
      <w:r w:rsidR="005E0C04">
        <w:rPr>
          <w:rFonts w:ascii="Times New Roman" w:hAnsi="Times New Roman" w:cs="Times New Roman"/>
          <w:sz w:val="28"/>
          <w:szCs w:val="28"/>
        </w:rPr>
        <w:lastRenderedPageBreak/>
        <w:t xml:space="preserve">общества. </w:t>
      </w:r>
      <w:r w:rsidR="004E0DF1">
        <w:rPr>
          <w:rFonts w:ascii="Times New Roman" w:hAnsi="Times New Roman" w:cs="Times New Roman"/>
          <w:sz w:val="28"/>
          <w:szCs w:val="28"/>
        </w:rPr>
        <w:t>Так, например, п</w:t>
      </w:r>
      <w:r w:rsidR="00CC15E7" w:rsidRPr="004C7065">
        <w:rPr>
          <w:rFonts w:ascii="Times New Roman" w:hAnsi="Times New Roman" w:cs="Times New Roman"/>
          <w:sz w:val="28"/>
          <w:szCs w:val="28"/>
        </w:rPr>
        <w:t>о данным</w:t>
      </w:r>
      <w:r w:rsidR="004E0DF1">
        <w:rPr>
          <w:rFonts w:ascii="Times New Roman" w:hAnsi="Times New Roman" w:cs="Times New Roman"/>
          <w:sz w:val="28"/>
          <w:szCs w:val="28"/>
        </w:rPr>
        <w:t xml:space="preserve"> </w:t>
      </w:r>
      <w:r w:rsidR="00D06F09">
        <w:rPr>
          <w:rFonts w:ascii="Times New Roman" w:hAnsi="Times New Roman" w:cs="Times New Roman"/>
          <w:sz w:val="28"/>
          <w:szCs w:val="28"/>
        </w:rPr>
        <w:t>агентства</w:t>
      </w:r>
      <w:r w:rsidR="00CC15E7" w:rsidRPr="004C7065">
        <w:rPr>
          <w:rFonts w:ascii="Times New Roman" w:hAnsi="Times New Roman" w:cs="Times New Roman"/>
          <w:sz w:val="28"/>
          <w:szCs w:val="28"/>
        </w:rPr>
        <w:t xml:space="preserve"> </w:t>
      </w:r>
      <w:r w:rsidR="00CC15E7" w:rsidRPr="004C7065">
        <w:rPr>
          <w:rFonts w:ascii="Times New Roman" w:hAnsi="Times New Roman" w:cs="Times New Roman"/>
          <w:sz w:val="28"/>
          <w:szCs w:val="28"/>
          <w:lang w:val="en-US"/>
        </w:rPr>
        <w:t>McKinsey</w:t>
      </w:r>
      <w:r w:rsidR="00CC15E7" w:rsidRPr="00543870">
        <w:rPr>
          <w:rFonts w:ascii="Times New Roman" w:hAnsi="Times New Roman" w:cs="Times New Roman"/>
          <w:sz w:val="28"/>
          <w:szCs w:val="28"/>
        </w:rPr>
        <w:t>&amp;</w:t>
      </w:r>
      <w:r w:rsidR="00CC15E7" w:rsidRPr="004C7065">
        <w:rPr>
          <w:rFonts w:ascii="Times New Roman" w:hAnsi="Times New Roman" w:cs="Times New Roman"/>
          <w:sz w:val="28"/>
          <w:szCs w:val="28"/>
          <w:lang w:val="en-US"/>
        </w:rPr>
        <w:t>Company</w:t>
      </w:r>
      <w:r w:rsidR="001B7C66" w:rsidRPr="004C7065">
        <w:rPr>
          <w:rFonts w:ascii="Times New Roman" w:hAnsi="Times New Roman" w:cs="Times New Roman"/>
          <w:sz w:val="28"/>
          <w:szCs w:val="28"/>
        </w:rPr>
        <w:t xml:space="preserve"> за 2020 год</w:t>
      </w:r>
      <w:r w:rsidR="004E0DF1">
        <w:rPr>
          <w:rFonts w:ascii="Times New Roman" w:hAnsi="Times New Roman" w:cs="Times New Roman"/>
          <w:sz w:val="28"/>
          <w:szCs w:val="28"/>
        </w:rPr>
        <w:t>,</w:t>
      </w:r>
      <w:r w:rsidR="001B7C66" w:rsidRPr="004C7065">
        <w:rPr>
          <w:rFonts w:ascii="Times New Roman" w:hAnsi="Times New Roman" w:cs="Times New Roman"/>
          <w:sz w:val="28"/>
          <w:szCs w:val="28"/>
        </w:rPr>
        <w:t xml:space="preserve"> «</w:t>
      </w:r>
      <w:r w:rsidR="004E0DF1">
        <w:rPr>
          <w:rFonts w:ascii="Times New Roman" w:hAnsi="Times New Roman" w:cs="Times New Roman"/>
          <w:sz w:val="28"/>
          <w:szCs w:val="28"/>
        </w:rPr>
        <w:t>в</w:t>
      </w:r>
      <w:r w:rsidR="001B7C66" w:rsidRPr="004C7065">
        <w:rPr>
          <w:rFonts w:ascii="Times New Roman" w:hAnsi="Times New Roman" w:cs="Times New Roman"/>
          <w:sz w:val="28"/>
          <w:szCs w:val="28"/>
        </w:rPr>
        <w:t xml:space="preserve"> разных отраслях</w:t>
      </w:r>
      <w:r w:rsidR="004E0DF1">
        <w:rPr>
          <w:rFonts w:ascii="Times New Roman" w:hAnsi="Times New Roman" w:cs="Times New Roman"/>
          <w:sz w:val="28"/>
          <w:szCs w:val="28"/>
        </w:rPr>
        <w:t xml:space="preserve"> и</w:t>
      </w:r>
      <w:r w:rsidR="001B7C66" w:rsidRPr="004C7065">
        <w:rPr>
          <w:rFonts w:ascii="Times New Roman" w:hAnsi="Times New Roman" w:cs="Times New Roman"/>
          <w:sz w:val="28"/>
          <w:szCs w:val="28"/>
        </w:rPr>
        <w:t xml:space="preserve"> регионах организации</w:t>
      </w:r>
      <w:r w:rsidR="004E0DF1">
        <w:rPr>
          <w:rFonts w:ascii="Times New Roman" w:hAnsi="Times New Roman" w:cs="Times New Roman"/>
          <w:sz w:val="28"/>
          <w:szCs w:val="28"/>
        </w:rPr>
        <w:t xml:space="preserve"> различного масштаба деятельности</w:t>
      </w:r>
      <w:r w:rsidR="001B7C66" w:rsidRPr="004C7065">
        <w:rPr>
          <w:rFonts w:ascii="Times New Roman" w:hAnsi="Times New Roman" w:cs="Times New Roman"/>
          <w:sz w:val="28"/>
          <w:szCs w:val="28"/>
        </w:rPr>
        <w:t xml:space="preserve"> </w:t>
      </w:r>
      <w:r w:rsidR="004E0DF1">
        <w:rPr>
          <w:rFonts w:ascii="Times New Roman" w:hAnsi="Times New Roman" w:cs="Times New Roman"/>
          <w:sz w:val="28"/>
          <w:szCs w:val="28"/>
        </w:rPr>
        <w:t xml:space="preserve">стали </w:t>
      </w:r>
      <w:r w:rsidR="001B7C66" w:rsidRPr="004C7065">
        <w:rPr>
          <w:rFonts w:ascii="Times New Roman" w:hAnsi="Times New Roman" w:cs="Times New Roman"/>
          <w:sz w:val="28"/>
          <w:szCs w:val="28"/>
        </w:rPr>
        <w:t>выделят</w:t>
      </w:r>
      <w:r w:rsidR="004E0DF1">
        <w:rPr>
          <w:rFonts w:ascii="Times New Roman" w:hAnsi="Times New Roman" w:cs="Times New Roman"/>
          <w:sz w:val="28"/>
          <w:szCs w:val="28"/>
        </w:rPr>
        <w:t>ь</w:t>
      </w:r>
      <w:r w:rsidR="001B7C66" w:rsidRPr="004C7065">
        <w:rPr>
          <w:rFonts w:ascii="Times New Roman" w:hAnsi="Times New Roman" w:cs="Times New Roman"/>
          <w:sz w:val="28"/>
          <w:szCs w:val="28"/>
        </w:rPr>
        <w:t xml:space="preserve"> </w:t>
      </w:r>
      <w:r w:rsidR="004E0DF1">
        <w:rPr>
          <w:rFonts w:ascii="Times New Roman" w:hAnsi="Times New Roman" w:cs="Times New Roman"/>
          <w:sz w:val="28"/>
          <w:szCs w:val="28"/>
        </w:rPr>
        <w:t xml:space="preserve">значимо </w:t>
      </w:r>
      <w:r w:rsidR="002E544D" w:rsidRPr="004C7065">
        <w:rPr>
          <w:rFonts w:ascii="Times New Roman" w:hAnsi="Times New Roman" w:cs="Times New Roman"/>
          <w:sz w:val="28"/>
          <w:szCs w:val="28"/>
        </w:rPr>
        <w:t xml:space="preserve">больше ресурсов на улучшение </w:t>
      </w:r>
      <w:r w:rsidR="004E0DF1">
        <w:rPr>
          <w:rFonts w:ascii="Times New Roman" w:hAnsi="Times New Roman" w:cs="Times New Roman"/>
          <w:sz w:val="28"/>
          <w:szCs w:val="28"/>
        </w:rPr>
        <w:t xml:space="preserve">показателей </w:t>
      </w:r>
      <w:r w:rsidR="002E544D" w:rsidRPr="004C7065">
        <w:rPr>
          <w:rFonts w:ascii="Times New Roman" w:hAnsi="Times New Roman" w:cs="Times New Roman"/>
          <w:sz w:val="28"/>
          <w:szCs w:val="28"/>
          <w:lang w:val="en-US"/>
        </w:rPr>
        <w:t>ESG</w:t>
      </w:r>
      <w:r w:rsidR="001B7C66" w:rsidRPr="004C7065">
        <w:rPr>
          <w:rFonts w:ascii="Times New Roman" w:hAnsi="Times New Roman" w:cs="Times New Roman"/>
          <w:sz w:val="28"/>
          <w:szCs w:val="28"/>
        </w:rPr>
        <w:t>. Более 90 % компани</w:t>
      </w:r>
      <w:r w:rsidR="00B246E1">
        <w:rPr>
          <w:rFonts w:ascii="Times New Roman" w:hAnsi="Times New Roman" w:cs="Times New Roman"/>
          <w:sz w:val="28"/>
          <w:szCs w:val="28"/>
        </w:rPr>
        <w:t>й</w:t>
      </w:r>
      <w:r w:rsidR="001B7C66" w:rsidRPr="004C7065">
        <w:rPr>
          <w:rFonts w:ascii="Times New Roman" w:hAnsi="Times New Roman" w:cs="Times New Roman"/>
          <w:sz w:val="28"/>
          <w:szCs w:val="28"/>
        </w:rPr>
        <w:t xml:space="preserve"> из </w:t>
      </w:r>
      <w:r w:rsidR="00A85B07" w:rsidRPr="004C7065">
        <w:rPr>
          <w:rFonts w:ascii="Times New Roman" w:hAnsi="Times New Roman" w:cs="Times New Roman"/>
          <w:sz w:val="28"/>
          <w:szCs w:val="28"/>
          <w:lang w:val="en-US"/>
        </w:rPr>
        <w:t>S</w:t>
      </w:r>
      <w:r w:rsidR="00CC15E7" w:rsidRPr="004C7065">
        <w:rPr>
          <w:rFonts w:ascii="Times New Roman" w:hAnsi="Times New Roman" w:cs="Times New Roman"/>
          <w:sz w:val="28"/>
          <w:szCs w:val="28"/>
        </w:rPr>
        <w:t>&amp;</w:t>
      </w:r>
      <w:r w:rsidR="00FC6DCC" w:rsidRPr="004C7065">
        <w:rPr>
          <w:rFonts w:ascii="Times New Roman" w:hAnsi="Times New Roman" w:cs="Times New Roman"/>
          <w:sz w:val="28"/>
          <w:szCs w:val="28"/>
          <w:lang w:val="en-US"/>
        </w:rPr>
        <w:t>P</w:t>
      </w:r>
      <w:r w:rsidR="001B7C66" w:rsidRPr="004C7065">
        <w:rPr>
          <w:rFonts w:ascii="Times New Roman" w:hAnsi="Times New Roman" w:cs="Times New Roman"/>
          <w:sz w:val="28"/>
          <w:szCs w:val="28"/>
        </w:rPr>
        <w:t xml:space="preserve"> 500 в наст</w:t>
      </w:r>
      <w:r w:rsidR="002E544D" w:rsidRPr="004C7065">
        <w:rPr>
          <w:rFonts w:ascii="Times New Roman" w:hAnsi="Times New Roman" w:cs="Times New Roman"/>
          <w:sz w:val="28"/>
          <w:szCs w:val="28"/>
        </w:rPr>
        <w:t xml:space="preserve">оящее время публикуют отчеты </w:t>
      </w:r>
      <w:r w:rsidR="002E544D" w:rsidRPr="004C7065">
        <w:rPr>
          <w:rFonts w:ascii="Times New Roman" w:hAnsi="Times New Roman" w:cs="Times New Roman"/>
          <w:sz w:val="28"/>
          <w:szCs w:val="28"/>
          <w:lang w:val="en-US"/>
        </w:rPr>
        <w:t>ESG</w:t>
      </w:r>
      <w:r w:rsidR="00EE6191">
        <w:rPr>
          <w:rFonts w:ascii="Times New Roman" w:hAnsi="Times New Roman" w:cs="Times New Roman"/>
          <w:sz w:val="28"/>
          <w:szCs w:val="28"/>
        </w:rPr>
        <w:t xml:space="preserve"> в той или форме…»</w:t>
      </w:r>
      <w:r w:rsidR="00B21588">
        <w:rPr>
          <w:rFonts w:ascii="Times New Roman" w:hAnsi="Times New Roman" w:cs="Times New Roman"/>
          <w:sz w:val="28"/>
          <w:szCs w:val="28"/>
        </w:rPr>
        <w:t xml:space="preserve"> </w:t>
      </w:r>
      <w:r w:rsidR="00F1017A" w:rsidRPr="00F1017A">
        <w:rPr>
          <w:rFonts w:ascii="Times New Roman" w:hAnsi="Times New Roman" w:cs="Times New Roman"/>
          <w:sz w:val="28"/>
          <w:szCs w:val="28"/>
        </w:rPr>
        <w:t>[1</w:t>
      </w:r>
      <w:r w:rsidR="00EE6191" w:rsidRPr="00F1017A">
        <w:rPr>
          <w:rFonts w:ascii="Times New Roman" w:hAnsi="Times New Roman" w:cs="Times New Roman"/>
          <w:sz w:val="28"/>
          <w:szCs w:val="28"/>
        </w:rPr>
        <w:t>].</w:t>
      </w:r>
      <w:r w:rsidR="005E0C04" w:rsidRPr="00F1017A">
        <w:rPr>
          <w:rFonts w:ascii="Times New Roman" w:hAnsi="Times New Roman" w:cs="Times New Roman"/>
          <w:sz w:val="28"/>
          <w:szCs w:val="28"/>
        </w:rPr>
        <w:t xml:space="preserve"> </w:t>
      </w:r>
    </w:p>
    <w:p w14:paraId="62B61258" w14:textId="1F5CBD8C" w:rsidR="00DE7847" w:rsidRDefault="00DE7847" w:rsidP="00D06F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из рис. 1, </w:t>
      </w:r>
      <w:r w:rsidR="005E0C04">
        <w:rPr>
          <w:rFonts w:ascii="Times New Roman" w:hAnsi="Times New Roman" w:cs="Times New Roman"/>
          <w:sz w:val="28"/>
          <w:szCs w:val="28"/>
        </w:rPr>
        <w:t>начиная с 2012 года произошел значимый рост количества компаний</w:t>
      </w:r>
      <w:r w:rsidR="001F78B1">
        <w:rPr>
          <w:rFonts w:ascii="Times New Roman" w:hAnsi="Times New Roman" w:cs="Times New Roman"/>
          <w:sz w:val="28"/>
          <w:szCs w:val="28"/>
        </w:rPr>
        <w:t xml:space="preserve"> </w:t>
      </w:r>
      <w:r w:rsidR="005E0C04">
        <w:rPr>
          <w:rFonts w:ascii="Times New Roman" w:hAnsi="Times New Roman" w:cs="Times New Roman"/>
          <w:sz w:val="28"/>
          <w:szCs w:val="28"/>
        </w:rPr>
        <w:t xml:space="preserve">(72 п. п. против 20 п. п. в 2011), публикующих отчетность в области устойчивого </w:t>
      </w:r>
      <w:r w:rsidR="00D06F09">
        <w:rPr>
          <w:rFonts w:ascii="Times New Roman" w:hAnsi="Times New Roman" w:cs="Times New Roman"/>
          <w:sz w:val="28"/>
          <w:szCs w:val="28"/>
        </w:rPr>
        <w:t>развития</w:t>
      </w:r>
      <w:r>
        <w:rPr>
          <w:rFonts w:ascii="Times New Roman" w:hAnsi="Times New Roman" w:cs="Times New Roman"/>
          <w:sz w:val="28"/>
          <w:szCs w:val="28"/>
        </w:rPr>
        <w:t xml:space="preserve">. </w:t>
      </w:r>
      <w:r w:rsidR="00D06F09">
        <w:rPr>
          <w:rFonts w:ascii="Times New Roman" w:hAnsi="Times New Roman" w:cs="Times New Roman"/>
          <w:sz w:val="28"/>
          <w:szCs w:val="28"/>
        </w:rPr>
        <w:t>В последующие годы</w:t>
      </w:r>
      <w:r w:rsidR="00556921" w:rsidRPr="004C7065">
        <w:rPr>
          <w:rFonts w:ascii="Times New Roman" w:hAnsi="Times New Roman" w:cs="Times New Roman"/>
          <w:sz w:val="28"/>
          <w:szCs w:val="28"/>
        </w:rPr>
        <w:t xml:space="preserve"> число компаний, </w:t>
      </w:r>
      <w:r w:rsidR="001F78B1">
        <w:rPr>
          <w:rFonts w:ascii="Times New Roman" w:hAnsi="Times New Roman" w:cs="Times New Roman"/>
          <w:sz w:val="28"/>
          <w:szCs w:val="28"/>
        </w:rPr>
        <w:t xml:space="preserve">публикующих нефинансовые показатели устойчиво </w:t>
      </w:r>
      <w:r w:rsidR="00D06F09" w:rsidRPr="005525C5">
        <w:rPr>
          <w:rFonts w:ascii="Times New Roman" w:hAnsi="Times New Roman" w:cs="Times New Roman"/>
          <w:sz w:val="28"/>
          <w:szCs w:val="28"/>
        </w:rPr>
        <w:t>увеличивается</w:t>
      </w:r>
      <w:r w:rsidR="0058367E">
        <w:rPr>
          <w:rFonts w:ascii="Times New Roman" w:hAnsi="Times New Roman" w:cs="Times New Roman"/>
          <w:sz w:val="28"/>
          <w:szCs w:val="28"/>
        </w:rPr>
        <w:t xml:space="preserve">, </w:t>
      </w:r>
      <w:r w:rsidR="005525C5">
        <w:rPr>
          <w:rFonts w:ascii="Times New Roman" w:hAnsi="Times New Roman" w:cs="Times New Roman"/>
          <w:sz w:val="28"/>
          <w:szCs w:val="28"/>
        </w:rPr>
        <w:t>несмотря на замедление темпов эконом</w:t>
      </w:r>
      <w:r w:rsidR="0058367E">
        <w:rPr>
          <w:rFonts w:ascii="Times New Roman" w:hAnsi="Times New Roman" w:cs="Times New Roman"/>
          <w:sz w:val="28"/>
          <w:szCs w:val="28"/>
        </w:rPr>
        <w:t>ического роста в последние годы</w:t>
      </w:r>
      <w:r w:rsidR="005525C5">
        <w:rPr>
          <w:rFonts w:ascii="Times New Roman" w:hAnsi="Times New Roman" w:cs="Times New Roman"/>
          <w:sz w:val="28"/>
          <w:szCs w:val="28"/>
        </w:rPr>
        <w:t>.</w:t>
      </w:r>
    </w:p>
    <w:p w14:paraId="7DEAB30D" w14:textId="77777777" w:rsidR="00DE7847" w:rsidRDefault="00DE7847" w:rsidP="004C7065">
      <w:pPr>
        <w:spacing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48305C9" wp14:editId="2181D0D4">
            <wp:extent cx="4152900" cy="1958340"/>
            <wp:effectExtent l="0" t="0" r="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E3E7F2" w14:textId="612A7EC2" w:rsidR="000E281F" w:rsidRPr="000A2124" w:rsidRDefault="00DE7847" w:rsidP="000E281F">
      <w:pPr>
        <w:spacing w:line="240" w:lineRule="auto"/>
        <w:ind w:firstLine="708"/>
        <w:jc w:val="both"/>
        <w:rPr>
          <w:rFonts w:ascii="Times New Roman" w:hAnsi="Times New Roman" w:cs="Times New Roman"/>
          <w:sz w:val="24"/>
          <w:szCs w:val="28"/>
        </w:rPr>
      </w:pPr>
      <w:r w:rsidRPr="000A2124">
        <w:rPr>
          <w:rFonts w:ascii="Times New Roman" w:hAnsi="Times New Roman" w:cs="Times New Roman"/>
          <w:sz w:val="24"/>
          <w:szCs w:val="28"/>
        </w:rPr>
        <w:t xml:space="preserve">Рисунок 1 – Количество компаний </w:t>
      </w:r>
      <w:r w:rsidRPr="000A2124">
        <w:rPr>
          <w:rFonts w:ascii="Times New Roman" w:hAnsi="Times New Roman" w:cs="Times New Roman"/>
          <w:sz w:val="24"/>
          <w:szCs w:val="28"/>
          <w:lang w:val="en-US"/>
        </w:rPr>
        <w:t>S</w:t>
      </w:r>
      <w:r w:rsidRPr="000A2124">
        <w:rPr>
          <w:rFonts w:ascii="Times New Roman" w:hAnsi="Times New Roman" w:cs="Times New Roman"/>
          <w:sz w:val="24"/>
          <w:szCs w:val="28"/>
        </w:rPr>
        <w:t>&amp;</w:t>
      </w:r>
      <w:r w:rsidRPr="000A2124">
        <w:rPr>
          <w:rFonts w:ascii="Times New Roman" w:hAnsi="Times New Roman" w:cs="Times New Roman"/>
          <w:sz w:val="24"/>
          <w:szCs w:val="28"/>
          <w:lang w:val="en-US"/>
        </w:rPr>
        <w:t>P</w:t>
      </w:r>
      <w:r w:rsidRPr="000A2124">
        <w:rPr>
          <w:rFonts w:ascii="Times New Roman" w:hAnsi="Times New Roman" w:cs="Times New Roman"/>
          <w:sz w:val="24"/>
          <w:szCs w:val="28"/>
        </w:rPr>
        <w:t xml:space="preserve"> 500, публикующих </w:t>
      </w:r>
      <w:r w:rsidR="00B725B8" w:rsidRPr="000A2124">
        <w:rPr>
          <w:rFonts w:ascii="Times New Roman" w:hAnsi="Times New Roman" w:cs="Times New Roman"/>
          <w:sz w:val="24"/>
          <w:szCs w:val="28"/>
        </w:rPr>
        <w:t>отчеты об устойчивом развитии</w:t>
      </w:r>
      <w:r w:rsidRPr="000A2124">
        <w:rPr>
          <w:rFonts w:ascii="Times New Roman" w:hAnsi="Times New Roman" w:cs="Times New Roman"/>
          <w:sz w:val="24"/>
          <w:szCs w:val="28"/>
        </w:rPr>
        <w:t>, за последние 10 лет, %</w:t>
      </w:r>
      <w:r w:rsidR="006D5643" w:rsidRPr="000A2124">
        <w:rPr>
          <w:rFonts w:ascii="Times New Roman" w:hAnsi="Times New Roman" w:cs="Times New Roman"/>
          <w:sz w:val="24"/>
          <w:szCs w:val="28"/>
        </w:rPr>
        <w:t xml:space="preserve"> </w:t>
      </w:r>
      <w:r w:rsidR="001F78B1">
        <w:rPr>
          <w:rFonts w:ascii="Times New Roman" w:hAnsi="Times New Roman" w:cs="Times New Roman"/>
          <w:sz w:val="24"/>
          <w:szCs w:val="28"/>
        </w:rPr>
        <w:t xml:space="preserve">составлено автором по </w:t>
      </w:r>
      <w:r w:rsidR="00F1017A">
        <w:rPr>
          <w:rFonts w:ascii="Times New Roman" w:hAnsi="Times New Roman" w:cs="Times New Roman"/>
          <w:sz w:val="24"/>
          <w:szCs w:val="28"/>
        </w:rPr>
        <w:t>[2</w:t>
      </w:r>
      <w:r w:rsidR="00AB1778" w:rsidRPr="000A2124">
        <w:rPr>
          <w:rFonts w:ascii="Times New Roman" w:hAnsi="Times New Roman" w:cs="Times New Roman"/>
          <w:sz w:val="24"/>
          <w:szCs w:val="28"/>
        </w:rPr>
        <w:t>]</w:t>
      </w:r>
    </w:p>
    <w:p w14:paraId="5545E9E2" w14:textId="52E03B47" w:rsidR="00B82788" w:rsidRDefault="004E0DF1" w:rsidP="00B82788">
      <w:pPr>
        <w:spacing w:after="0" w:line="360" w:lineRule="auto"/>
        <w:ind w:firstLine="708"/>
        <w:jc w:val="both"/>
        <w:rPr>
          <w:rFonts w:ascii="Times New Roman" w:hAnsi="Times New Roman" w:cs="Times New Roman"/>
          <w:sz w:val="28"/>
          <w:szCs w:val="28"/>
        </w:rPr>
      </w:pPr>
      <w:r w:rsidRPr="005525C5">
        <w:rPr>
          <w:rFonts w:ascii="Times New Roman" w:hAnsi="Times New Roman" w:cs="Times New Roman"/>
          <w:sz w:val="28"/>
          <w:szCs w:val="28"/>
        </w:rPr>
        <w:t xml:space="preserve">Однако, очевидно, что даже ведущие в области </w:t>
      </w:r>
      <w:r w:rsidRPr="005525C5">
        <w:rPr>
          <w:rFonts w:ascii="Times New Roman" w:hAnsi="Times New Roman" w:cs="Times New Roman"/>
          <w:sz w:val="28"/>
          <w:szCs w:val="28"/>
          <w:lang w:val="en-US"/>
        </w:rPr>
        <w:t>ESG</w:t>
      </w:r>
      <w:r w:rsidRPr="005525C5">
        <w:rPr>
          <w:rFonts w:ascii="Times New Roman" w:hAnsi="Times New Roman" w:cs="Times New Roman"/>
          <w:sz w:val="28"/>
          <w:szCs w:val="28"/>
        </w:rPr>
        <w:t xml:space="preserve"> отчетности компании не имеют унифицированных стандартов ее составления, что затрудняет объективную оценку ее данных. </w:t>
      </w:r>
      <w:r w:rsidR="00B82788" w:rsidRPr="005525C5">
        <w:rPr>
          <w:rFonts w:ascii="Times New Roman" w:hAnsi="Times New Roman" w:cs="Times New Roman"/>
          <w:sz w:val="28"/>
          <w:szCs w:val="28"/>
        </w:rPr>
        <w:t xml:space="preserve">В качестве примера </w:t>
      </w:r>
      <w:r w:rsidRPr="005525C5">
        <w:rPr>
          <w:rFonts w:ascii="Times New Roman" w:hAnsi="Times New Roman" w:cs="Times New Roman"/>
          <w:sz w:val="28"/>
          <w:szCs w:val="28"/>
        </w:rPr>
        <w:t xml:space="preserve">здесь можно назвать </w:t>
      </w:r>
      <w:r w:rsidR="00B82788" w:rsidRPr="005525C5">
        <w:rPr>
          <w:rFonts w:ascii="Times New Roman" w:hAnsi="Times New Roman" w:cs="Times New Roman"/>
          <w:sz w:val="28"/>
          <w:szCs w:val="28"/>
        </w:rPr>
        <w:t>американск</w:t>
      </w:r>
      <w:r w:rsidRPr="005525C5">
        <w:rPr>
          <w:rFonts w:ascii="Times New Roman" w:hAnsi="Times New Roman" w:cs="Times New Roman"/>
          <w:sz w:val="28"/>
          <w:szCs w:val="28"/>
        </w:rPr>
        <w:t>ую</w:t>
      </w:r>
      <w:r w:rsidR="00B82788" w:rsidRPr="005525C5">
        <w:rPr>
          <w:rFonts w:ascii="Times New Roman" w:hAnsi="Times New Roman" w:cs="Times New Roman"/>
          <w:sz w:val="28"/>
          <w:szCs w:val="28"/>
        </w:rPr>
        <w:t xml:space="preserve"> транснациональн</w:t>
      </w:r>
      <w:r w:rsidRPr="005525C5">
        <w:rPr>
          <w:rFonts w:ascii="Times New Roman" w:hAnsi="Times New Roman" w:cs="Times New Roman"/>
          <w:sz w:val="28"/>
          <w:szCs w:val="28"/>
        </w:rPr>
        <w:t>ую</w:t>
      </w:r>
      <w:r w:rsidR="00B82788" w:rsidRPr="005525C5">
        <w:rPr>
          <w:rFonts w:ascii="Times New Roman" w:hAnsi="Times New Roman" w:cs="Times New Roman"/>
          <w:sz w:val="28"/>
          <w:szCs w:val="28"/>
        </w:rPr>
        <w:t xml:space="preserve"> корпораци</w:t>
      </w:r>
      <w:r w:rsidRPr="005525C5">
        <w:rPr>
          <w:rFonts w:ascii="Times New Roman" w:hAnsi="Times New Roman" w:cs="Times New Roman"/>
          <w:sz w:val="28"/>
          <w:szCs w:val="28"/>
        </w:rPr>
        <w:t>ю</w:t>
      </w:r>
      <w:r w:rsidR="00B82788" w:rsidRPr="005525C5">
        <w:rPr>
          <w:rFonts w:ascii="Times New Roman" w:hAnsi="Times New Roman" w:cs="Times New Roman"/>
          <w:sz w:val="28"/>
          <w:szCs w:val="28"/>
        </w:rPr>
        <w:t xml:space="preserve"> – </w:t>
      </w:r>
      <w:proofErr w:type="spellStart"/>
      <w:r w:rsidR="00B82788" w:rsidRPr="005525C5">
        <w:rPr>
          <w:rFonts w:ascii="Times New Roman" w:hAnsi="Times New Roman" w:cs="Times New Roman"/>
          <w:sz w:val="28"/>
          <w:szCs w:val="28"/>
        </w:rPr>
        <w:t>PepsiCo</w:t>
      </w:r>
      <w:proofErr w:type="spellEnd"/>
      <w:r w:rsidR="00B82788" w:rsidRPr="005525C5">
        <w:rPr>
          <w:rFonts w:ascii="Times New Roman" w:hAnsi="Times New Roman" w:cs="Times New Roman"/>
          <w:sz w:val="28"/>
          <w:szCs w:val="28"/>
        </w:rPr>
        <w:t xml:space="preserve">. На официальном сайте данной компании можно найти отчеты об устойчивом развитии, начиная с 2015 года, составленные по </w:t>
      </w:r>
      <w:r w:rsidR="00F1017A">
        <w:rPr>
          <w:rFonts w:ascii="Times New Roman" w:hAnsi="Times New Roman" w:cs="Times New Roman"/>
          <w:sz w:val="28"/>
          <w:szCs w:val="28"/>
        </w:rPr>
        <w:t>разным стандартам-регуляторам [</w:t>
      </w:r>
      <w:r w:rsidR="00B82788" w:rsidRPr="005525C5">
        <w:rPr>
          <w:rFonts w:ascii="Times New Roman" w:hAnsi="Times New Roman" w:cs="Times New Roman"/>
          <w:sz w:val="28"/>
          <w:szCs w:val="28"/>
        </w:rPr>
        <w:t>3]. В качестве примера российской компании, можно привести ПАО «Газпром», котор</w:t>
      </w:r>
      <w:r w:rsidRPr="005525C5">
        <w:rPr>
          <w:rFonts w:ascii="Times New Roman" w:hAnsi="Times New Roman" w:cs="Times New Roman"/>
          <w:sz w:val="28"/>
          <w:szCs w:val="28"/>
        </w:rPr>
        <w:t>ое</w:t>
      </w:r>
      <w:r w:rsidR="00B82788" w:rsidRPr="005525C5">
        <w:rPr>
          <w:rFonts w:ascii="Times New Roman" w:hAnsi="Times New Roman" w:cs="Times New Roman"/>
          <w:sz w:val="28"/>
          <w:szCs w:val="28"/>
        </w:rPr>
        <w:t xml:space="preserve"> еще с 2008 года начал</w:t>
      </w:r>
      <w:r w:rsidRPr="005525C5">
        <w:rPr>
          <w:rFonts w:ascii="Times New Roman" w:hAnsi="Times New Roman" w:cs="Times New Roman"/>
          <w:sz w:val="28"/>
          <w:szCs w:val="28"/>
        </w:rPr>
        <w:t>о</w:t>
      </w:r>
      <w:r w:rsidR="00B82788" w:rsidRPr="005525C5">
        <w:rPr>
          <w:rFonts w:ascii="Times New Roman" w:hAnsi="Times New Roman" w:cs="Times New Roman"/>
          <w:sz w:val="28"/>
          <w:szCs w:val="28"/>
        </w:rPr>
        <w:t xml:space="preserve"> </w:t>
      </w:r>
      <w:r w:rsidRPr="005525C5">
        <w:rPr>
          <w:rFonts w:ascii="Times New Roman" w:hAnsi="Times New Roman" w:cs="Times New Roman"/>
          <w:sz w:val="28"/>
          <w:szCs w:val="28"/>
        </w:rPr>
        <w:t xml:space="preserve">публиковать </w:t>
      </w:r>
      <w:r w:rsidR="00B82788" w:rsidRPr="005525C5">
        <w:rPr>
          <w:rFonts w:ascii="Times New Roman" w:hAnsi="Times New Roman" w:cs="Times New Roman"/>
          <w:sz w:val="28"/>
          <w:szCs w:val="28"/>
        </w:rPr>
        <w:t>отчет</w:t>
      </w:r>
      <w:r w:rsidRPr="005525C5">
        <w:rPr>
          <w:rFonts w:ascii="Times New Roman" w:hAnsi="Times New Roman" w:cs="Times New Roman"/>
          <w:sz w:val="28"/>
          <w:szCs w:val="28"/>
        </w:rPr>
        <w:t>ы</w:t>
      </w:r>
      <w:r w:rsidR="00B82788" w:rsidRPr="005525C5">
        <w:rPr>
          <w:rFonts w:ascii="Times New Roman" w:hAnsi="Times New Roman" w:cs="Times New Roman"/>
          <w:sz w:val="28"/>
          <w:szCs w:val="28"/>
        </w:rPr>
        <w:t xml:space="preserve"> о деятельности в области устойчивого развития и т</w:t>
      </w:r>
      <w:r w:rsidRPr="005525C5">
        <w:rPr>
          <w:rFonts w:ascii="Times New Roman" w:hAnsi="Times New Roman" w:cs="Times New Roman"/>
          <w:sz w:val="28"/>
          <w:szCs w:val="28"/>
        </w:rPr>
        <w:t>акже</w:t>
      </w:r>
      <w:r w:rsidR="00B82788" w:rsidRPr="005525C5">
        <w:rPr>
          <w:rFonts w:ascii="Times New Roman" w:hAnsi="Times New Roman" w:cs="Times New Roman"/>
          <w:sz w:val="28"/>
          <w:szCs w:val="28"/>
        </w:rPr>
        <w:t xml:space="preserve"> ис</w:t>
      </w:r>
      <w:r w:rsidR="00F1017A">
        <w:rPr>
          <w:rFonts w:ascii="Times New Roman" w:hAnsi="Times New Roman" w:cs="Times New Roman"/>
          <w:sz w:val="28"/>
          <w:szCs w:val="28"/>
        </w:rPr>
        <w:t>пользуют целый ряд стандартов [4</w:t>
      </w:r>
      <w:r w:rsidR="00B82788" w:rsidRPr="005525C5">
        <w:rPr>
          <w:rFonts w:ascii="Times New Roman" w:hAnsi="Times New Roman" w:cs="Times New Roman"/>
          <w:sz w:val="28"/>
          <w:szCs w:val="28"/>
        </w:rPr>
        <w:t xml:space="preserve">]. </w:t>
      </w:r>
    </w:p>
    <w:p w14:paraId="784448EF" w14:textId="6DD2706A" w:rsidR="00D2359D" w:rsidRDefault="006F2472" w:rsidP="00451864">
      <w:pPr>
        <w:spacing w:after="0" w:line="360" w:lineRule="auto"/>
        <w:jc w:val="both"/>
        <w:rPr>
          <w:rFonts w:ascii="Times New Roman" w:hAnsi="Times New Roman" w:cs="Times New Roman"/>
          <w:sz w:val="28"/>
          <w:szCs w:val="28"/>
        </w:rPr>
      </w:pPr>
      <w:r w:rsidRPr="00D2359D">
        <w:rPr>
          <w:rFonts w:ascii="Times New Roman" w:hAnsi="Times New Roman" w:cs="Times New Roman"/>
          <w:sz w:val="28"/>
          <w:szCs w:val="28"/>
        </w:rPr>
        <w:tab/>
        <w:t xml:space="preserve">Но до сих пор продолжаются дискуссии о значимости раскрытий нефинансовых показателей, в связи с тем, что тематика ESG достаточно неоднозначно воспринимается разными авторами. Так, среди </w:t>
      </w:r>
      <w:r w:rsidR="0061349C" w:rsidRPr="00D2359D">
        <w:rPr>
          <w:rFonts w:ascii="Times New Roman" w:hAnsi="Times New Roman" w:cs="Times New Roman"/>
          <w:sz w:val="28"/>
          <w:szCs w:val="28"/>
        </w:rPr>
        <w:t>достоинств</w:t>
      </w:r>
      <w:r w:rsidRPr="00D2359D">
        <w:rPr>
          <w:rFonts w:ascii="Times New Roman" w:hAnsi="Times New Roman" w:cs="Times New Roman"/>
          <w:sz w:val="28"/>
          <w:szCs w:val="28"/>
        </w:rPr>
        <w:t xml:space="preserve"> </w:t>
      </w:r>
      <w:r w:rsidRPr="00D2359D">
        <w:rPr>
          <w:rFonts w:ascii="Times New Roman" w:hAnsi="Times New Roman" w:cs="Times New Roman"/>
          <w:sz w:val="28"/>
          <w:szCs w:val="28"/>
        </w:rPr>
        <w:lastRenderedPageBreak/>
        <w:t>данной концепции отмечаются:</w:t>
      </w:r>
      <w:r w:rsidR="0061349C" w:rsidRPr="00D2359D">
        <w:rPr>
          <w:rFonts w:ascii="Times New Roman" w:hAnsi="Times New Roman" w:cs="Times New Roman"/>
          <w:sz w:val="28"/>
          <w:szCs w:val="28"/>
        </w:rPr>
        <w:t xml:space="preserve"> </w:t>
      </w:r>
      <w:r w:rsidR="00353902">
        <w:rPr>
          <w:rFonts w:ascii="Times New Roman" w:hAnsi="Times New Roman" w:cs="Times New Roman"/>
          <w:sz w:val="28"/>
          <w:szCs w:val="28"/>
        </w:rPr>
        <w:t xml:space="preserve">снижение асимметрии информации между заинтересованными сторонами, соответственно, </w:t>
      </w:r>
      <w:r w:rsidR="00451864">
        <w:rPr>
          <w:rFonts w:ascii="Times New Roman" w:hAnsi="Times New Roman" w:cs="Times New Roman"/>
          <w:sz w:val="28"/>
          <w:szCs w:val="28"/>
        </w:rPr>
        <w:t>уменьшая размер ошибок при прогнозе и принятии решений, положительное влияние на имидж компании и повышение ее инве</w:t>
      </w:r>
      <w:r w:rsidR="00F1017A">
        <w:rPr>
          <w:rFonts w:ascii="Times New Roman" w:hAnsi="Times New Roman" w:cs="Times New Roman"/>
          <w:sz w:val="28"/>
          <w:szCs w:val="28"/>
        </w:rPr>
        <w:t>стиционной привлекательности [5</w:t>
      </w:r>
      <w:r w:rsidR="00451864" w:rsidRPr="00D2359D">
        <w:rPr>
          <w:rFonts w:ascii="Times New Roman" w:hAnsi="Times New Roman" w:cs="Times New Roman"/>
          <w:sz w:val="28"/>
          <w:szCs w:val="28"/>
        </w:rPr>
        <w:t>].</w:t>
      </w:r>
    </w:p>
    <w:p w14:paraId="416215DA" w14:textId="2ECE265B" w:rsidR="00D2359D" w:rsidRPr="00D2359D" w:rsidRDefault="0061349C" w:rsidP="00D2359D">
      <w:pPr>
        <w:spacing w:after="0" w:line="360" w:lineRule="auto"/>
        <w:ind w:firstLine="708"/>
        <w:jc w:val="both"/>
        <w:rPr>
          <w:rFonts w:ascii="Times New Roman" w:hAnsi="Times New Roman" w:cs="Times New Roman"/>
          <w:sz w:val="28"/>
          <w:szCs w:val="28"/>
        </w:rPr>
      </w:pPr>
      <w:r w:rsidRPr="00D2359D">
        <w:rPr>
          <w:rFonts w:ascii="Times New Roman" w:hAnsi="Times New Roman" w:cs="Times New Roman"/>
          <w:sz w:val="28"/>
          <w:szCs w:val="28"/>
        </w:rPr>
        <w:t>К недостаткам относят то, что ESG часто используют как современный инструмент «пиар хода», манипулируя показателями, что подтверждают слова бывшего вице-президента США Майка Пенса, который утверждал, что регулирование ESG – это способ для «левых добиться того, чего они никогда не могли надеяться достичь в урне голосования или посредством кон</w:t>
      </w:r>
      <w:r w:rsidR="00F1017A">
        <w:rPr>
          <w:rFonts w:ascii="Times New Roman" w:hAnsi="Times New Roman" w:cs="Times New Roman"/>
          <w:sz w:val="28"/>
          <w:szCs w:val="28"/>
        </w:rPr>
        <w:t>куренции на свободном рынке» [6</w:t>
      </w:r>
      <w:r w:rsidRPr="00D2359D">
        <w:rPr>
          <w:rFonts w:ascii="Times New Roman" w:hAnsi="Times New Roman" w:cs="Times New Roman"/>
          <w:sz w:val="28"/>
          <w:szCs w:val="28"/>
        </w:rPr>
        <w:t xml:space="preserve">]. Так же отрицательным аспектом </w:t>
      </w:r>
      <w:r w:rsidRPr="00D2359D">
        <w:rPr>
          <w:rFonts w:ascii="Times New Roman" w:hAnsi="Times New Roman" w:cs="Times New Roman"/>
          <w:sz w:val="28"/>
          <w:szCs w:val="28"/>
          <w:lang w:val="en-US"/>
        </w:rPr>
        <w:t>ESG</w:t>
      </w:r>
      <w:r w:rsidRPr="00D2359D">
        <w:rPr>
          <w:rFonts w:ascii="Times New Roman" w:hAnsi="Times New Roman" w:cs="Times New Roman"/>
          <w:sz w:val="28"/>
          <w:szCs w:val="28"/>
        </w:rPr>
        <w:t xml:space="preserve"> отмечают </w:t>
      </w:r>
      <w:proofErr w:type="spellStart"/>
      <w:r w:rsidRPr="00D2359D">
        <w:rPr>
          <w:rFonts w:ascii="Times New Roman" w:hAnsi="Times New Roman" w:cs="Times New Roman"/>
          <w:sz w:val="28"/>
          <w:szCs w:val="28"/>
        </w:rPr>
        <w:t>трудноосуществи</w:t>
      </w:r>
      <w:r w:rsidR="00D2359D" w:rsidRPr="00D2359D">
        <w:rPr>
          <w:rFonts w:ascii="Times New Roman" w:hAnsi="Times New Roman" w:cs="Times New Roman"/>
          <w:sz w:val="28"/>
          <w:szCs w:val="28"/>
        </w:rPr>
        <w:t>мость</w:t>
      </w:r>
      <w:proofErr w:type="spellEnd"/>
      <w:r w:rsidR="00D2359D" w:rsidRPr="00D2359D">
        <w:rPr>
          <w:rFonts w:ascii="Times New Roman" w:hAnsi="Times New Roman" w:cs="Times New Roman"/>
          <w:sz w:val="28"/>
          <w:szCs w:val="28"/>
        </w:rPr>
        <w:t xml:space="preserve"> оценки данного показателя и сложность распределения</w:t>
      </w:r>
      <w:r w:rsidRPr="00D2359D">
        <w:rPr>
          <w:rFonts w:ascii="Times New Roman" w:hAnsi="Times New Roman" w:cs="Times New Roman"/>
          <w:sz w:val="28"/>
          <w:szCs w:val="28"/>
        </w:rPr>
        <w:t xml:space="preserve"> сре</w:t>
      </w:r>
      <w:r w:rsidR="00D2359D" w:rsidRPr="00D2359D">
        <w:rPr>
          <w:rFonts w:ascii="Times New Roman" w:hAnsi="Times New Roman" w:cs="Times New Roman"/>
          <w:sz w:val="28"/>
          <w:szCs w:val="28"/>
        </w:rPr>
        <w:t>дств</w:t>
      </w:r>
      <w:r w:rsidRPr="00D2359D">
        <w:rPr>
          <w:rFonts w:ascii="Times New Roman" w:hAnsi="Times New Roman" w:cs="Times New Roman"/>
          <w:sz w:val="28"/>
          <w:szCs w:val="28"/>
        </w:rPr>
        <w:t xml:space="preserve"> от ESG, так как множество </w:t>
      </w:r>
      <w:proofErr w:type="spellStart"/>
      <w:r w:rsidR="00D2359D" w:rsidRPr="00D2359D">
        <w:rPr>
          <w:rFonts w:ascii="Times New Roman" w:hAnsi="Times New Roman" w:cs="Times New Roman"/>
          <w:sz w:val="28"/>
          <w:szCs w:val="28"/>
        </w:rPr>
        <w:t>стейкхолдеров</w:t>
      </w:r>
      <w:proofErr w:type="spellEnd"/>
      <w:r w:rsidRPr="00D2359D">
        <w:rPr>
          <w:rFonts w:ascii="Times New Roman" w:hAnsi="Times New Roman" w:cs="Times New Roman"/>
          <w:sz w:val="28"/>
          <w:szCs w:val="28"/>
        </w:rPr>
        <w:t xml:space="preserve"> вза</w:t>
      </w:r>
      <w:r w:rsidR="00F1017A">
        <w:rPr>
          <w:rFonts w:ascii="Times New Roman" w:hAnsi="Times New Roman" w:cs="Times New Roman"/>
          <w:sz w:val="28"/>
          <w:szCs w:val="28"/>
        </w:rPr>
        <w:t>имосвязаны между друг другом</w:t>
      </w:r>
      <w:r w:rsidRPr="00D2359D">
        <w:rPr>
          <w:rFonts w:ascii="Times New Roman" w:hAnsi="Times New Roman" w:cs="Times New Roman"/>
          <w:sz w:val="28"/>
          <w:szCs w:val="28"/>
        </w:rPr>
        <w:t>.</w:t>
      </w:r>
      <w:r w:rsidR="00D2359D" w:rsidRPr="00D2359D">
        <w:rPr>
          <w:rFonts w:ascii="Times New Roman" w:hAnsi="Times New Roman" w:cs="Times New Roman"/>
          <w:sz w:val="28"/>
          <w:szCs w:val="28"/>
        </w:rPr>
        <w:t xml:space="preserve"> </w:t>
      </w:r>
      <w:r w:rsidR="00D2359D">
        <w:rPr>
          <w:rFonts w:ascii="Times New Roman" w:hAnsi="Times New Roman" w:cs="Times New Roman"/>
          <w:sz w:val="28"/>
          <w:szCs w:val="28"/>
        </w:rPr>
        <w:t>Как недостаток выделяют низкую</w:t>
      </w:r>
      <w:r w:rsidR="00D2359D" w:rsidRPr="00D2359D">
        <w:rPr>
          <w:rFonts w:ascii="Times New Roman" w:hAnsi="Times New Roman" w:cs="Times New Roman"/>
          <w:sz w:val="28"/>
          <w:szCs w:val="28"/>
        </w:rPr>
        <w:t xml:space="preserve"> взаимосвязь с финансовыми </w:t>
      </w:r>
      <w:r w:rsidR="00D2359D">
        <w:rPr>
          <w:rFonts w:ascii="Times New Roman" w:hAnsi="Times New Roman" w:cs="Times New Roman"/>
          <w:sz w:val="28"/>
          <w:szCs w:val="28"/>
        </w:rPr>
        <w:t>показателями, то есть отсутствие положительной корреляции между компанией, занимающей</w:t>
      </w:r>
      <w:r w:rsidR="00D2359D" w:rsidRPr="00D2359D">
        <w:rPr>
          <w:rFonts w:ascii="Times New Roman" w:hAnsi="Times New Roman" w:cs="Times New Roman"/>
          <w:sz w:val="28"/>
          <w:szCs w:val="28"/>
        </w:rPr>
        <w:t xml:space="preserve"> высоким рейтингом ESG и </w:t>
      </w:r>
      <w:r w:rsidR="00D2359D">
        <w:rPr>
          <w:rFonts w:ascii="Times New Roman" w:hAnsi="Times New Roman" w:cs="Times New Roman"/>
          <w:sz w:val="28"/>
          <w:szCs w:val="28"/>
        </w:rPr>
        <w:t xml:space="preserve">ее </w:t>
      </w:r>
      <w:r w:rsidR="00D2359D" w:rsidRPr="00D2359D">
        <w:rPr>
          <w:rFonts w:ascii="Times New Roman" w:hAnsi="Times New Roman" w:cs="Times New Roman"/>
          <w:sz w:val="28"/>
          <w:szCs w:val="28"/>
        </w:rPr>
        <w:t>хор</w:t>
      </w:r>
      <w:r w:rsidR="00D2359D">
        <w:rPr>
          <w:rFonts w:ascii="Times New Roman" w:hAnsi="Times New Roman" w:cs="Times New Roman"/>
          <w:sz w:val="28"/>
          <w:szCs w:val="28"/>
        </w:rPr>
        <w:t xml:space="preserve">ошими финансовыми показателями </w:t>
      </w:r>
      <w:r w:rsidR="00F1017A">
        <w:rPr>
          <w:rFonts w:ascii="Times New Roman" w:hAnsi="Times New Roman" w:cs="Times New Roman"/>
          <w:sz w:val="28"/>
          <w:szCs w:val="28"/>
        </w:rPr>
        <w:t>[1</w:t>
      </w:r>
      <w:r w:rsidR="00D2359D" w:rsidRPr="00D2359D">
        <w:rPr>
          <w:rFonts w:ascii="Times New Roman" w:hAnsi="Times New Roman" w:cs="Times New Roman"/>
          <w:sz w:val="28"/>
          <w:szCs w:val="28"/>
        </w:rPr>
        <w:t xml:space="preserve">]. </w:t>
      </w:r>
    </w:p>
    <w:p w14:paraId="762A5B10" w14:textId="2D9700AE" w:rsidR="001F78B1" w:rsidRPr="00EE6191" w:rsidRDefault="004E0DF1" w:rsidP="00D235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Роль нефина</w:t>
      </w:r>
      <w:r w:rsidR="005525C5">
        <w:rPr>
          <w:rFonts w:ascii="Times New Roman" w:hAnsi="Times New Roman" w:cs="Times New Roman"/>
          <w:sz w:val="28"/>
          <w:szCs w:val="28"/>
        </w:rPr>
        <w:t>нсовой отчетности в современной экономике</w:t>
      </w:r>
      <w:r>
        <w:rPr>
          <w:rFonts w:ascii="Times New Roman" w:hAnsi="Times New Roman" w:cs="Times New Roman"/>
          <w:sz w:val="28"/>
          <w:szCs w:val="28"/>
        </w:rPr>
        <w:t xml:space="preserve"> сложно переоценить. Ее практика стала </w:t>
      </w:r>
      <w:r w:rsidR="001F78B1" w:rsidRPr="00BD3F35">
        <w:rPr>
          <w:rFonts w:ascii="Times New Roman" w:hAnsi="Times New Roman" w:cs="Times New Roman"/>
          <w:sz w:val="28"/>
          <w:szCs w:val="28"/>
        </w:rPr>
        <w:t xml:space="preserve">логическим </w:t>
      </w:r>
      <w:r w:rsidR="005525C5">
        <w:rPr>
          <w:rFonts w:ascii="Times New Roman" w:hAnsi="Times New Roman" w:cs="Times New Roman"/>
          <w:sz w:val="28"/>
          <w:szCs w:val="28"/>
        </w:rPr>
        <w:t xml:space="preserve">продолжением </w:t>
      </w:r>
      <w:r w:rsidR="005525C5" w:rsidRPr="00BD3F35">
        <w:rPr>
          <w:rFonts w:ascii="Times New Roman" w:hAnsi="Times New Roman" w:cs="Times New Roman"/>
          <w:sz w:val="28"/>
          <w:szCs w:val="28"/>
        </w:rPr>
        <w:t>развития</w:t>
      </w:r>
      <w:r w:rsidR="001F78B1" w:rsidRPr="00BD3F35">
        <w:rPr>
          <w:rFonts w:ascii="Times New Roman" w:hAnsi="Times New Roman" w:cs="Times New Roman"/>
          <w:sz w:val="28"/>
          <w:szCs w:val="28"/>
        </w:rPr>
        <w:t xml:space="preserve"> </w:t>
      </w:r>
      <w:r w:rsidR="00B82788">
        <w:rPr>
          <w:rFonts w:ascii="Times New Roman" w:hAnsi="Times New Roman" w:cs="Times New Roman"/>
          <w:sz w:val="28"/>
          <w:szCs w:val="28"/>
        </w:rPr>
        <w:t>концепции</w:t>
      </w:r>
      <w:r w:rsidR="001F78B1" w:rsidRPr="00BD3F35">
        <w:rPr>
          <w:rFonts w:ascii="Times New Roman" w:hAnsi="Times New Roman" w:cs="Times New Roman"/>
          <w:sz w:val="28"/>
          <w:szCs w:val="28"/>
        </w:rPr>
        <w:t xml:space="preserve"> устойчивого развития, </w:t>
      </w:r>
      <w:r w:rsidR="005525C5">
        <w:rPr>
          <w:rFonts w:ascii="Times New Roman" w:hAnsi="Times New Roman" w:cs="Times New Roman"/>
          <w:sz w:val="28"/>
          <w:szCs w:val="28"/>
        </w:rPr>
        <w:t>сформировавшейся в</w:t>
      </w:r>
      <w:r w:rsidR="00B82788">
        <w:rPr>
          <w:rFonts w:ascii="Times New Roman" w:hAnsi="Times New Roman" w:cs="Times New Roman"/>
          <w:sz w:val="28"/>
          <w:szCs w:val="28"/>
        </w:rPr>
        <w:t xml:space="preserve"> 1960-1970 годах,</w:t>
      </w:r>
      <w:r>
        <w:rPr>
          <w:rFonts w:ascii="Times New Roman" w:hAnsi="Times New Roman" w:cs="Times New Roman"/>
          <w:sz w:val="28"/>
          <w:szCs w:val="28"/>
        </w:rPr>
        <w:t xml:space="preserve"> и</w:t>
      </w:r>
      <w:r w:rsidR="00B82788">
        <w:rPr>
          <w:rFonts w:ascii="Times New Roman" w:hAnsi="Times New Roman" w:cs="Times New Roman"/>
          <w:sz w:val="28"/>
          <w:szCs w:val="28"/>
        </w:rPr>
        <w:t xml:space="preserve"> </w:t>
      </w:r>
      <w:r w:rsidR="005525C5">
        <w:rPr>
          <w:rFonts w:ascii="Times New Roman" w:hAnsi="Times New Roman" w:cs="Times New Roman"/>
          <w:sz w:val="28"/>
          <w:szCs w:val="28"/>
        </w:rPr>
        <w:t xml:space="preserve">побудившей </w:t>
      </w:r>
      <w:r w:rsidR="005525C5" w:rsidRPr="00BD3F35">
        <w:rPr>
          <w:rFonts w:ascii="Times New Roman" w:hAnsi="Times New Roman" w:cs="Times New Roman"/>
          <w:sz w:val="28"/>
          <w:szCs w:val="28"/>
        </w:rPr>
        <w:t>бизнес</w:t>
      </w:r>
      <w:r w:rsidR="001F78B1" w:rsidRPr="00BD3F35">
        <w:rPr>
          <w:rFonts w:ascii="Times New Roman" w:hAnsi="Times New Roman" w:cs="Times New Roman"/>
          <w:sz w:val="28"/>
          <w:szCs w:val="28"/>
        </w:rPr>
        <w:t>-сообществ</w:t>
      </w:r>
      <w:r w:rsidR="00B82788">
        <w:rPr>
          <w:rFonts w:ascii="Times New Roman" w:hAnsi="Times New Roman" w:cs="Times New Roman"/>
          <w:sz w:val="28"/>
          <w:szCs w:val="28"/>
        </w:rPr>
        <w:t xml:space="preserve">о </w:t>
      </w:r>
      <w:r w:rsidR="005525C5">
        <w:rPr>
          <w:rFonts w:ascii="Times New Roman" w:hAnsi="Times New Roman" w:cs="Times New Roman"/>
          <w:sz w:val="28"/>
          <w:szCs w:val="28"/>
        </w:rPr>
        <w:t>задуматься о</w:t>
      </w:r>
      <w:r w:rsidR="001F78B1" w:rsidRPr="00BD3F35">
        <w:rPr>
          <w:rFonts w:ascii="Times New Roman" w:hAnsi="Times New Roman" w:cs="Times New Roman"/>
          <w:sz w:val="28"/>
          <w:szCs w:val="28"/>
        </w:rPr>
        <w:t xml:space="preserve"> необходимости </w:t>
      </w:r>
      <w:r w:rsidR="00B82788">
        <w:rPr>
          <w:rFonts w:ascii="Times New Roman" w:hAnsi="Times New Roman" w:cs="Times New Roman"/>
          <w:sz w:val="28"/>
          <w:szCs w:val="28"/>
        </w:rPr>
        <w:t>бережного</w:t>
      </w:r>
      <w:r w:rsidR="001F78B1" w:rsidRPr="00BD3F35">
        <w:rPr>
          <w:rFonts w:ascii="Times New Roman" w:hAnsi="Times New Roman" w:cs="Times New Roman"/>
          <w:sz w:val="28"/>
          <w:szCs w:val="28"/>
        </w:rPr>
        <w:t xml:space="preserve"> распределения ресурсов</w:t>
      </w:r>
      <w:r w:rsidR="00B82788">
        <w:rPr>
          <w:rFonts w:ascii="Times New Roman" w:hAnsi="Times New Roman" w:cs="Times New Roman"/>
          <w:sz w:val="28"/>
          <w:szCs w:val="28"/>
        </w:rPr>
        <w:t xml:space="preserve"> принимая во внимание </w:t>
      </w:r>
      <w:r w:rsidR="001F78B1" w:rsidRPr="00BD3F35">
        <w:rPr>
          <w:rFonts w:ascii="Times New Roman" w:hAnsi="Times New Roman" w:cs="Times New Roman"/>
          <w:sz w:val="28"/>
          <w:szCs w:val="28"/>
        </w:rPr>
        <w:t>фактор</w:t>
      </w:r>
      <w:r w:rsidR="00B82788">
        <w:rPr>
          <w:rFonts w:ascii="Times New Roman" w:hAnsi="Times New Roman" w:cs="Times New Roman"/>
          <w:sz w:val="28"/>
          <w:szCs w:val="28"/>
        </w:rPr>
        <w:t>ы</w:t>
      </w:r>
      <w:r w:rsidR="001F78B1" w:rsidRPr="00BD3F35">
        <w:rPr>
          <w:rFonts w:ascii="Times New Roman" w:hAnsi="Times New Roman" w:cs="Times New Roman"/>
          <w:sz w:val="28"/>
          <w:szCs w:val="28"/>
        </w:rPr>
        <w:t xml:space="preserve"> </w:t>
      </w:r>
      <w:r w:rsidR="00B82788">
        <w:rPr>
          <w:rFonts w:ascii="Times New Roman" w:hAnsi="Times New Roman" w:cs="Times New Roman"/>
          <w:sz w:val="28"/>
          <w:szCs w:val="28"/>
        </w:rPr>
        <w:t xml:space="preserve">охраны и сохранения </w:t>
      </w:r>
      <w:r w:rsidR="001F78B1" w:rsidRPr="00BD3F35">
        <w:rPr>
          <w:rFonts w:ascii="Times New Roman" w:hAnsi="Times New Roman" w:cs="Times New Roman"/>
          <w:sz w:val="28"/>
          <w:szCs w:val="28"/>
        </w:rPr>
        <w:t>окружающей среды</w:t>
      </w:r>
      <w:r w:rsidR="00B82788">
        <w:rPr>
          <w:rFonts w:ascii="Times New Roman" w:hAnsi="Times New Roman" w:cs="Times New Roman"/>
          <w:sz w:val="28"/>
          <w:szCs w:val="28"/>
        </w:rPr>
        <w:t xml:space="preserve"> и </w:t>
      </w:r>
      <w:r>
        <w:rPr>
          <w:rFonts w:ascii="Times New Roman" w:hAnsi="Times New Roman" w:cs="Times New Roman"/>
          <w:sz w:val="28"/>
          <w:szCs w:val="28"/>
        </w:rPr>
        <w:t xml:space="preserve">определенные </w:t>
      </w:r>
      <w:r w:rsidR="00B82788">
        <w:rPr>
          <w:rFonts w:ascii="Times New Roman" w:hAnsi="Times New Roman" w:cs="Times New Roman"/>
          <w:sz w:val="28"/>
          <w:szCs w:val="28"/>
        </w:rPr>
        <w:t>социальные нормы</w:t>
      </w:r>
      <w:r w:rsidR="001F78B1" w:rsidRPr="00BD3F35">
        <w:rPr>
          <w:rFonts w:ascii="Times New Roman" w:hAnsi="Times New Roman" w:cs="Times New Roman"/>
          <w:sz w:val="28"/>
          <w:szCs w:val="28"/>
        </w:rPr>
        <w:t>. Уже в конце 20 века европейские компании начали составлять нефинансовые отчеты, которые раскрывали основные аспекты ESG</w:t>
      </w:r>
      <w:r w:rsidR="00B82788">
        <w:rPr>
          <w:rFonts w:ascii="Times New Roman" w:hAnsi="Times New Roman" w:cs="Times New Roman"/>
          <w:sz w:val="28"/>
          <w:szCs w:val="28"/>
        </w:rPr>
        <w:t>-показателей</w:t>
      </w:r>
      <w:r w:rsidR="001F78B1" w:rsidRPr="00BD3F35">
        <w:rPr>
          <w:rFonts w:ascii="Times New Roman" w:hAnsi="Times New Roman" w:cs="Times New Roman"/>
          <w:sz w:val="28"/>
          <w:szCs w:val="28"/>
        </w:rPr>
        <w:t xml:space="preserve">. В последние 20 лет – эта </w:t>
      </w:r>
      <w:r w:rsidR="005525C5">
        <w:rPr>
          <w:rFonts w:ascii="Times New Roman" w:hAnsi="Times New Roman" w:cs="Times New Roman"/>
          <w:sz w:val="28"/>
          <w:szCs w:val="28"/>
        </w:rPr>
        <w:t xml:space="preserve">практика </w:t>
      </w:r>
      <w:r w:rsidR="005525C5" w:rsidRPr="00BD3F35">
        <w:rPr>
          <w:rFonts w:ascii="Times New Roman" w:hAnsi="Times New Roman" w:cs="Times New Roman"/>
          <w:sz w:val="28"/>
          <w:szCs w:val="28"/>
        </w:rPr>
        <w:t>получила</w:t>
      </w:r>
      <w:r w:rsidR="001F78B1" w:rsidRPr="00BD3F35">
        <w:rPr>
          <w:rFonts w:ascii="Times New Roman" w:hAnsi="Times New Roman" w:cs="Times New Roman"/>
          <w:sz w:val="28"/>
          <w:szCs w:val="28"/>
        </w:rPr>
        <w:t xml:space="preserve"> еще более широкое распространение. </w:t>
      </w:r>
      <w:r w:rsidR="00B82788">
        <w:rPr>
          <w:rFonts w:ascii="Times New Roman" w:hAnsi="Times New Roman" w:cs="Times New Roman"/>
          <w:sz w:val="28"/>
          <w:szCs w:val="28"/>
        </w:rPr>
        <w:t>П</w:t>
      </w:r>
      <w:r w:rsidR="001F78B1" w:rsidRPr="00BD3F35">
        <w:rPr>
          <w:rFonts w:ascii="Times New Roman" w:hAnsi="Times New Roman" w:cs="Times New Roman"/>
          <w:sz w:val="28"/>
          <w:szCs w:val="28"/>
        </w:rPr>
        <w:t xml:space="preserve">оявлению первых систем </w:t>
      </w:r>
      <w:r w:rsidR="005525C5" w:rsidRPr="00BD3F35">
        <w:rPr>
          <w:rFonts w:ascii="Times New Roman" w:hAnsi="Times New Roman" w:cs="Times New Roman"/>
          <w:sz w:val="28"/>
          <w:szCs w:val="28"/>
        </w:rPr>
        <w:t>стандартов для</w:t>
      </w:r>
      <w:r w:rsidR="001F78B1" w:rsidRPr="00BD3F35">
        <w:rPr>
          <w:rFonts w:ascii="Times New Roman" w:hAnsi="Times New Roman" w:cs="Times New Roman"/>
          <w:sz w:val="28"/>
          <w:szCs w:val="28"/>
        </w:rPr>
        <w:t xml:space="preserve"> компаний по составлению нефинансовой отчетности способствовало принятие в 2015 г. Парижского соглашения по координации усилий государств по сокращению выбросов парниковых газов, а также внедрением</w:t>
      </w:r>
      <w:r w:rsidR="001F78B1">
        <w:rPr>
          <w:rFonts w:ascii="Times New Roman" w:hAnsi="Times New Roman" w:cs="Times New Roman"/>
          <w:sz w:val="28"/>
          <w:szCs w:val="28"/>
        </w:rPr>
        <w:t xml:space="preserve"> ООН целей устойчивого развития [</w:t>
      </w:r>
      <w:r w:rsidR="00F1017A" w:rsidRPr="00F1017A">
        <w:rPr>
          <w:rFonts w:ascii="Times New Roman" w:hAnsi="Times New Roman" w:cs="Times New Roman"/>
          <w:sz w:val="28"/>
          <w:szCs w:val="28"/>
        </w:rPr>
        <w:t>7</w:t>
      </w:r>
      <w:r w:rsidR="001F78B1">
        <w:rPr>
          <w:rFonts w:ascii="Times New Roman" w:hAnsi="Times New Roman" w:cs="Times New Roman"/>
          <w:sz w:val="28"/>
          <w:szCs w:val="28"/>
        </w:rPr>
        <w:t xml:space="preserve">, </w:t>
      </w:r>
      <w:r w:rsidR="00F1017A" w:rsidRPr="00F1017A">
        <w:rPr>
          <w:rFonts w:ascii="Times New Roman" w:hAnsi="Times New Roman" w:cs="Times New Roman"/>
          <w:sz w:val="28"/>
          <w:szCs w:val="28"/>
        </w:rPr>
        <w:t>8</w:t>
      </w:r>
      <w:r w:rsidR="001F78B1" w:rsidRPr="00EE6191">
        <w:rPr>
          <w:rFonts w:ascii="Times New Roman" w:hAnsi="Times New Roman" w:cs="Times New Roman"/>
          <w:sz w:val="28"/>
          <w:szCs w:val="28"/>
        </w:rPr>
        <w:t>].</w:t>
      </w:r>
    </w:p>
    <w:p w14:paraId="51CF5F1C" w14:textId="6917200D" w:rsidR="00E84BE1" w:rsidRDefault="004E0DF1" w:rsidP="00552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 вот наряду со всем этим, </w:t>
      </w:r>
      <w:r w:rsidR="005525C5">
        <w:rPr>
          <w:rFonts w:ascii="Times New Roman" w:hAnsi="Times New Roman" w:cs="Times New Roman"/>
          <w:sz w:val="28"/>
          <w:szCs w:val="28"/>
        </w:rPr>
        <w:t>приходится</w:t>
      </w:r>
      <w:r w:rsidR="006F2472">
        <w:rPr>
          <w:rFonts w:ascii="Times New Roman" w:hAnsi="Times New Roman" w:cs="Times New Roman"/>
          <w:sz w:val="28"/>
          <w:szCs w:val="28"/>
        </w:rPr>
        <w:t xml:space="preserve"> констатировать</w:t>
      </w:r>
      <w:r>
        <w:rPr>
          <w:rFonts w:ascii="Times New Roman" w:hAnsi="Times New Roman" w:cs="Times New Roman"/>
          <w:sz w:val="28"/>
          <w:szCs w:val="28"/>
        </w:rPr>
        <w:t>, что в</w:t>
      </w:r>
      <w:r w:rsidR="00B82788">
        <w:rPr>
          <w:rFonts w:ascii="Times New Roman" w:hAnsi="Times New Roman" w:cs="Times New Roman"/>
          <w:sz w:val="28"/>
          <w:szCs w:val="28"/>
        </w:rPr>
        <w:t xml:space="preserve"> настоящее время</w:t>
      </w:r>
      <w:r w:rsidR="00F528FC" w:rsidRPr="00BD3F35">
        <w:rPr>
          <w:rFonts w:ascii="Times New Roman" w:hAnsi="Times New Roman" w:cs="Times New Roman"/>
          <w:sz w:val="28"/>
          <w:szCs w:val="28"/>
        </w:rPr>
        <w:t xml:space="preserve"> </w:t>
      </w:r>
      <w:r w:rsidR="00B82788">
        <w:rPr>
          <w:rFonts w:ascii="Times New Roman" w:hAnsi="Times New Roman" w:cs="Times New Roman"/>
          <w:sz w:val="28"/>
          <w:szCs w:val="28"/>
        </w:rPr>
        <w:t>не существует единых</w:t>
      </w:r>
      <w:r>
        <w:rPr>
          <w:rFonts w:ascii="Times New Roman" w:hAnsi="Times New Roman" w:cs="Times New Roman"/>
          <w:sz w:val="28"/>
          <w:szCs w:val="28"/>
        </w:rPr>
        <w:t>, достаточно</w:t>
      </w:r>
      <w:r w:rsidR="00B82788">
        <w:rPr>
          <w:rFonts w:ascii="Times New Roman" w:hAnsi="Times New Roman" w:cs="Times New Roman"/>
          <w:sz w:val="28"/>
          <w:szCs w:val="28"/>
        </w:rPr>
        <w:t xml:space="preserve"> регламентированных требований </w:t>
      </w:r>
      <w:r>
        <w:rPr>
          <w:rFonts w:ascii="Times New Roman" w:hAnsi="Times New Roman" w:cs="Times New Roman"/>
          <w:sz w:val="28"/>
          <w:szCs w:val="28"/>
        </w:rPr>
        <w:t xml:space="preserve">к </w:t>
      </w:r>
      <w:r w:rsidR="002E544D" w:rsidRPr="00BD3F35">
        <w:rPr>
          <w:rFonts w:ascii="Times New Roman" w:hAnsi="Times New Roman" w:cs="Times New Roman"/>
          <w:sz w:val="28"/>
          <w:szCs w:val="28"/>
        </w:rPr>
        <w:t>составлени</w:t>
      </w:r>
      <w:r>
        <w:rPr>
          <w:rFonts w:ascii="Times New Roman" w:hAnsi="Times New Roman" w:cs="Times New Roman"/>
          <w:sz w:val="28"/>
          <w:szCs w:val="28"/>
        </w:rPr>
        <w:t>ю</w:t>
      </w:r>
      <w:r w:rsidR="002E544D" w:rsidRPr="00BD3F35">
        <w:rPr>
          <w:rFonts w:ascii="Times New Roman" w:hAnsi="Times New Roman" w:cs="Times New Roman"/>
          <w:sz w:val="28"/>
          <w:szCs w:val="28"/>
        </w:rPr>
        <w:t xml:space="preserve"> </w:t>
      </w:r>
      <w:r w:rsidR="004E63D5">
        <w:rPr>
          <w:rFonts w:ascii="Times New Roman" w:hAnsi="Times New Roman" w:cs="Times New Roman"/>
          <w:sz w:val="28"/>
          <w:szCs w:val="28"/>
        </w:rPr>
        <w:t>отчетности об устойчивом развитии</w:t>
      </w:r>
      <w:r w:rsidR="00F528FC" w:rsidRPr="00BD3F35">
        <w:rPr>
          <w:rFonts w:ascii="Times New Roman" w:hAnsi="Times New Roman" w:cs="Times New Roman"/>
          <w:sz w:val="28"/>
          <w:szCs w:val="28"/>
        </w:rPr>
        <w:t xml:space="preserve">, каждая компания самостоятельно </w:t>
      </w:r>
      <w:r w:rsidR="00B82788">
        <w:rPr>
          <w:rFonts w:ascii="Times New Roman" w:hAnsi="Times New Roman" w:cs="Times New Roman"/>
          <w:sz w:val="28"/>
          <w:szCs w:val="28"/>
        </w:rPr>
        <w:t>формирует так</w:t>
      </w:r>
      <w:r>
        <w:rPr>
          <w:rFonts w:ascii="Times New Roman" w:hAnsi="Times New Roman" w:cs="Times New Roman"/>
          <w:sz w:val="28"/>
          <w:szCs w:val="28"/>
        </w:rPr>
        <w:t>у</w:t>
      </w:r>
      <w:r w:rsidR="00B82788">
        <w:rPr>
          <w:rFonts w:ascii="Times New Roman" w:hAnsi="Times New Roman" w:cs="Times New Roman"/>
          <w:sz w:val="28"/>
          <w:szCs w:val="28"/>
        </w:rPr>
        <w:t>ю отчетность</w:t>
      </w:r>
      <w:r w:rsidR="00F528FC" w:rsidRPr="00BD3F35">
        <w:rPr>
          <w:rFonts w:ascii="Times New Roman" w:hAnsi="Times New Roman" w:cs="Times New Roman"/>
          <w:sz w:val="28"/>
          <w:szCs w:val="28"/>
        </w:rPr>
        <w:t xml:space="preserve">, </w:t>
      </w:r>
      <w:r w:rsidR="00B82788">
        <w:rPr>
          <w:rFonts w:ascii="Times New Roman" w:hAnsi="Times New Roman" w:cs="Times New Roman"/>
          <w:sz w:val="28"/>
          <w:szCs w:val="28"/>
        </w:rPr>
        <w:t xml:space="preserve">руководствуясь общими принципами и подходами, изложенных в документах, изданных   несколькими </w:t>
      </w:r>
      <w:r>
        <w:rPr>
          <w:rFonts w:ascii="Times New Roman" w:hAnsi="Times New Roman" w:cs="Times New Roman"/>
          <w:sz w:val="28"/>
          <w:szCs w:val="28"/>
        </w:rPr>
        <w:t xml:space="preserve">общественными </w:t>
      </w:r>
      <w:r w:rsidR="00B82788">
        <w:rPr>
          <w:rFonts w:ascii="Times New Roman" w:hAnsi="Times New Roman" w:cs="Times New Roman"/>
          <w:sz w:val="28"/>
          <w:szCs w:val="28"/>
        </w:rPr>
        <w:t xml:space="preserve">организациям (см.  табл. </w:t>
      </w:r>
      <w:r w:rsidR="006755F8">
        <w:rPr>
          <w:rFonts w:ascii="Times New Roman" w:hAnsi="Times New Roman" w:cs="Times New Roman"/>
          <w:sz w:val="28"/>
          <w:szCs w:val="28"/>
        </w:rPr>
        <w:t>1</w:t>
      </w:r>
      <w:r w:rsidR="00B82788">
        <w:rPr>
          <w:rFonts w:ascii="Times New Roman" w:hAnsi="Times New Roman" w:cs="Times New Roman"/>
          <w:sz w:val="28"/>
          <w:szCs w:val="28"/>
        </w:rPr>
        <w:t>)</w:t>
      </w:r>
      <w:r w:rsidR="0071593D" w:rsidRPr="00BD3F35">
        <w:rPr>
          <w:rFonts w:ascii="Times New Roman" w:hAnsi="Times New Roman" w:cs="Times New Roman"/>
          <w:sz w:val="28"/>
          <w:szCs w:val="28"/>
        </w:rPr>
        <w:t>.</w:t>
      </w:r>
      <w:r w:rsidR="006755F8">
        <w:rPr>
          <w:rFonts w:ascii="Times New Roman" w:hAnsi="Times New Roman" w:cs="Times New Roman"/>
          <w:sz w:val="28"/>
          <w:szCs w:val="28"/>
        </w:rPr>
        <w:t xml:space="preserve"> </w:t>
      </w:r>
      <w:r w:rsidR="00B82788">
        <w:rPr>
          <w:rFonts w:ascii="Times New Roman" w:hAnsi="Times New Roman" w:cs="Times New Roman"/>
          <w:sz w:val="28"/>
          <w:szCs w:val="28"/>
        </w:rPr>
        <w:t xml:space="preserve">Перечень представленный в Таблице 1 </w:t>
      </w:r>
      <w:r w:rsidR="006755F8">
        <w:rPr>
          <w:rFonts w:ascii="Times New Roman" w:hAnsi="Times New Roman" w:cs="Times New Roman"/>
          <w:sz w:val="28"/>
          <w:szCs w:val="28"/>
        </w:rPr>
        <w:t xml:space="preserve">не </w:t>
      </w:r>
      <w:r w:rsidR="00B82788">
        <w:rPr>
          <w:rFonts w:ascii="Times New Roman" w:hAnsi="Times New Roman" w:cs="Times New Roman"/>
          <w:sz w:val="28"/>
          <w:szCs w:val="28"/>
        </w:rPr>
        <w:t xml:space="preserve">является </w:t>
      </w:r>
      <w:r w:rsidR="005525C5">
        <w:rPr>
          <w:rFonts w:ascii="Times New Roman" w:hAnsi="Times New Roman" w:cs="Times New Roman"/>
          <w:sz w:val="28"/>
          <w:szCs w:val="28"/>
        </w:rPr>
        <w:t>исчерпывающим, помимо</w:t>
      </w:r>
      <w:r w:rsidR="00B82788">
        <w:rPr>
          <w:rFonts w:ascii="Times New Roman" w:hAnsi="Times New Roman" w:cs="Times New Roman"/>
          <w:sz w:val="28"/>
          <w:szCs w:val="28"/>
        </w:rPr>
        <w:t xml:space="preserve"> указа</w:t>
      </w:r>
      <w:r w:rsidR="002773BD">
        <w:rPr>
          <w:rFonts w:ascii="Times New Roman" w:hAnsi="Times New Roman" w:cs="Times New Roman"/>
          <w:sz w:val="28"/>
          <w:szCs w:val="28"/>
        </w:rPr>
        <w:t>нных следует отметить регуляторы</w:t>
      </w:r>
      <w:r w:rsidR="00B82788">
        <w:rPr>
          <w:rFonts w:ascii="Times New Roman" w:hAnsi="Times New Roman" w:cs="Times New Roman"/>
          <w:sz w:val="28"/>
          <w:szCs w:val="28"/>
        </w:rPr>
        <w:t xml:space="preserve"> </w:t>
      </w:r>
      <w:r w:rsidR="006755F8" w:rsidRPr="000A2124">
        <w:rPr>
          <w:rFonts w:ascii="Times New Roman" w:hAnsi="Times New Roman" w:cs="Times New Roman"/>
          <w:sz w:val="28"/>
          <w:szCs w:val="28"/>
        </w:rPr>
        <w:t>CDSB</w:t>
      </w:r>
      <w:r w:rsidR="006755F8">
        <w:rPr>
          <w:rFonts w:ascii="Times New Roman" w:hAnsi="Times New Roman" w:cs="Times New Roman"/>
          <w:sz w:val="28"/>
          <w:szCs w:val="28"/>
        </w:rPr>
        <w:t xml:space="preserve"> </w:t>
      </w:r>
      <w:r w:rsidR="006755F8" w:rsidRPr="006755F8">
        <w:rPr>
          <w:rFonts w:ascii="Times New Roman" w:hAnsi="Times New Roman" w:cs="Times New Roman"/>
          <w:sz w:val="28"/>
          <w:szCs w:val="28"/>
        </w:rPr>
        <w:t>(</w:t>
      </w:r>
      <w:proofErr w:type="spellStart"/>
      <w:r w:rsidR="006755F8" w:rsidRPr="002B797F">
        <w:rPr>
          <w:rFonts w:ascii="Times New Roman" w:hAnsi="Times New Roman" w:cs="Times New Roman"/>
          <w:sz w:val="28"/>
          <w:szCs w:val="28"/>
        </w:rPr>
        <w:t>Cli</w:t>
      </w:r>
      <w:r w:rsidR="00AB1778">
        <w:rPr>
          <w:rFonts w:ascii="Times New Roman" w:hAnsi="Times New Roman" w:cs="Times New Roman"/>
          <w:sz w:val="28"/>
          <w:szCs w:val="28"/>
        </w:rPr>
        <w:t>mate</w:t>
      </w:r>
      <w:proofErr w:type="spellEnd"/>
      <w:r w:rsidR="00AB1778">
        <w:rPr>
          <w:rFonts w:ascii="Times New Roman" w:hAnsi="Times New Roman" w:cs="Times New Roman"/>
          <w:sz w:val="28"/>
          <w:szCs w:val="28"/>
        </w:rPr>
        <w:t xml:space="preserve"> </w:t>
      </w:r>
      <w:proofErr w:type="spellStart"/>
      <w:r w:rsidR="00AB1778">
        <w:rPr>
          <w:rFonts w:ascii="Times New Roman" w:hAnsi="Times New Roman" w:cs="Times New Roman"/>
          <w:sz w:val="28"/>
          <w:szCs w:val="28"/>
        </w:rPr>
        <w:t>Disclosure</w:t>
      </w:r>
      <w:proofErr w:type="spellEnd"/>
      <w:r w:rsidR="00AB1778">
        <w:rPr>
          <w:rFonts w:ascii="Times New Roman" w:hAnsi="Times New Roman" w:cs="Times New Roman"/>
          <w:sz w:val="28"/>
          <w:szCs w:val="28"/>
        </w:rPr>
        <w:t xml:space="preserve"> </w:t>
      </w:r>
      <w:proofErr w:type="spellStart"/>
      <w:r w:rsidR="00AB1778">
        <w:rPr>
          <w:rFonts w:ascii="Times New Roman" w:hAnsi="Times New Roman" w:cs="Times New Roman"/>
          <w:sz w:val="28"/>
          <w:szCs w:val="28"/>
        </w:rPr>
        <w:t>Standards</w:t>
      </w:r>
      <w:proofErr w:type="spellEnd"/>
      <w:r w:rsidR="00AB1778">
        <w:rPr>
          <w:rFonts w:ascii="Times New Roman" w:hAnsi="Times New Roman" w:cs="Times New Roman"/>
          <w:sz w:val="28"/>
          <w:szCs w:val="28"/>
        </w:rPr>
        <w:t xml:space="preserve"> </w:t>
      </w:r>
      <w:proofErr w:type="spellStart"/>
      <w:r w:rsidR="00AB1778">
        <w:rPr>
          <w:rFonts w:ascii="Times New Roman" w:hAnsi="Times New Roman" w:cs="Times New Roman"/>
          <w:sz w:val="28"/>
          <w:szCs w:val="28"/>
        </w:rPr>
        <w:t>Board</w:t>
      </w:r>
      <w:proofErr w:type="spellEnd"/>
      <w:r w:rsidR="00F1017A">
        <w:rPr>
          <w:rFonts w:ascii="Times New Roman" w:hAnsi="Times New Roman" w:cs="Times New Roman"/>
          <w:sz w:val="28"/>
          <w:szCs w:val="28"/>
        </w:rPr>
        <w:t>) [9</w:t>
      </w:r>
      <w:r w:rsidR="00AB1778" w:rsidRPr="00AB1778">
        <w:rPr>
          <w:rFonts w:ascii="Times New Roman" w:hAnsi="Times New Roman" w:cs="Times New Roman"/>
          <w:sz w:val="28"/>
          <w:szCs w:val="28"/>
        </w:rPr>
        <w:t>]</w:t>
      </w:r>
      <w:r w:rsidR="00F1017A">
        <w:rPr>
          <w:rFonts w:ascii="Times New Roman" w:hAnsi="Times New Roman" w:cs="Times New Roman"/>
          <w:sz w:val="28"/>
          <w:szCs w:val="28"/>
        </w:rPr>
        <w:t>, ЦУР ООН [10</w:t>
      </w:r>
      <w:r w:rsidR="00AB1778">
        <w:rPr>
          <w:rFonts w:ascii="Times New Roman" w:hAnsi="Times New Roman" w:cs="Times New Roman"/>
          <w:sz w:val="28"/>
          <w:szCs w:val="28"/>
        </w:rPr>
        <w:t>]</w:t>
      </w:r>
      <w:r w:rsidR="006755F8">
        <w:rPr>
          <w:rFonts w:ascii="Times New Roman" w:hAnsi="Times New Roman" w:cs="Times New Roman"/>
          <w:sz w:val="28"/>
          <w:szCs w:val="28"/>
        </w:rPr>
        <w:t xml:space="preserve"> </w:t>
      </w:r>
      <w:r w:rsidR="002B797F">
        <w:rPr>
          <w:rFonts w:ascii="Times New Roman" w:hAnsi="Times New Roman" w:cs="Times New Roman"/>
          <w:sz w:val="28"/>
          <w:szCs w:val="28"/>
        </w:rPr>
        <w:t xml:space="preserve">и др.  Наличие такого большого количество регулирующих организаций и </w:t>
      </w:r>
      <w:r w:rsidR="00B82788">
        <w:rPr>
          <w:rFonts w:ascii="Times New Roman" w:hAnsi="Times New Roman" w:cs="Times New Roman"/>
          <w:sz w:val="28"/>
          <w:szCs w:val="28"/>
        </w:rPr>
        <w:t xml:space="preserve">выпускаемых ими </w:t>
      </w:r>
      <w:r w:rsidR="002B797F">
        <w:rPr>
          <w:rFonts w:ascii="Times New Roman" w:hAnsi="Times New Roman" w:cs="Times New Roman"/>
          <w:sz w:val="28"/>
          <w:szCs w:val="28"/>
        </w:rPr>
        <w:t xml:space="preserve">стандартов </w:t>
      </w:r>
      <w:r w:rsidR="00B82788">
        <w:rPr>
          <w:rFonts w:ascii="Times New Roman" w:hAnsi="Times New Roman" w:cs="Times New Roman"/>
          <w:sz w:val="28"/>
          <w:szCs w:val="28"/>
        </w:rPr>
        <w:t>в</w:t>
      </w:r>
      <w:r w:rsidR="002B797F">
        <w:rPr>
          <w:rFonts w:ascii="Times New Roman" w:hAnsi="Times New Roman" w:cs="Times New Roman"/>
          <w:sz w:val="28"/>
          <w:szCs w:val="28"/>
        </w:rPr>
        <w:t xml:space="preserve">носит </w:t>
      </w:r>
      <w:r w:rsidR="000F5522">
        <w:rPr>
          <w:rFonts w:ascii="Times New Roman" w:hAnsi="Times New Roman" w:cs="Times New Roman"/>
          <w:sz w:val="28"/>
          <w:szCs w:val="28"/>
        </w:rPr>
        <w:t xml:space="preserve">определенные </w:t>
      </w:r>
      <w:r w:rsidR="00B82788">
        <w:rPr>
          <w:rFonts w:ascii="Times New Roman" w:hAnsi="Times New Roman" w:cs="Times New Roman"/>
          <w:sz w:val="28"/>
          <w:szCs w:val="28"/>
        </w:rPr>
        <w:t>сложности</w:t>
      </w:r>
      <w:r w:rsidR="000F5522">
        <w:rPr>
          <w:rFonts w:ascii="Times New Roman" w:hAnsi="Times New Roman" w:cs="Times New Roman"/>
          <w:sz w:val="28"/>
          <w:szCs w:val="28"/>
        </w:rPr>
        <w:t xml:space="preserve"> при формировании отчетов и их дальнейшей интерпретации, а также  </w:t>
      </w:r>
      <w:r w:rsidR="002B797F">
        <w:rPr>
          <w:rFonts w:ascii="Times New Roman" w:hAnsi="Times New Roman" w:cs="Times New Roman"/>
          <w:sz w:val="28"/>
          <w:szCs w:val="28"/>
        </w:rPr>
        <w:t xml:space="preserve"> </w:t>
      </w:r>
      <w:r w:rsidR="000F5522">
        <w:rPr>
          <w:rFonts w:ascii="Times New Roman" w:hAnsi="Times New Roman" w:cs="Times New Roman"/>
          <w:sz w:val="28"/>
          <w:szCs w:val="28"/>
        </w:rPr>
        <w:t xml:space="preserve">приводит </w:t>
      </w:r>
      <w:r w:rsidR="005525C5">
        <w:rPr>
          <w:rFonts w:ascii="Times New Roman" w:hAnsi="Times New Roman" w:cs="Times New Roman"/>
          <w:sz w:val="28"/>
          <w:szCs w:val="28"/>
        </w:rPr>
        <w:t>к дополнительным</w:t>
      </w:r>
      <w:r w:rsidR="000F5522">
        <w:rPr>
          <w:rFonts w:ascii="Times New Roman" w:hAnsi="Times New Roman" w:cs="Times New Roman"/>
          <w:sz w:val="28"/>
          <w:szCs w:val="28"/>
        </w:rPr>
        <w:t xml:space="preserve"> расходам </w:t>
      </w:r>
      <w:r w:rsidR="00ED7B37">
        <w:rPr>
          <w:rFonts w:ascii="Times New Roman" w:hAnsi="Times New Roman" w:cs="Times New Roman"/>
          <w:sz w:val="28"/>
          <w:szCs w:val="28"/>
        </w:rPr>
        <w:t>на составление так</w:t>
      </w:r>
      <w:r w:rsidR="00A460CD">
        <w:rPr>
          <w:rFonts w:ascii="Times New Roman" w:hAnsi="Times New Roman" w:cs="Times New Roman"/>
          <w:sz w:val="28"/>
          <w:szCs w:val="28"/>
        </w:rPr>
        <w:t>ой</w:t>
      </w:r>
      <w:r w:rsidR="00ED7B37">
        <w:rPr>
          <w:rFonts w:ascii="Times New Roman" w:hAnsi="Times New Roman" w:cs="Times New Roman"/>
          <w:sz w:val="28"/>
          <w:szCs w:val="28"/>
        </w:rPr>
        <w:t xml:space="preserve"> отчетност</w:t>
      </w:r>
      <w:r w:rsidR="00A460CD">
        <w:rPr>
          <w:rFonts w:ascii="Times New Roman" w:hAnsi="Times New Roman" w:cs="Times New Roman"/>
          <w:sz w:val="28"/>
          <w:szCs w:val="28"/>
        </w:rPr>
        <w:t>и</w:t>
      </w:r>
      <w:r w:rsidR="00ED7B37">
        <w:rPr>
          <w:rFonts w:ascii="Times New Roman" w:hAnsi="Times New Roman" w:cs="Times New Roman"/>
          <w:sz w:val="28"/>
          <w:szCs w:val="28"/>
        </w:rPr>
        <w:t>.</w:t>
      </w:r>
    </w:p>
    <w:p w14:paraId="1B80881F" w14:textId="77777777" w:rsidR="003B272F" w:rsidRPr="000A2124" w:rsidRDefault="006755F8" w:rsidP="006755F8">
      <w:pPr>
        <w:spacing w:line="240" w:lineRule="auto"/>
        <w:jc w:val="both"/>
        <w:rPr>
          <w:rFonts w:ascii="Times New Roman" w:hAnsi="Times New Roman" w:cs="Times New Roman"/>
          <w:sz w:val="24"/>
          <w:szCs w:val="28"/>
        </w:rPr>
      </w:pPr>
      <w:r w:rsidRPr="000A2124">
        <w:rPr>
          <w:rFonts w:ascii="Times New Roman" w:hAnsi="Times New Roman" w:cs="Times New Roman"/>
          <w:sz w:val="24"/>
          <w:szCs w:val="28"/>
        </w:rPr>
        <w:t xml:space="preserve">Таблица 1 – Основные стандарты и организации регулирования </w:t>
      </w:r>
      <w:r w:rsidR="005E0F5E" w:rsidRPr="000A2124">
        <w:rPr>
          <w:rFonts w:ascii="Times New Roman" w:hAnsi="Times New Roman" w:cs="Times New Roman"/>
          <w:sz w:val="24"/>
          <w:szCs w:val="28"/>
        </w:rPr>
        <w:t>отчетности в области устойчивого развития</w:t>
      </w:r>
    </w:p>
    <w:tbl>
      <w:tblPr>
        <w:tblStyle w:val="a8"/>
        <w:tblW w:w="0" w:type="auto"/>
        <w:tblLayout w:type="fixed"/>
        <w:tblLook w:val="04A0" w:firstRow="1" w:lastRow="0" w:firstColumn="1" w:lastColumn="0" w:noHBand="0" w:noVBand="1"/>
      </w:tblPr>
      <w:tblGrid>
        <w:gridCol w:w="1668"/>
        <w:gridCol w:w="1275"/>
        <w:gridCol w:w="1730"/>
        <w:gridCol w:w="992"/>
        <w:gridCol w:w="3963"/>
      </w:tblGrid>
      <w:tr w:rsidR="006B1000" w:rsidRPr="00872528" w14:paraId="44AD6154" w14:textId="77777777" w:rsidTr="00A21B94">
        <w:tc>
          <w:tcPr>
            <w:tcW w:w="1668" w:type="dxa"/>
          </w:tcPr>
          <w:p w14:paraId="2CF2C3A9" w14:textId="77777777" w:rsidR="006B1000" w:rsidRPr="000E4D98" w:rsidRDefault="006B1000" w:rsidP="000E4D98">
            <w:pPr>
              <w:jc w:val="center"/>
              <w:rPr>
                <w:rFonts w:ascii="Times New Roman" w:hAnsi="Times New Roman" w:cs="Times New Roman"/>
                <w:b/>
                <w:sz w:val="24"/>
                <w:szCs w:val="24"/>
              </w:rPr>
            </w:pPr>
            <w:r w:rsidRPr="000E4D98">
              <w:rPr>
                <w:rFonts w:ascii="Times New Roman" w:hAnsi="Times New Roman" w:cs="Times New Roman"/>
                <w:b/>
                <w:sz w:val="24"/>
                <w:szCs w:val="24"/>
              </w:rPr>
              <w:t>Название</w:t>
            </w:r>
            <w:r w:rsidR="005E0F5E" w:rsidRPr="000E4D98">
              <w:rPr>
                <w:rFonts w:ascii="Times New Roman" w:hAnsi="Times New Roman" w:cs="Times New Roman"/>
                <w:b/>
                <w:sz w:val="24"/>
                <w:szCs w:val="24"/>
              </w:rPr>
              <w:t xml:space="preserve"> </w:t>
            </w:r>
            <w:r w:rsidR="00872528" w:rsidRPr="000E4D98">
              <w:rPr>
                <w:rFonts w:ascii="Times New Roman" w:hAnsi="Times New Roman" w:cs="Times New Roman"/>
                <w:b/>
                <w:sz w:val="24"/>
                <w:szCs w:val="24"/>
              </w:rPr>
              <w:t>регулятор</w:t>
            </w:r>
            <w:r w:rsidR="00872528">
              <w:rPr>
                <w:rFonts w:ascii="Times New Roman" w:hAnsi="Times New Roman" w:cs="Times New Roman"/>
                <w:b/>
                <w:sz w:val="24"/>
                <w:szCs w:val="24"/>
              </w:rPr>
              <w:t>а</w:t>
            </w:r>
          </w:p>
        </w:tc>
        <w:tc>
          <w:tcPr>
            <w:tcW w:w="1275" w:type="dxa"/>
          </w:tcPr>
          <w:p w14:paraId="7848FF49" w14:textId="77777777" w:rsidR="006B1000" w:rsidRPr="000E4D98" w:rsidRDefault="006B1000" w:rsidP="000E4D98">
            <w:pPr>
              <w:jc w:val="center"/>
              <w:rPr>
                <w:rFonts w:ascii="Times New Roman" w:hAnsi="Times New Roman" w:cs="Times New Roman"/>
                <w:b/>
                <w:sz w:val="24"/>
                <w:szCs w:val="24"/>
              </w:rPr>
            </w:pPr>
            <w:r w:rsidRPr="000E4D98">
              <w:rPr>
                <w:rFonts w:ascii="Times New Roman" w:hAnsi="Times New Roman" w:cs="Times New Roman"/>
                <w:b/>
                <w:sz w:val="24"/>
                <w:szCs w:val="24"/>
              </w:rPr>
              <w:t>Стандарт</w:t>
            </w:r>
          </w:p>
        </w:tc>
        <w:tc>
          <w:tcPr>
            <w:tcW w:w="1730" w:type="dxa"/>
          </w:tcPr>
          <w:p w14:paraId="23768C02" w14:textId="77777777" w:rsidR="006B1000" w:rsidRPr="000E4D98" w:rsidRDefault="006B1000" w:rsidP="000E4D98">
            <w:pPr>
              <w:jc w:val="center"/>
              <w:rPr>
                <w:rFonts w:ascii="Times New Roman" w:hAnsi="Times New Roman" w:cs="Times New Roman"/>
                <w:b/>
                <w:sz w:val="24"/>
                <w:szCs w:val="24"/>
              </w:rPr>
            </w:pPr>
            <w:r w:rsidRPr="000E4D98">
              <w:rPr>
                <w:rFonts w:ascii="Times New Roman" w:hAnsi="Times New Roman" w:cs="Times New Roman"/>
                <w:b/>
                <w:sz w:val="24"/>
                <w:szCs w:val="24"/>
              </w:rPr>
              <w:t>Организация</w:t>
            </w:r>
          </w:p>
        </w:tc>
        <w:tc>
          <w:tcPr>
            <w:tcW w:w="992" w:type="dxa"/>
          </w:tcPr>
          <w:p w14:paraId="15E5DF34" w14:textId="77777777" w:rsidR="006B1000" w:rsidRPr="000E4D98" w:rsidRDefault="006B1000" w:rsidP="000E4D98">
            <w:pPr>
              <w:jc w:val="center"/>
              <w:rPr>
                <w:rFonts w:ascii="Times New Roman" w:hAnsi="Times New Roman" w:cs="Times New Roman"/>
                <w:b/>
                <w:sz w:val="24"/>
                <w:szCs w:val="24"/>
              </w:rPr>
            </w:pPr>
            <w:r w:rsidRPr="000E4D98">
              <w:rPr>
                <w:rFonts w:ascii="Times New Roman" w:hAnsi="Times New Roman" w:cs="Times New Roman"/>
                <w:b/>
                <w:sz w:val="24"/>
                <w:szCs w:val="24"/>
              </w:rPr>
              <w:t>Сайт</w:t>
            </w:r>
          </w:p>
        </w:tc>
        <w:tc>
          <w:tcPr>
            <w:tcW w:w="3963" w:type="dxa"/>
          </w:tcPr>
          <w:p w14:paraId="2EB08364" w14:textId="77777777" w:rsidR="006B1000" w:rsidRPr="000E4D98" w:rsidRDefault="006B1000" w:rsidP="000E4D98">
            <w:pPr>
              <w:jc w:val="center"/>
              <w:rPr>
                <w:rFonts w:ascii="Times New Roman" w:hAnsi="Times New Roman" w:cs="Times New Roman"/>
                <w:b/>
                <w:sz w:val="24"/>
                <w:szCs w:val="24"/>
              </w:rPr>
            </w:pPr>
            <w:r w:rsidRPr="000E4D98">
              <w:rPr>
                <w:rFonts w:ascii="Times New Roman" w:hAnsi="Times New Roman" w:cs="Times New Roman"/>
                <w:b/>
                <w:sz w:val="24"/>
                <w:szCs w:val="24"/>
              </w:rPr>
              <w:t>Деятельность</w:t>
            </w:r>
          </w:p>
        </w:tc>
      </w:tr>
      <w:tr w:rsidR="006B1000" w:rsidRPr="00872528" w14:paraId="320EF78F" w14:textId="77777777" w:rsidTr="00A21B94">
        <w:tc>
          <w:tcPr>
            <w:tcW w:w="1668" w:type="dxa"/>
          </w:tcPr>
          <w:p w14:paraId="4A7BB0BA" w14:textId="77777777" w:rsidR="006B1000" w:rsidRPr="000E4D98" w:rsidRDefault="006B1000" w:rsidP="00BD3F35">
            <w:pPr>
              <w:jc w:val="both"/>
              <w:rPr>
                <w:rFonts w:ascii="Times New Roman" w:hAnsi="Times New Roman" w:cs="Times New Roman"/>
                <w:sz w:val="24"/>
                <w:szCs w:val="24"/>
                <w:lang w:val="en-US"/>
              </w:rPr>
            </w:pPr>
            <w:r w:rsidRPr="000E4D98">
              <w:rPr>
                <w:rFonts w:ascii="Times New Roman" w:hAnsi="Times New Roman" w:cs="Times New Roman"/>
                <w:sz w:val="24"/>
                <w:szCs w:val="24"/>
                <w:lang w:val="en-US"/>
              </w:rPr>
              <w:t>GRI (Global Reporting Initiative)</w:t>
            </w:r>
          </w:p>
        </w:tc>
        <w:tc>
          <w:tcPr>
            <w:tcW w:w="1275" w:type="dxa"/>
          </w:tcPr>
          <w:p w14:paraId="0637A7EA" w14:textId="77777777" w:rsidR="006B1000" w:rsidRPr="000E4D98" w:rsidRDefault="005200AD" w:rsidP="005200AD">
            <w:pPr>
              <w:jc w:val="both"/>
              <w:rPr>
                <w:rFonts w:ascii="Times New Roman" w:hAnsi="Times New Roman" w:cs="Times New Roman"/>
                <w:sz w:val="24"/>
                <w:szCs w:val="24"/>
              </w:rPr>
            </w:pPr>
            <w:r w:rsidRPr="000E4D98">
              <w:rPr>
                <w:rFonts w:ascii="Times New Roman" w:hAnsi="Times New Roman" w:cs="Times New Roman"/>
                <w:sz w:val="24"/>
                <w:szCs w:val="24"/>
              </w:rPr>
              <w:t>+</w:t>
            </w:r>
            <w:r w:rsidR="006B1000" w:rsidRPr="000E4D98">
              <w:rPr>
                <w:rFonts w:ascii="Times New Roman" w:hAnsi="Times New Roman" w:cs="Times New Roman"/>
                <w:sz w:val="24"/>
                <w:szCs w:val="24"/>
              </w:rPr>
              <w:t xml:space="preserve"> </w:t>
            </w:r>
          </w:p>
        </w:tc>
        <w:tc>
          <w:tcPr>
            <w:tcW w:w="1730" w:type="dxa"/>
          </w:tcPr>
          <w:p w14:paraId="20317568" w14:textId="77777777" w:rsidR="006B1000" w:rsidRPr="000E4D98" w:rsidRDefault="006B1000" w:rsidP="00BD3F35">
            <w:pPr>
              <w:jc w:val="both"/>
              <w:rPr>
                <w:rFonts w:ascii="Times New Roman" w:hAnsi="Times New Roman" w:cs="Times New Roman"/>
                <w:sz w:val="24"/>
                <w:szCs w:val="24"/>
              </w:rPr>
            </w:pPr>
            <w:r w:rsidRPr="000E4D98">
              <w:rPr>
                <w:rFonts w:ascii="Times New Roman" w:hAnsi="Times New Roman" w:cs="Times New Roman"/>
                <w:sz w:val="24"/>
                <w:szCs w:val="24"/>
              </w:rPr>
              <w:t>Независимая некоммерческая организация с 2001 года.</w:t>
            </w:r>
          </w:p>
        </w:tc>
        <w:tc>
          <w:tcPr>
            <w:tcW w:w="992" w:type="dxa"/>
          </w:tcPr>
          <w:p w14:paraId="2471CF81" w14:textId="77777777" w:rsidR="006B1000" w:rsidRPr="000E4D98" w:rsidRDefault="006B1000" w:rsidP="006B1000">
            <w:pPr>
              <w:rPr>
                <w:color w:val="1A0DAB"/>
                <w:sz w:val="24"/>
                <w:szCs w:val="24"/>
              </w:rPr>
            </w:pPr>
            <w:r w:rsidRPr="000E4D98">
              <w:rPr>
                <w:color w:val="1A0DAB"/>
                <w:sz w:val="24"/>
                <w:szCs w:val="24"/>
                <w:lang w:val="en-US"/>
              </w:rPr>
              <w:fldChar w:fldCharType="begin"/>
            </w:r>
            <w:r w:rsidRPr="000E4D98">
              <w:rPr>
                <w:color w:val="1A0DAB"/>
                <w:sz w:val="24"/>
                <w:szCs w:val="24"/>
                <w:lang w:val="en-US"/>
              </w:rPr>
              <w:instrText xml:space="preserve"> HYPERLINK "https://www.globalreporting.org</w:instrText>
            </w:r>
          </w:p>
          <w:p w14:paraId="3D324E99" w14:textId="77777777" w:rsidR="006B1000" w:rsidRPr="000E4D98" w:rsidRDefault="006B1000" w:rsidP="006B1000">
            <w:pPr>
              <w:rPr>
                <w:rStyle w:val="a3"/>
                <w:sz w:val="24"/>
                <w:szCs w:val="24"/>
              </w:rPr>
            </w:pPr>
            <w:r w:rsidRPr="000E4D98">
              <w:rPr>
                <w:color w:val="1A0DAB"/>
                <w:sz w:val="24"/>
                <w:szCs w:val="24"/>
                <w:lang w:val="en-US"/>
              </w:rPr>
              <w:instrText xml:space="preserve">" </w:instrText>
            </w:r>
            <w:r w:rsidRPr="000E4D98">
              <w:rPr>
                <w:color w:val="1A0DAB"/>
                <w:sz w:val="24"/>
                <w:szCs w:val="24"/>
                <w:lang w:val="en-US"/>
              </w:rPr>
              <w:fldChar w:fldCharType="separate"/>
            </w:r>
            <w:r w:rsidRPr="000E4D98">
              <w:rPr>
                <w:rStyle w:val="a3"/>
                <w:sz w:val="24"/>
                <w:szCs w:val="24"/>
                <w:lang w:val="en-US"/>
              </w:rPr>
              <w:t>https://www.globalreporting.org</w:t>
            </w:r>
          </w:p>
          <w:p w14:paraId="4DFE090A" w14:textId="77777777" w:rsidR="006B1000" w:rsidRPr="000E4D98" w:rsidRDefault="006B1000" w:rsidP="006B1000">
            <w:pPr>
              <w:rPr>
                <w:sz w:val="24"/>
                <w:szCs w:val="24"/>
                <w:lang w:val="en-US"/>
              </w:rPr>
            </w:pPr>
            <w:r w:rsidRPr="000E4D98">
              <w:rPr>
                <w:color w:val="1A0DAB"/>
                <w:sz w:val="24"/>
                <w:szCs w:val="24"/>
                <w:lang w:val="en-US"/>
              </w:rPr>
              <w:fldChar w:fldCharType="end"/>
            </w:r>
          </w:p>
          <w:p w14:paraId="25ADAD16" w14:textId="77777777" w:rsidR="006B1000" w:rsidRPr="000E4D98" w:rsidRDefault="006B1000" w:rsidP="00BD3F35">
            <w:pPr>
              <w:jc w:val="both"/>
              <w:rPr>
                <w:rFonts w:ascii="Times New Roman" w:hAnsi="Times New Roman" w:cs="Times New Roman"/>
                <w:sz w:val="24"/>
                <w:szCs w:val="24"/>
                <w:lang w:val="en-US"/>
              </w:rPr>
            </w:pPr>
          </w:p>
        </w:tc>
        <w:tc>
          <w:tcPr>
            <w:tcW w:w="3963" w:type="dxa"/>
          </w:tcPr>
          <w:p w14:paraId="12D5E06A" w14:textId="77777777" w:rsidR="006B1000" w:rsidRPr="000E4D98" w:rsidRDefault="006B1000" w:rsidP="00BD3F35">
            <w:pPr>
              <w:jc w:val="both"/>
              <w:rPr>
                <w:rFonts w:ascii="Times New Roman" w:hAnsi="Times New Roman" w:cs="Times New Roman"/>
                <w:sz w:val="24"/>
                <w:szCs w:val="24"/>
              </w:rPr>
            </w:pPr>
            <w:r w:rsidRPr="000E4D98">
              <w:rPr>
                <w:rFonts w:ascii="Times New Roman" w:hAnsi="Times New Roman" w:cs="Times New Roman"/>
                <w:sz w:val="24"/>
                <w:szCs w:val="24"/>
              </w:rPr>
              <w:t>Создание стандартов, регулирующих нефинансовую отчетность в области устойчивого развития компаний. Помогает предст</w:t>
            </w:r>
            <w:r w:rsidR="00C92334" w:rsidRPr="000E4D98">
              <w:rPr>
                <w:rFonts w:ascii="Times New Roman" w:hAnsi="Times New Roman" w:cs="Times New Roman"/>
                <w:sz w:val="24"/>
                <w:szCs w:val="24"/>
              </w:rPr>
              <w:t>авлять компаниям данные по экологическим, правовым вопросам, а также в области по борьбе с коррупцией. На основе этого учета компании составляют свои отчетности, которые необходимы для внешних и внутренних заинтересованных сторон и понимания процессов внутри компании и влияния на финансовые показатели.</w:t>
            </w:r>
          </w:p>
        </w:tc>
      </w:tr>
      <w:tr w:rsidR="00C92334" w:rsidRPr="00872528" w14:paraId="2A368DAF" w14:textId="77777777" w:rsidTr="00A21B94">
        <w:tc>
          <w:tcPr>
            <w:tcW w:w="1668" w:type="dxa"/>
          </w:tcPr>
          <w:p w14:paraId="033BF382" w14:textId="77777777" w:rsidR="00C92334" w:rsidRPr="000E4D98" w:rsidRDefault="00C92334" w:rsidP="00BD3F35">
            <w:pPr>
              <w:jc w:val="both"/>
              <w:rPr>
                <w:rFonts w:ascii="Times New Roman" w:hAnsi="Times New Roman" w:cs="Times New Roman"/>
                <w:sz w:val="24"/>
                <w:szCs w:val="24"/>
                <w:lang w:val="en-US"/>
              </w:rPr>
            </w:pPr>
            <w:r w:rsidRPr="000E4D98">
              <w:rPr>
                <w:rFonts w:ascii="Times New Roman" w:hAnsi="Times New Roman" w:cs="Times New Roman"/>
                <w:sz w:val="24"/>
                <w:szCs w:val="24"/>
                <w:lang w:val="en-US"/>
              </w:rPr>
              <w:t>CDP (Carbon Disclosure Project)</w:t>
            </w:r>
          </w:p>
        </w:tc>
        <w:tc>
          <w:tcPr>
            <w:tcW w:w="1275" w:type="dxa"/>
          </w:tcPr>
          <w:p w14:paraId="2DF96B70" w14:textId="77777777" w:rsidR="00C92334" w:rsidRPr="000E4D98" w:rsidRDefault="005200AD" w:rsidP="00BD3F35">
            <w:pPr>
              <w:jc w:val="both"/>
              <w:rPr>
                <w:rFonts w:ascii="Times New Roman" w:hAnsi="Times New Roman" w:cs="Times New Roman"/>
                <w:sz w:val="24"/>
                <w:szCs w:val="24"/>
              </w:rPr>
            </w:pPr>
            <w:r w:rsidRPr="000E4D98">
              <w:rPr>
                <w:rFonts w:ascii="Times New Roman" w:hAnsi="Times New Roman" w:cs="Times New Roman"/>
                <w:sz w:val="24"/>
                <w:szCs w:val="24"/>
              </w:rPr>
              <w:t>+</w:t>
            </w:r>
          </w:p>
        </w:tc>
        <w:tc>
          <w:tcPr>
            <w:tcW w:w="1730" w:type="dxa"/>
          </w:tcPr>
          <w:p w14:paraId="549B7DC8" w14:textId="77777777" w:rsidR="00C92334" w:rsidRPr="000E4D98" w:rsidRDefault="005200AD" w:rsidP="00BD3F35">
            <w:pPr>
              <w:jc w:val="both"/>
              <w:rPr>
                <w:rFonts w:ascii="Times New Roman" w:hAnsi="Times New Roman" w:cs="Times New Roman"/>
                <w:sz w:val="24"/>
                <w:szCs w:val="24"/>
              </w:rPr>
            </w:pPr>
            <w:r w:rsidRPr="000E4D98">
              <w:rPr>
                <w:rFonts w:ascii="Times New Roman" w:hAnsi="Times New Roman" w:cs="Times New Roman"/>
                <w:sz w:val="24"/>
                <w:szCs w:val="24"/>
              </w:rPr>
              <w:t>Некоммерческая</w:t>
            </w:r>
            <w:r w:rsidR="00C92334" w:rsidRPr="000E4D98">
              <w:rPr>
                <w:rFonts w:ascii="Times New Roman" w:hAnsi="Times New Roman" w:cs="Times New Roman"/>
                <w:sz w:val="24"/>
                <w:szCs w:val="24"/>
              </w:rPr>
              <w:t xml:space="preserve"> организация, 2000г. </w:t>
            </w:r>
          </w:p>
        </w:tc>
        <w:tc>
          <w:tcPr>
            <w:tcW w:w="992" w:type="dxa"/>
          </w:tcPr>
          <w:p w14:paraId="6C35472F" w14:textId="77777777" w:rsidR="00C92334" w:rsidRPr="000E4D98" w:rsidRDefault="00C92334" w:rsidP="006B1000">
            <w:pPr>
              <w:rPr>
                <w:color w:val="1A0DAB"/>
                <w:sz w:val="24"/>
                <w:szCs w:val="24"/>
              </w:rPr>
            </w:pPr>
            <w:r w:rsidRPr="000E4D98">
              <w:rPr>
                <w:color w:val="1A0DAB"/>
                <w:sz w:val="24"/>
                <w:szCs w:val="24"/>
                <w:lang w:val="en-US"/>
              </w:rPr>
              <w:t>https</w:t>
            </w:r>
            <w:r w:rsidRPr="000E4D98">
              <w:rPr>
                <w:color w:val="1A0DAB"/>
                <w:sz w:val="24"/>
                <w:szCs w:val="24"/>
              </w:rPr>
              <w:t>://</w:t>
            </w:r>
            <w:r w:rsidRPr="000E4D98">
              <w:rPr>
                <w:color w:val="1A0DAB"/>
                <w:sz w:val="24"/>
                <w:szCs w:val="24"/>
                <w:lang w:val="en-US"/>
              </w:rPr>
              <w:t>www</w:t>
            </w:r>
            <w:r w:rsidRPr="000E4D98">
              <w:rPr>
                <w:color w:val="1A0DAB"/>
                <w:sz w:val="24"/>
                <w:szCs w:val="24"/>
              </w:rPr>
              <w:t>.</w:t>
            </w:r>
            <w:proofErr w:type="spellStart"/>
            <w:r w:rsidRPr="000E4D98">
              <w:rPr>
                <w:color w:val="1A0DAB"/>
                <w:sz w:val="24"/>
                <w:szCs w:val="24"/>
                <w:lang w:val="en-US"/>
              </w:rPr>
              <w:t>cdp</w:t>
            </w:r>
            <w:proofErr w:type="spellEnd"/>
            <w:r w:rsidRPr="000E4D98">
              <w:rPr>
                <w:color w:val="1A0DAB"/>
                <w:sz w:val="24"/>
                <w:szCs w:val="24"/>
              </w:rPr>
              <w:t>.</w:t>
            </w:r>
            <w:r w:rsidRPr="000E4D98">
              <w:rPr>
                <w:color w:val="1A0DAB"/>
                <w:sz w:val="24"/>
                <w:szCs w:val="24"/>
                <w:lang w:val="en-US"/>
              </w:rPr>
              <w:t>net</w:t>
            </w:r>
            <w:r w:rsidRPr="000E4D98">
              <w:rPr>
                <w:color w:val="1A0DAB"/>
                <w:sz w:val="24"/>
                <w:szCs w:val="24"/>
              </w:rPr>
              <w:t>/</w:t>
            </w:r>
            <w:proofErr w:type="spellStart"/>
            <w:r w:rsidRPr="000E4D98">
              <w:rPr>
                <w:color w:val="1A0DAB"/>
                <w:sz w:val="24"/>
                <w:szCs w:val="24"/>
                <w:lang w:val="en-US"/>
              </w:rPr>
              <w:t>en</w:t>
            </w:r>
            <w:proofErr w:type="spellEnd"/>
          </w:p>
        </w:tc>
        <w:tc>
          <w:tcPr>
            <w:tcW w:w="3963" w:type="dxa"/>
          </w:tcPr>
          <w:p w14:paraId="52F8B4A2" w14:textId="77777777" w:rsidR="00C92334" w:rsidRPr="000E4D98" w:rsidRDefault="005200AD" w:rsidP="00BD3F35">
            <w:pPr>
              <w:jc w:val="both"/>
              <w:rPr>
                <w:rFonts w:ascii="Times New Roman" w:hAnsi="Times New Roman" w:cs="Times New Roman"/>
                <w:sz w:val="24"/>
                <w:szCs w:val="24"/>
              </w:rPr>
            </w:pPr>
            <w:r w:rsidRPr="000E4D98">
              <w:rPr>
                <w:rFonts w:ascii="Times New Roman" w:hAnsi="Times New Roman" w:cs="Times New Roman"/>
                <w:sz w:val="24"/>
                <w:szCs w:val="24"/>
              </w:rPr>
              <w:t xml:space="preserve">Программа </w:t>
            </w:r>
            <w:r w:rsidRPr="000E4D98">
              <w:rPr>
                <w:rFonts w:ascii="Times New Roman" w:hAnsi="Times New Roman" w:cs="Times New Roman"/>
                <w:sz w:val="24"/>
                <w:szCs w:val="24"/>
                <w:lang w:val="en-US"/>
              </w:rPr>
              <w:t>CDP</w:t>
            </w:r>
            <w:r w:rsidRPr="000E4D98">
              <w:rPr>
                <w:rFonts w:ascii="Times New Roman" w:hAnsi="Times New Roman" w:cs="Times New Roman"/>
                <w:sz w:val="24"/>
                <w:szCs w:val="24"/>
              </w:rPr>
              <w:t xml:space="preserve"> помогает компаниям в своих отчетностях представлять информацию о воздействии на окружающую среду, в таких вопросах как изменение климата, </w:t>
            </w:r>
            <w:r w:rsidR="0055231E" w:rsidRPr="000E4D98">
              <w:rPr>
                <w:rFonts w:ascii="Times New Roman" w:hAnsi="Times New Roman" w:cs="Times New Roman"/>
                <w:sz w:val="24"/>
                <w:szCs w:val="24"/>
              </w:rPr>
              <w:t>водные ресурсы и их сохранение, цепи поставок, леса и их сохранение</w:t>
            </w:r>
            <w:r w:rsidRPr="000E4D98">
              <w:rPr>
                <w:rFonts w:ascii="Times New Roman" w:hAnsi="Times New Roman" w:cs="Times New Roman"/>
                <w:sz w:val="24"/>
                <w:szCs w:val="24"/>
              </w:rPr>
              <w:t xml:space="preserve">, </w:t>
            </w:r>
            <w:r w:rsidR="0055231E" w:rsidRPr="000E4D98">
              <w:rPr>
                <w:rFonts w:ascii="Times New Roman" w:hAnsi="Times New Roman" w:cs="Times New Roman"/>
                <w:sz w:val="24"/>
                <w:szCs w:val="24"/>
              </w:rPr>
              <w:t xml:space="preserve">углеродный след. Также помимо компаний есть проект </w:t>
            </w:r>
            <w:r w:rsidR="0055231E" w:rsidRPr="000E4D98">
              <w:rPr>
                <w:rFonts w:ascii="Times New Roman" w:hAnsi="Times New Roman" w:cs="Times New Roman"/>
                <w:sz w:val="24"/>
                <w:szCs w:val="24"/>
                <w:lang w:val="en-US"/>
              </w:rPr>
              <w:t>CDP</w:t>
            </w:r>
            <w:r w:rsidR="0055231E" w:rsidRPr="000E4D98">
              <w:rPr>
                <w:rFonts w:ascii="Times New Roman" w:hAnsi="Times New Roman" w:cs="Times New Roman"/>
                <w:sz w:val="24"/>
                <w:szCs w:val="24"/>
              </w:rPr>
              <w:t xml:space="preserve"> </w:t>
            </w:r>
            <w:r w:rsidR="0055231E" w:rsidRPr="000E4D98">
              <w:rPr>
                <w:rFonts w:ascii="Times New Roman" w:hAnsi="Times New Roman" w:cs="Times New Roman"/>
                <w:sz w:val="24"/>
                <w:szCs w:val="24"/>
                <w:lang w:val="en-US"/>
              </w:rPr>
              <w:t>Cities</w:t>
            </w:r>
            <w:r w:rsidR="0055231E" w:rsidRPr="000E4D98">
              <w:rPr>
                <w:rFonts w:ascii="Times New Roman" w:hAnsi="Times New Roman" w:cs="Times New Roman"/>
                <w:sz w:val="24"/>
                <w:szCs w:val="24"/>
              </w:rPr>
              <w:t xml:space="preserve">, в котором участвуют города и раскрывают информацию об устойчивом </w:t>
            </w:r>
            <w:r w:rsidR="0055231E" w:rsidRPr="000E4D98">
              <w:rPr>
                <w:rFonts w:ascii="Times New Roman" w:hAnsi="Times New Roman" w:cs="Times New Roman"/>
                <w:sz w:val="24"/>
                <w:szCs w:val="24"/>
              </w:rPr>
              <w:lastRenderedPageBreak/>
              <w:t>развитии.</w:t>
            </w:r>
          </w:p>
        </w:tc>
      </w:tr>
      <w:tr w:rsidR="0055231E" w:rsidRPr="00872528" w14:paraId="44A7BFF0" w14:textId="77777777" w:rsidTr="00A21B94">
        <w:tc>
          <w:tcPr>
            <w:tcW w:w="1668" w:type="dxa"/>
          </w:tcPr>
          <w:p w14:paraId="09E63C75" w14:textId="77777777" w:rsidR="0055231E" w:rsidRPr="000E4D98" w:rsidRDefault="0055231E" w:rsidP="00BD3F35">
            <w:pPr>
              <w:jc w:val="both"/>
              <w:rPr>
                <w:rFonts w:ascii="Times New Roman" w:hAnsi="Times New Roman" w:cs="Times New Roman"/>
                <w:sz w:val="24"/>
                <w:szCs w:val="24"/>
                <w:lang w:val="en-US"/>
              </w:rPr>
            </w:pPr>
            <w:r w:rsidRPr="000E4D98">
              <w:rPr>
                <w:rFonts w:ascii="Times New Roman" w:hAnsi="Times New Roman" w:cs="Times New Roman"/>
                <w:sz w:val="24"/>
                <w:szCs w:val="24"/>
                <w:lang w:val="en-US"/>
              </w:rPr>
              <w:lastRenderedPageBreak/>
              <w:t>TCFD (Task Force on Climate-related Financial Disclosures)</w:t>
            </w:r>
          </w:p>
        </w:tc>
        <w:tc>
          <w:tcPr>
            <w:tcW w:w="1275" w:type="dxa"/>
          </w:tcPr>
          <w:p w14:paraId="60AA0BB9" w14:textId="77777777" w:rsidR="0055231E" w:rsidRPr="000E4D98" w:rsidRDefault="005938D4" w:rsidP="00BD3F35">
            <w:pPr>
              <w:jc w:val="both"/>
              <w:rPr>
                <w:rFonts w:ascii="Times New Roman" w:hAnsi="Times New Roman" w:cs="Times New Roman"/>
                <w:sz w:val="24"/>
                <w:szCs w:val="24"/>
              </w:rPr>
            </w:pPr>
            <w:r w:rsidRPr="000E4D98">
              <w:rPr>
                <w:rFonts w:ascii="Times New Roman" w:hAnsi="Times New Roman" w:cs="Times New Roman"/>
                <w:sz w:val="24"/>
                <w:szCs w:val="24"/>
              </w:rPr>
              <w:t>+ (рекомендации)</w:t>
            </w:r>
          </w:p>
        </w:tc>
        <w:tc>
          <w:tcPr>
            <w:tcW w:w="1730" w:type="dxa"/>
          </w:tcPr>
          <w:p w14:paraId="7690B363" w14:textId="77777777" w:rsidR="0055231E" w:rsidRPr="000E4D98" w:rsidRDefault="005938D4" w:rsidP="003E767F">
            <w:pPr>
              <w:jc w:val="both"/>
              <w:rPr>
                <w:rFonts w:ascii="Times New Roman" w:hAnsi="Times New Roman" w:cs="Times New Roman"/>
                <w:sz w:val="24"/>
                <w:szCs w:val="24"/>
              </w:rPr>
            </w:pPr>
            <w:r w:rsidRPr="000E4D98">
              <w:rPr>
                <w:rFonts w:ascii="Times New Roman" w:hAnsi="Times New Roman" w:cs="Times New Roman"/>
                <w:sz w:val="24"/>
                <w:szCs w:val="24"/>
              </w:rPr>
              <w:t>Целевая группа по раскрытию финансовой информации создана Советом по финансовой стабильности (</w:t>
            </w:r>
            <w:r w:rsidRPr="000E4D98">
              <w:rPr>
                <w:rFonts w:ascii="Times New Roman" w:hAnsi="Times New Roman" w:cs="Times New Roman"/>
                <w:sz w:val="24"/>
                <w:szCs w:val="24"/>
                <w:lang w:val="en-US"/>
              </w:rPr>
              <w:t>FSB</w:t>
            </w:r>
            <w:r w:rsidRPr="000E4D98">
              <w:rPr>
                <w:rFonts w:ascii="Times New Roman" w:hAnsi="Times New Roman" w:cs="Times New Roman"/>
                <w:sz w:val="24"/>
                <w:szCs w:val="24"/>
              </w:rPr>
              <w:t>)</w:t>
            </w:r>
          </w:p>
        </w:tc>
        <w:tc>
          <w:tcPr>
            <w:tcW w:w="992" w:type="dxa"/>
          </w:tcPr>
          <w:p w14:paraId="283ECE7C" w14:textId="77777777" w:rsidR="0055231E" w:rsidRPr="000E4D98" w:rsidRDefault="005938D4" w:rsidP="006B1000">
            <w:pPr>
              <w:rPr>
                <w:color w:val="1A0DAB"/>
                <w:sz w:val="24"/>
                <w:szCs w:val="24"/>
              </w:rPr>
            </w:pPr>
            <w:r w:rsidRPr="000E4D98">
              <w:rPr>
                <w:color w:val="1A0DAB"/>
                <w:sz w:val="24"/>
                <w:szCs w:val="24"/>
              </w:rPr>
              <w:t>https://www.fsb-tcfd.org/</w:t>
            </w:r>
          </w:p>
        </w:tc>
        <w:tc>
          <w:tcPr>
            <w:tcW w:w="3963" w:type="dxa"/>
          </w:tcPr>
          <w:p w14:paraId="0C8425B8" w14:textId="77777777" w:rsidR="0055231E" w:rsidRPr="000E4D98" w:rsidRDefault="005938D4" w:rsidP="00BD3F35">
            <w:pPr>
              <w:jc w:val="both"/>
              <w:rPr>
                <w:rFonts w:ascii="Times New Roman" w:hAnsi="Times New Roman" w:cs="Times New Roman"/>
                <w:sz w:val="24"/>
                <w:szCs w:val="24"/>
              </w:rPr>
            </w:pPr>
            <w:r w:rsidRPr="000E4D98">
              <w:rPr>
                <w:rFonts w:ascii="Times New Roman" w:hAnsi="Times New Roman" w:cs="Times New Roman"/>
                <w:sz w:val="24"/>
                <w:szCs w:val="24"/>
              </w:rPr>
              <w:t>Дает рекомендации по</w:t>
            </w:r>
            <w:r w:rsidR="00A21B94">
              <w:rPr>
                <w:rFonts w:ascii="Times New Roman" w:hAnsi="Times New Roman" w:cs="Times New Roman"/>
                <w:sz w:val="24"/>
                <w:szCs w:val="24"/>
              </w:rPr>
              <w:t xml:space="preserve"> вопросам, связанным с климатом:</w:t>
            </w:r>
            <w:r w:rsidRPr="000E4D98">
              <w:rPr>
                <w:rFonts w:ascii="Times New Roman" w:hAnsi="Times New Roman" w:cs="Times New Roman"/>
                <w:sz w:val="24"/>
                <w:szCs w:val="24"/>
              </w:rPr>
              <w:t xml:space="preserve"> что компания делает для того, чтобы снизить риски воздействия на климат. Также работает с такими направлениями как метрики и целевые показатели, управление рисками, стратегия и управление.</w:t>
            </w:r>
          </w:p>
        </w:tc>
      </w:tr>
      <w:tr w:rsidR="005938D4" w:rsidRPr="00872528" w14:paraId="73594AE7" w14:textId="77777777" w:rsidTr="00A21B94">
        <w:tc>
          <w:tcPr>
            <w:tcW w:w="1668" w:type="dxa"/>
          </w:tcPr>
          <w:p w14:paraId="727B2796" w14:textId="77777777" w:rsidR="005938D4" w:rsidRPr="000E4D98" w:rsidRDefault="005938D4" w:rsidP="00BD3F35">
            <w:pPr>
              <w:jc w:val="both"/>
              <w:rPr>
                <w:rFonts w:ascii="Times New Roman" w:hAnsi="Times New Roman" w:cs="Times New Roman"/>
                <w:sz w:val="24"/>
                <w:szCs w:val="24"/>
                <w:lang w:val="en-US"/>
              </w:rPr>
            </w:pPr>
            <w:r w:rsidRPr="000E4D98">
              <w:rPr>
                <w:rFonts w:ascii="Times New Roman" w:hAnsi="Times New Roman" w:cs="Times New Roman"/>
                <w:sz w:val="24"/>
                <w:szCs w:val="24"/>
                <w:lang w:val="en-US"/>
              </w:rPr>
              <w:t xml:space="preserve">SASB (Sustainability Accounting Standards </w:t>
            </w:r>
            <w:r w:rsidR="006755F8" w:rsidRPr="000E4D98">
              <w:rPr>
                <w:rFonts w:ascii="Times New Roman" w:hAnsi="Times New Roman" w:cs="Times New Roman"/>
                <w:sz w:val="24"/>
                <w:szCs w:val="24"/>
                <w:lang w:val="en-US"/>
              </w:rPr>
              <w:t>Board</w:t>
            </w:r>
            <w:r w:rsidRPr="000E4D98">
              <w:rPr>
                <w:rFonts w:ascii="Times New Roman" w:hAnsi="Times New Roman" w:cs="Times New Roman"/>
                <w:sz w:val="24"/>
                <w:szCs w:val="24"/>
                <w:lang w:val="en-US"/>
              </w:rPr>
              <w:t>)</w:t>
            </w:r>
          </w:p>
        </w:tc>
        <w:tc>
          <w:tcPr>
            <w:tcW w:w="1275" w:type="dxa"/>
          </w:tcPr>
          <w:p w14:paraId="79AA97AE" w14:textId="77777777" w:rsidR="005938D4" w:rsidRPr="000E4D98" w:rsidRDefault="005938D4" w:rsidP="00BD3F35">
            <w:pPr>
              <w:jc w:val="both"/>
              <w:rPr>
                <w:rFonts w:ascii="Times New Roman" w:hAnsi="Times New Roman" w:cs="Times New Roman"/>
                <w:sz w:val="24"/>
                <w:szCs w:val="24"/>
              </w:rPr>
            </w:pPr>
            <w:r w:rsidRPr="000E4D98">
              <w:rPr>
                <w:rFonts w:ascii="Times New Roman" w:hAnsi="Times New Roman" w:cs="Times New Roman"/>
                <w:sz w:val="24"/>
                <w:szCs w:val="24"/>
              </w:rPr>
              <w:t>+</w:t>
            </w:r>
          </w:p>
        </w:tc>
        <w:tc>
          <w:tcPr>
            <w:tcW w:w="1730" w:type="dxa"/>
          </w:tcPr>
          <w:p w14:paraId="2089E786" w14:textId="77777777" w:rsidR="005938D4" w:rsidRPr="000E4D98" w:rsidRDefault="005938D4" w:rsidP="00BD3F35">
            <w:pPr>
              <w:jc w:val="both"/>
              <w:rPr>
                <w:rFonts w:ascii="Times New Roman" w:hAnsi="Times New Roman" w:cs="Times New Roman"/>
                <w:sz w:val="24"/>
                <w:szCs w:val="24"/>
              </w:rPr>
            </w:pPr>
            <w:r w:rsidRPr="000E4D98">
              <w:rPr>
                <w:rFonts w:ascii="Times New Roman" w:hAnsi="Times New Roman" w:cs="Times New Roman"/>
                <w:sz w:val="24"/>
                <w:szCs w:val="24"/>
              </w:rPr>
              <w:t>Некоммерческая организация</w:t>
            </w:r>
          </w:p>
        </w:tc>
        <w:tc>
          <w:tcPr>
            <w:tcW w:w="992" w:type="dxa"/>
          </w:tcPr>
          <w:p w14:paraId="6583B627" w14:textId="77777777" w:rsidR="005938D4" w:rsidRPr="000E4D98" w:rsidRDefault="005938D4" w:rsidP="006B1000">
            <w:pPr>
              <w:rPr>
                <w:color w:val="1A0DAB"/>
                <w:sz w:val="24"/>
                <w:szCs w:val="24"/>
                <w:lang w:val="en-US"/>
              </w:rPr>
            </w:pPr>
            <w:r w:rsidRPr="000E4D98">
              <w:rPr>
                <w:color w:val="1A0DAB"/>
                <w:sz w:val="24"/>
                <w:szCs w:val="24"/>
                <w:lang w:val="en-US"/>
              </w:rPr>
              <w:t>https://www.sasb.org/</w:t>
            </w:r>
          </w:p>
        </w:tc>
        <w:tc>
          <w:tcPr>
            <w:tcW w:w="3963" w:type="dxa"/>
          </w:tcPr>
          <w:p w14:paraId="08EFD209" w14:textId="77777777" w:rsidR="005938D4" w:rsidRPr="000E4D98" w:rsidRDefault="006755F8" w:rsidP="00BD3F35">
            <w:pPr>
              <w:jc w:val="both"/>
              <w:rPr>
                <w:rFonts w:ascii="Times New Roman" w:hAnsi="Times New Roman" w:cs="Times New Roman"/>
                <w:sz w:val="24"/>
                <w:szCs w:val="24"/>
              </w:rPr>
            </w:pPr>
            <w:r w:rsidRPr="000E4D98">
              <w:rPr>
                <w:rFonts w:ascii="Times New Roman" w:hAnsi="Times New Roman" w:cs="Times New Roman"/>
                <w:sz w:val="24"/>
                <w:szCs w:val="24"/>
              </w:rPr>
              <w:t>Стандарты для 77 отраслей, определяющие раскрытие информации о финансовой устойчивости для своих инвесторов. Стандарты регулируют области экологических, социальных и управленческих аспектов, которые наиболее влиятельны для финансовых показателей.</w:t>
            </w:r>
          </w:p>
        </w:tc>
      </w:tr>
    </w:tbl>
    <w:p w14:paraId="369958EB" w14:textId="1D695EBD" w:rsidR="000A44EE" w:rsidRPr="000A44EE" w:rsidRDefault="00E84BE1" w:rsidP="000E4D98">
      <w:pPr>
        <w:spacing w:line="240" w:lineRule="auto"/>
        <w:jc w:val="both"/>
        <w:rPr>
          <w:rFonts w:ascii="Times New Roman" w:hAnsi="Times New Roman" w:cs="Times New Roman"/>
          <w:sz w:val="24"/>
          <w:szCs w:val="28"/>
        </w:rPr>
      </w:pPr>
      <w:r w:rsidRPr="000A2124">
        <w:rPr>
          <w:rFonts w:ascii="Times New Roman" w:hAnsi="Times New Roman" w:cs="Times New Roman"/>
          <w:sz w:val="24"/>
          <w:szCs w:val="28"/>
        </w:rPr>
        <w:t>Источник</w:t>
      </w:r>
      <w:r w:rsidR="00AB1778" w:rsidRPr="000A2124">
        <w:rPr>
          <w:rFonts w:ascii="Times New Roman" w:hAnsi="Times New Roman" w:cs="Times New Roman"/>
          <w:sz w:val="24"/>
          <w:szCs w:val="28"/>
        </w:rPr>
        <w:t xml:space="preserve">: составлено </w:t>
      </w:r>
      <w:r w:rsidR="00EA2526" w:rsidRPr="000A2124">
        <w:rPr>
          <w:rFonts w:ascii="Times New Roman" w:hAnsi="Times New Roman" w:cs="Times New Roman"/>
          <w:sz w:val="24"/>
          <w:szCs w:val="28"/>
        </w:rPr>
        <w:t>автор</w:t>
      </w:r>
      <w:r w:rsidR="00EA2526">
        <w:rPr>
          <w:rFonts w:ascii="Times New Roman" w:hAnsi="Times New Roman" w:cs="Times New Roman"/>
          <w:sz w:val="24"/>
          <w:szCs w:val="28"/>
        </w:rPr>
        <w:t>ами</w:t>
      </w:r>
      <w:r w:rsidR="00EA2526" w:rsidRPr="000A2124">
        <w:rPr>
          <w:rFonts w:ascii="Times New Roman" w:hAnsi="Times New Roman" w:cs="Times New Roman"/>
          <w:sz w:val="24"/>
          <w:szCs w:val="28"/>
        </w:rPr>
        <w:t xml:space="preserve"> </w:t>
      </w:r>
      <w:r w:rsidR="00EA2526">
        <w:rPr>
          <w:rFonts w:ascii="Times New Roman" w:hAnsi="Times New Roman" w:cs="Times New Roman"/>
          <w:sz w:val="24"/>
          <w:szCs w:val="28"/>
        </w:rPr>
        <w:t>по данным</w:t>
      </w:r>
      <w:r w:rsidR="00F1017A">
        <w:rPr>
          <w:rFonts w:ascii="Times New Roman" w:hAnsi="Times New Roman" w:cs="Times New Roman"/>
          <w:sz w:val="24"/>
          <w:szCs w:val="28"/>
        </w:rPr>
        <w:t xml:space="preserve"> [11</w:t>
      </w:r>
      <w:r w:rsidR="00AB1778" w:rsidRPr="000A2124">
        <w:rPr>
          <w:rFonts w:ascii="Times New Roman" w:hAnsi="Times New Roman" w:cs="Times New Roman"/>
          <w:sz w:val="24"/>
          <w:szCs w:val="28"/>
        </w:rPr>
        <w:t>]</w:t>
      </w:r>
    </w:p>
    <w:p w14:paraId="4D04A54B" w14:textId="6DD63E09" w:rsidR="003E767F" w:rsidRPr="000E4D98" w:rsidRDefault="003E767F" w:rsidP="000E4D98">
      <w:pPr>
        <w:spacing w:line="240" w:lineRule="auto"/>
        <w:jc w:val="both"/>
        <w:rPr>
          <w:rFonts w:ascii="Times New Roman" w:hAnsi="Times New Roman" w:cs="Times New Roman"/>
          <w:b/>
          <w:sz w:val="28"/>
          <w:szCs w:val="28"/>
        </w:rPr>
      </w:pPr>
      <w:r w:rsidRPr="000E4D98">
        <w:rPr>
          <w:rFonts w:ascii="Times New Roman" w:hAnsi="Times New Roman" w:cs="Times New Roman"/>
          <w:b/>
          <w:sz w:val="28"/>
          <w:szCs w:val="28"/>
        </w:rPr>
        <w:t>Соотношение финан</w:t>
      </w:r>
      <w:r w:rsidR="007204D1" w:rsidRPr="000E4D98">
        <w:rPr>
          <w:rFonts w:ascii="Times New Roman" w:hAnsi="Times New Roman" w:cs="Times New Roman"/>
          <w:b/>
          <w:sz w:val="28"/>
          <w:szCs w:val="28"/>
        </w:rPr>
        <w:t xml:space="preserve">совой и нефинансовой </w:t>
      </w:r>
      <w:r w:rsidR="00460D88" w:rsidRPr="00460D88">
        <w:rPr>
          <w:rFonts w:ascii="Times New Roman" w:hAnsi="Times New Roman" w:cs="Times New Roman"/>
          <w:b/>
          <w:sz w:val="28"/>
          <w:szCs w:val="28"/>
        </w:rPr>
        <w:t>отчетност</w:t>
      </w:r>
      <w:r w:rsidR="00CB7815">
        <w:rPr>
          <w:rFonts w:ascii="Times New Roman" w:hAnsi="Times New Roman" w:cs="Times New Roman"/>
          <w:b/>
          <w:sz w:val="28"/>
          <w:szCs w:val="28"/>
        </w:rPr>
        <w:t>и</w:t>
      </w:r>
    </w:p>
    <w:p w14:paraId="46460D54" w14:textId="362105F7" w:rsidR="00460D88" w:rsidRDefault="000A44EE" w:rsidP="000A44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w:t>
      </w:r>
      <w:r w:rsidR="000E281F">
        <w:rPr>
          <w:rFonts w:ascii="Times New Roman" w:hAnsi="Times New Roman" w:cs="Times New Roman"/>
          <w:sz w:val="28"/>
          <w:szCs w:val="28"/>
        </w:rPr>
        <w:t>, что при довольно широком перечне регулирующи</w:t>
      </w:r>
      <w:r w:rsidR="00B737A9">
        <w:rPr>
          <w:rFonts w:ascii="Times New Roman" w:hAnsi="Times New Roman" w:cs="Times New Roman"/>
          <w:sz w:val="28"/>
          <w:szCs w:val="28"/>
        </w:rPr>
        <w:t>х стандартов и организаций, некоторые из них регламентируют устойчивое развитие компании больше с то</w:t>
      </w:r>
      <w:r w:rsidR="004278F5">
        <w:rPr>
          <w:rFonts w:ascii="Times New Roman" w:hAnsi="Times New Roman" w:cs="Times New Roman"/>
          <w:sz w:val="28"/>
          <w:szCs w:val="28"/>
        </w:rPr>
        <w:t>чки зрения финансовой</w:t>
      </w:r>
      <w:r w:rsidR="00B737A9">
        <w:rPr>
          <w:rFonts w:ascii="Times New Roman" w:hAnsi="Times New Roman" w:cs="Times New Roman"/>
          <w:sz w:val="28"/>
          <w:szCs w:val="28"/>
        </w:rPr>
        <w:t xml:space="preserve">, но сам по себе </w:t>
      </w:r>
      <w:r w:rsidR="00B737A9">
        <w:rPr>
          <w:rFonts w:ascii="Times New Roman" w:hAnsi="Times New Roman" w:cs="Times New Roman"/>
          <w:sz w:val="28"/>
          <w:szCs w:val="28"/>
          <w:lang w:val="en-US"/>
        </w:rPr>
        <w:t>ESG</w:t>
      </w:r>
      <w:r w:rsidR="00B737A9" w:rsidRPr="00B737A9">
        <w:rPr>
          <w:rFonts w:ascii="Times New Roman" w:hAnsi="Times New Roman" w:cs="Times New Roman"/>
          <w:sz w:val="28"/>
          <w:szCs w:val="28"/>
        </w:rPr>
        <w:t xml:space="preserve"> </w:t>
      </w:r>
      <w:r w:rsidR="00B737A9">
        <w:rPr>
          <w:rFonts w:ascii="Times New Roman" w:hAnsi="Times New Roman" w:cs="Times New Roman"/>
          <w:sz w:val="28"/>
          <w:szCs w:val="28"/>
        </w:rPr>
        <w:t>отчет – нефинансовая отчетность</w:t>
      </w:r>
      <w:r w:rsidR="000E281F">
        <w:rPr>
          <w:rFonts w:ascii="Times New Roman" w:hAnsi="Times New Roman" w:cs="Times New Roman"/>
          <w:sz w:val="28"/>
          <w:szCs w:val="28"/>
        </w:rPr>
        <w:t>.</w:t>
      </w:r>
    </w:p>
    <w:p w14:paraId="087A3C9D" w14:textId="049BC5F1" w:rsidR="00460D88" w:rsidRDefault="00460D88" w:rsidP="00C671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профессиональном сообществе </w:t>
      </w:r>
      <w:r w:rsidR="00625BB1">
        <w:rPr>
          <w:rFonts w:ascii="Times New Roman" w:hAnsi="Times New Roman" w:cs="Times New Roman"/>
          <w:sz w:val="28"/>
          <w:szCs w:val="28"/>
        </w:rPr>
        <w:t xml:space="preserve">в последние годы активно обсуждался вопрос </w:t>
      </w:r>
      <w:r w:rsidR="00C67135">
        <w:rPr>
          <w:rFonts w:ascii="Times New Roman" w:hAnsi="Times New Roman" w:cs="Times New Roman"/>
          <w:sz w:val="28"/>
          <w:szCs w:val="28"/>
        </w:rPr>
        <w:t xml:space="preserve">дальнейшего </w:t>
      </w:r>
      <w:proofErr w:type="spellStart"/>
      <w:r w:rsidR="00C67135">
        <w:rPr>
          <w:rFonts w:ascii="Times New Roman" w:hAnsi="Times New Roman" w:cs="Times New Roman"/>
          <w:sz w:val="28"/>
          <w:szCs w:val="28"/>
        </w:rPr>
        <w:t>взаимосуществования</w:t>
      </w:r>
      <w:proofErr w:type="spellEnd"/>
      <w:r w:rsidR="000E36B6">
        <w:rPr>
          <w:rFonts w:ascii="Times New Roman" w:hAnsi="Times New Roman" w:cs="Times New Roman"/>
          <w:sz w:val="28"/>
          <w:szCs w:val="28"/>
        </w:rPr>
        <w:t xml:space="preserve"> </w:t>
      </w:r>
      <w:r w:rsidR="00C67135">
        <w:rPr>
          <w:rFonts w:ascii="Times New Roman" w:hAnsi="Times New Roman" w:cs="Times New Roman"/>
          <w:sz w:val="28"/>
          <w:szCs w:val="28"/>
        </w:rPr>
        <w:t>финансовой</w:t>
      </w:r>
      <w:r w:rsidR="00625BB1">
        <w:rPr>
          <w:rFonts w:ascii="Times New Roman" w:hAnsi="Times New Roman" w:cs="Times New Roman"/>
          <w:sz w:val="28"/>
          <w:szCs w:val="28"/>
        </w:rPr>
        <w:t xml:space="preserve"> </w:t>
      </w:r>
      <w:r w:rsidR="000E36B6">
        <w:rPr>
          <w:rFonts w:ascii="Times New Roman" w:hAnsi="Times New Roman" w:cs="Times New Roman"/>
          <w:sz w:val="28"/>
          <w:szCs w:val="28"/>
        </w:rPr>
        <w:t xml:space="preserve">и </w:t>
      </w:r>
      <w:r w:rsidR="00C67135">
        <w:rPr>
          <w:rFonts w:ascii="Times New Roman" w:hAnsi="Times New Roman" w:cs="Times New Roman"/>
          <w:sz w:val="28"/>
          <w:szCs w:val="28"/>
        </w:rPr>
        <w:t xml:space="preserve">нефинансовой отчетности </w:t>
      </w:r>
      <w:r w:rsidR="00D10C6E" w:rsidRPr="00D10C6E">
        <w:rPr>
          <w:rFonts w:ascii="Times New Roman" w:hAnsi="Times New Roman" w:cs="Times New Roman"/>
          <w:sz w:val="28"/>
          <w:szCs w:val="28"/>
        </w:rPr>
        <w:t>[</w:t>
      </w:r>
      <w:r w:rsidR="00F1017A">
        <w:rPr>
          <w:rFonts w:ascii="Times New Roman" w:hAnsi="Times New Roman" w:cs="Times New Roman"/>
          <w:sz w:val="28"/>
          <w:szCs w:val="28"/>
        </w:rPr>
        <w:t>12</w:t>
      </w:r>
      <w:r w:rsidR="00D10C6E">
        <w:rPr>
          <w:rFonts w:ascii="Times New Roman" w:hAnsi="Times New Roman" w:cs="Times New Roman"/>
          <w:sz w:val="28"/>
          <w:szCs w:val="28"/>
        </w:rPr>
        <w:t>,</w:t>
      </w:r>
      <w:r w:rsidR="00AD715D">
        <w:rPr>
          <w:rFonts w:ascii="Times New Roman" w:hAnsi="Times New Roman" w:cs="Times New Roman"/>
          <w:sz w:val="28"/>
          <w:szCs w:val="28"/>
        </w:rPr>
        <w:t xml:space="preserve"> </w:t>
      </w:r>
      <w:r w:rsidR="00F1017A">
        <w:rPr>
          <w:rFonts w:ascii="Times New Roman" w:hAnsi="Times New Roman" w:cs="Times New Roman"/>
          <w:sz w:val="28"/>
          <w:szCs w:val="28"/>
        </w:rPr>
        <w:t>13</w:t>
      </w:r>
      <w:r w:rsidR="00D10C6E">
        <w:rPr>
          <w:rFonts w:ascii="Times New Roman" w:hAnsi="Times New Roman" w:cs="Times New Roman"/>
          <w:sz w:val="28"/>
          <w:szCs w:val="28"/>
        </w:rPr>
        <w:t>,</w:t>
      </w:r>
      <w:r w:rsidR="00AD715D">
        <w:rPr>
          <w:rFonts w:ascii="Times New Roman" w:hAnsi="Times New Roman" w:cs="Times New Roman"/>
          <w:sz w:val="28"/>
          <w:szCs w:val="28"/>
        </w:rPr>
        <w:t xml:space="preserve"> </w:t>
      </w:r>
      <w:r w:rsidR="00F1017A">
        <w:rPr>
          <w:rFonts w:ascii="Times New Roman" w:hAnsi="Times New Roman" w:cs="Times New Roman"/>
          <w:sz w:val="28"/>
          <w:szCs w:val="28"/>
        </w:rPr>
        <w:t>14</w:t>
      </w:r>
      <w:r w:rsidR="00D10C6E">
        <w:rPr>
          <w:rFonts w:ascii="Times New Roman" w:hAnsi="Times New Roman" w:cs="Times New Roman"/>
          <w:sz w:val="28"/>
          <w:szCs w:val="28"/>
        </w:rPr>
        <w:t>,</w:t>
      </w:r>
      <w:r w:rsidR="00AD715D">
        <w:rPr>
          <w:rFonts w:ascii="Times New Roman" w:hAnsi="Times New Roman" w:cs="Times New Roman"/>
          <w:sz w:val="28"/>
          <w:szCs w:val="28"/>
        </w:rPr>
        <w:t xml:space="preserve"> </w:t>
      </w:r>
      <w:r w:rsidR="00F1017A">
        <w:rPr>
          <w:rFonts w:ascii="Times New Roman" w:hAnsi="Times New Roman" w:cs="Times New Roman"/>
          <w:sz w:val="28"/>
          <w:szCs w:val="28"/>
        </w:rPr>
        <w:t>15</w:t>
      </w:r>
      <w:r w:rsidR="00D10C6E">
        <w:rPr>
          <w:rFonts w:ascii="Times New Roman" w:hAnsi="Times New Roman" w:cs="Times New Roman"/>
          <w:sz w:val="28"/>
          <w:szCs w:val="28"/>
        </w:rPr>
        <w:t>,</w:t>
      </w:r>
      <w:r w:rsidR="00AD715D">
        <w:rPr>
          <w:rFonts w:ascii="Times New Roman" w:hAnsi="Times New Roman" w:cs="Times New Roman"/>
          <w:sz w:val="28"/>
          <w:szCs w:val="28"/>
        </w:rPr>
        <w:t xml:space="preserve"> </w:t>
      </w:r>
      <w:r w:rsidR="00F1017A">
        <w:rPr>
          <w:rFonts w:ascii="Times New Roman" w:hAnsi="Times New Roman" w:cs="Times New Roman"/>
          <w:sz w:val="28"/>
          <w:szCs w:val="28"/>
        </w:rPr>
        <w:t>16</w:t>
      </w:r>
      <w:r w:rsidR="00AD715D">
        <w:rPr>
          <w:rFonts w:ascii="Times New Roman" w:hAnsi="Times New Roman" w:cs="Times New Roman"/>
          <w:sz w:val="28"/>
          <w:szCs w:val="28"/>
        </w:rPr>
        <w:t xml:space="preserve"> и др.</w:t>
      </w:r>
      <w:r w:rsidR="00D10C6E">
        <w:rPr>
          <w:rFonts w:ascii="Times New Roman" w:hAnsi="Times New Roman" w:cs="Times New Roman"/>
          <w:sz w:val="28"/>
          <w:szCs w:val="28"/>
        </w:rPr>
        <w:t>]. Так</w:t>
      </w:r>
      <w:r w:rsidR="00C67135">
        <w:rPr>
          <w:rFonts w:ascii="Times New Roman" w:hAnsi="Times New Roman" w:cs="Times New Roman"/>
          <w:sz w:val="28"/>
          <w:szCs w:val="28"/>
        </w:rPr>
        <w:t>, некоторые авторы</w:t>
      </w:r>
      <w:r w:rsidR="000E36B6">
        <w:rPr>
          <w:rFonts w:ascii="Times New Roman" w:hAnsi="Times New Roman" w:cs="Times New Roman"/>
          <w:sz w:val="28"/>
          <w:szCs w:val="28"/>
        </w:rPr>
        <w:t xml:space="preserve"> </w:t>
      </w:r>
      <w:r w:rsidR="00C67135">
        <w:rPr>
          <w:rFonts w:ascii="Times New Roman" w:hAnsi="Times New Roman" w:cs="Times New Roman"/>
          <w:sz w:val="28"/>
          <w:szCs w:val="28"/>
        </w:rPr>
        <w:t xml:space="preserve">формулируют 3 основных </w:t>
      </w:r>
      <w:r w:rsidR="000E36B6">
        <w:rPr>
          <w:rFonts w:ascii="Times New Roman" w:hAnsi="Times New Roman" w:cs="Times New Roman"/>
          <w:sz w:val="28"/>
          <w:szCs w:val="28"/>
        </w:rPr>
        <w:t xml:space="preserve">траектории </w:t>
      </w:r>
      <w:r w:rsidR="00413C21">
        <w:rPr>
          <w:rFonts w:ascii="Times New Roman" w:hAnsi="Times New Roman" w:cs="Times New Roman"/>
          <w:sz w:val="28"/>
          <w:szCs w:val="28"/>
        </w:rPr>
        <w:t>двустороннего</w:t>
      </w:r>
      <w:r w:rsidR="000E36B6">
        <w:rPr>
          <w:rFonts w:ascii="Times New Roman" w:hAnsi="Times New Roman" w:cs="Times New Roman"/>
          <w:sz w:val="28"/>
          <w:szCs w:val="28"/>
        </w:rPr>
        <w:t xml:space="preserve"> ра</w:t>
      </w:r>
      <w:r w:rsidR="00C67135">
        <w:rPr>
          <w:rFonts w:ascii="Times New Roman" w:hAnsi="Times New Roman" w:cs="Times New Roman"/>
          <w:sz w:val="28"/>
          <w:szCs w:val="28"/>
        </w:rPr>
        <w:t xml:space="preserve">звития данных видов отчетностей </w:t>
      </w:r>
      <w:r w:rsidR="000E36B6" w:rsidRPr="000E36B6">
        <w:rPr>
          <w:rFonts w:ascii="Times New Roman" w:hAnsi="Times New Roman" w:cs="Times New Roman"/>
          <w:sz w:val="28"/>
          <w:szCs w:val="28"/>
        </w:rPr>
        <w:t>[</w:t>
      </w:r>
      <w:proofErr w:type="spellStart"/>
      <w:r w:rsidR="00C67135">
        <w:rPr>
          <w:rFonts w:ascii="Times New Roman" w:hAnsi="Times New Roman" w:cs="Times New Roman"/>
          <w:sz w:val="28"/>
          <w:szCs w:val="28"/>
        </w:rPr>
        <w:t>Генералова</w:t>
      </w:r>
      <w:proofErr w:type="spellEnd"/>
      <w:r w:rsidR="008B41CE">
        <w:rPr>
          <w:rFonts w:ascii="Times New Roman" w:hAnsi="Times New Roman" w:cs="Times New Roman"/>
          <w:sz w:val="28"/>
          <w:szCs w:val="28"/>
        </w:rPr>
        <w:t xml:space="preserve"> Н. В. Соколова Н. А. и Соколова А. А.</w:t>
      </w:r>
      <w:r w:rsidR="00C67135">
        <w:rPr>
          <w:rFonts w:ascii="Times New Roman" w:hAnsi="Times New Roman" w:cs="Times New Roman"/>
          <w:sz w:val="28"/>
          <w:szCs w:val="28"/>
        </w:rPr>
        <w:t>, Б</w:t>
      </w:r>
      <w:r w:rsidR="008B41CE">
        <w:rPr>
          <w:rFonts w:ascii="Times New Roman" w:hAnsi="Times New Roman" w:cs="Times New Roman"/>
          <w:sz w:val="28"/>
          <w:szCs w:val="28"/>
        </w:rPr>
        <w:t>ычкова С. М.</w:t>
      </w:r>
      <w:r w:rsidR="000E36B6">
        <w:rPr>
          <w:rFonts w:ascii="Times New Roman" w:hAnsi="Times New Roman" w:cs="Times New Roman"/>
          <w:sz w:val="28"/>
          <w:szCs w:val="28"/>
        </w:rPr>
        <w:t xml:space="preserve"> Карельская</w:t>
      </w:r>
      <w:r w:rsidR="008B41CE">
        <w:rPr>
          <w:rFonts w:ascii="Times New Roman" w:hAnsi="Times New Roman" w:cs="Times New Roman"/>
          <w:sz w:val="28"/>
          <w:szCs w:val="28"/>
        </w:rPr>
        <w:t xml:space="preserve"> С. Н. </w:t>
      </w:r>
      <w:proofErr w:type="spellStart"/>
      <w:r w:rsidR="008B41CE">
        <w:rPr>
          <w:rFonts w:ascii="Times New Roman" w:hAnsi="Times New Roman" w:cs="Times New Roman"/>
          <w:sz w:val="28"/>
          <w:szCs w:val="28"/>
        </w:rPr>
        <w:t>Абдалова</w:t>
      </w:r>
      <w:proofErr w:type="spellEnd"/>
      <w:r w:rsidR="008B41CE">
        <w:rPr>
          <w:rFonts w:ascii="Times New Roman" w:hAnsi="Times New Roman" w:cs="Times New Roman"/>
          <w:sz w:val="28"/>
          <w:szCs w:val="28"/>
        </w:rPr>
        <w:t xml:space="preserve"> Е. Б. и Жидкова Е. А.</w:t>
      </w:r>
      <w:r w:rsidR="000E36B6" w:rsidRPr="000E36B6">
        <w:rPr>
          <w:rFonts w:ascii="Times New Roman" w:hAnsi="Times New Roman" w:cs="Times New Roman"/>
          <w:sz w:val="28"/>
          <w:szCs w:val="28"/>
        </w:rPr>
        <w:t>]</w:t>
      </w:r>
      <w:r w:rsidR="00C67135">
        <w:rPr>
          <w:rFonts w:ascii="Times New Roman" w:hAnsi="Times New Roman" w:cs="Times New Roman"/>
          <w:sz w:val="28"/>
          <w:szCs w:val="28"/>
        </w:rPr>
        <w:t>.</w:t>
      </w:r>
      <w:r w:rsidRPr="000E4D98">
        <w:rPr>
          <w:rFonts w:ascii="Times New Roman" w:hAnsi="Times New Roman" w:cs="Times New Roman"/>
          <w:sz w:val="28"/>
          <w:szCs w:val="28"/>
        </w:rPr>
        <w:t xml:space="preserve"> </w:t>
      </w:r>
      <w:r w:rsidR="00895441">
        <w:rPr>
          <w:rFonts w:ascii="Times New Roman" w:hAnsi="Times New Roman" w:cs="Times New Roman"/>
          <w:sz w:val="28"/>
          <w:szCs w:val="28"/>
        </w:rPr>
        <w:t>Первая</w:t>
      </w:r>
      <w:r w:rsidRPr="000E4D98">
        <w:rPr>
          <w:rFonts w:ascii="Times New Roman" w:hAnsi="Times New Roman" w:cs="Times New Roman"/>
          <w:sz w:val="28"/>
          <w:szCs w:val="28"/>
        </w:rPr>
        <w:t>, заключается том, что финансовая отчетность доминирующая, а нефинансов</w:t>
      </w:r>
      <w:r w:rsidR="00A5444B">
        <w:rPr>
          <w:rFonts w:ascii="Times New Roman" w:hAnsi="Times New Roman" w:cs="Times New Roman"/>
          <w:sz w:val="28"/>
          <w:szCs w:val="28"/>
        </w:rPr>
        <w:t xml:space="preserve">ые отчеты </w:t>
      </w:r>
      <w:r w:rsidRPr="000E4D98">
        <w:rPr>
          <w:rFonts w:ascii="Times New Roman" w:hAnsi="Times New Roman" w:cs="Times New Roman"/>
          <w:sz w:val="28"/>
          <w:szCs w:val="28"/>
        </w:rPr>
        <w:t xml:space="preserve">дополняет первую. </w:t>
      </w:r>
      <w:r w:rsidR="00895441">
        <w:rPr>
          <w:rFonts w:ascii="Times New Roman" w:hAnsi="Times New Roman" w:cs="Times New Roman"/>
          <w:sz w:val="28"/>
          <w:szCs w:val="28"/>
        </w:rPr>
        <w:t xml:space="preserve">Вторая траектория </w:t>
      </w:r>
      <w:r w:rsidRPr="00C67135">
        <w:rPr>
          <w:rFonts w:ascii="Times New Roman" w:hAnsi="Times New Roman" w:cs="Times New Roman"/>
          <w:sz w:val="28"/>
          <w:szCs w:val="28"/>
        </w:rPr>
        <w:t>состоит</w:t>
      </w:r>
      <w:r w:rsidR="00895441">
        <w:rPr>
          <w:rFonts w:ascii="Times New Roman" w:hAnsi="Times New Roman" w:cs="Times New Roman"/>
          <w:sz w:val="28"/>
          <w:szCs w:val="28"/>
        </w:rPr>
        <w:t xml:space="preserve"> в том, что отличия рассматриваемых двух видов</w:t>
      </w:r>
      <w:r w:rsidR="00C07AF5">
        <w:rPr>
          <w:rFonts w:ascii="Times New Roman" w:hAnsi="Times New Roman" w:cs="Times New Roman"/>
          <w:sz w:val="28"/>
          <w:szCs w:val="28"/>
        </w:rPr>
        <w:t xml:space="preserve"> отчетностей</w:t>
      </w:r>
      <w:r w:rsidRPr="000E4D98">
        <w:rPr>
          <w:rFonts w:ascii="Times New Roman" w:hAnsi="Times New Roman" w:cs="Times New Roman"/>
          <w:sz w:val="28"/>
          <w:szCs w:val="28"/>
        </w:rPr>
        <w:t xml:space="preserve"> </w:t>
      </w:r>
      <w:r w:rsidR="00895441">
        <w:rPr>
          <w:rFonts w:ascii="Times New Roman" w:hAnsi="Times New Roman" w:cs="Times New Roman"/>
          <w:sz w:val="28"/>
          <w:szCs w:val="28"/>
        </w:rPr>
        <w:t>настолько принципиальны, что объединение маловероятно. И наконец, согласно третьей траектории предполагается</w:t>
      </w:r>
      <w:r w:rsidR="00A5444B">
        <w:rPr>
          <w:rFonts w:ascii="Times New Roman" w:hAnsi="Times New Roman" w:cs="Times New Roman"/>
          <w:sz w:val="28"/>
          <w:szCs w:val="28"/>
        </w:rPr>
        <w:t>,</w:t>
      </w:r>
      <w:r w:rsidRPr="000E4D98">
        <w:rPr>
          <w:rFonts w:ascii="Times New Roman" w:hAnsi="Times New Roman" w:cs="Times New Roman"/>
          <w:sz w:val="28"/>
          <w:szCs w:val="28"/>
        </w:rPr>
        <w:t xml:space="preserve"> что будущее </w:t>
      </w:r>
      <w:r w:rsidR="00895441">
        <w:rPr>
          <w:rFonts w:ascii="Times New Roman" w:hAnsi="Times New Roman" w:cs="Times New Roman"/>
          <w:sz w:val="28"/>
          <w:szCs w:val="28"/>
        </w:rPr>
        <w:t>фин</w:t>
      </w:r>
      <w:r w:rsidR="00C07AF5">
        <w:rPr>
          <w:rFonts w:ascii="Times New Roman" w:hAnsi="Times New Roman" w:cs="Times New Roman"/>
          <w:sz w:val="28"/>
          <w:szCs w:val="28"/>
        </w:rPr>
        <w:t>ансовой</w:t>
      </w:r>
      <w:r w:rsidR="00895441">
        <w:rPr>
          <w:rFonts w:ascii="Times New Roman" w:hAnsi="Times New Roman" w:cs="Times New Roman"/>
          <w:sz w:val="28"/>
          <w:szCs w:val="28"/>
        </w:rPr>
        <w:t xml:space="preserve"> и нефин</w:t>
      </w:r>
      <w:r w:rsidR="00C07AF5">
        <w:rPr>
          <w:rFonts w:ascii="Times New Roman" w:hAnsi="Times New Roman" w:cs="Times New Roman"/>
          <w:sz w:val="28"/>
          <w:szCs w:val="28"/>
        </w:rPr>
        <w:t>ансовой</w:t>
      </w:r>
      <w:r w:rsidR="00895441">
        <w:rPr>
          <w:rFonts w:ascii="Times New Roman" w:hAnsi="Times New Roman" w:cs="Times New Roman"/>
          <w:sz w:val="28"/>
          <w:szCs w:val="28"/>
        </w:rPr>
        <w:t xml:space="preserve"> </w:t>
      </w:r>
      <w:r w:rsidR="00C07AF5">
        <w:rPr>
          <w:rFonts w:ascii="Times New Roman" w:hAnsi="Times New Roman" w:cs="Times New Roman"/>
          <w:sz w:val="28"/>
          <w:szCs w:val="28"/>
        </w:rPr>
        <w:t>отчетности</w:t>
      </w:r>
      <w:r w:rsidRPr="000E4D98">
        <w:rPr>
          <w:rFonts w:ascii="Times New Roman" w:hAnsi="Times New Roman" w:cs="Times New Roman"/>
          <w:sz w:val="28"/>
          <w:szCs w:val="28"/>
        </w:rPr>
        <w:t xml:space="preserve"> компаний заключается в гармонизации и </w:t>
      </w:r>
      <w:r w:rsidR="00895441">
        <w:rPr>
          <w:rFonts w:ascii="Times New Roman" w:hAnsi="Times New Roman" w:cs="Times New Roman"/>
          <w:sz w:val="28"/>
          <w:szCs w:val="28"/>
        </w:rPr>
        <w:t xml:space="preserve">их </w:t>
      </w:r>
      <w:r w:rsidRPr="000E4D98">
        <w:rPr>
          <w:rFonts w:ascii="Times New Roman" w:hAnsi="Times New Roman" w:cs="Times New Roman"/>
          <w:sz w:val="28"/>
          <w:szCs w:val="28"/>
        </w:rPr>
        <w:t>взаимном развитии, которое возможно в силу единой информационной базы обеих видов отчетностей</w:t>
      </w:r>
      <w:r w:rsidR="00A5444B">
        <w:rPr>
          <w:rFonts w:ascii="Times New Roman" w:hAnsi="Times New Roman" w:cs="Times New Roman"/>
          <w:sz w:val="28"/>
          <w:szCs w:val="28"/>
        </w:rPr>
        <w:t xml:space="preserve">. В идеи гармонизации двух рассматриваемых </w:t>
      </w:r>
      <w:r w:rsidR="00A5444B">
        <w:rPr>
          <w:rFonts w:ascii="Times New Roman" w:hAnsi="Times New Roman" w:cs="Times New Roman"/>
          <w:sz w:val="28"/>
          <w:szCs w:val="28"/>
        </w:rPr>
        <w:lastRenderedPageBreak/>
        <w:t xml:space="preserve">отчетностей </w:t>
      </w:r>
      <w:r w:rsidRPr="000E4D98">
        <w:rPr>
          <w:rFonts w:ascii="Times New Roman" w:hAnsi="Times New Roman" w:cs="Times New Roman"/>
          <w:sz w:val="28"/>
          <w:szCs w:val="28"/>
        </w:rPr>
        <w:t>будущее видится в интеграции</w:t>
      </w:r>
      <w:r w:rsidR="00A5444B">
        <w:rPr>
          <w:rFonts w:ascii="Times New Roman" w:hAnsi="Times New Roman" w:cs="Times New Roman"/>
          <w:sz w:val="28"/>
          <w:szCs w:val="28"/>
        </w:rPr>
        <w:t xml:space="preserve"> и </w:t>
      </w:r>
      <w:r w:rsidRPr="000E4D98">
        <w:rPr>
          <w:rFonts w:ascii="Times New Roman" w:hAnsi="Times New Roman" w:cs="Times New Roman"/>
          <w:sz w:val="28"/>
          <w:szCs w:val="28"/>
        </w:rPr>
        <w:t xml:space="preserve">в совместной эволюции финансовых и нефинансовых показателей, при сохранении специфики и ценности различных показателей. Не случайно сегодня внимание пользователей обращено к взаимосвязи финансовых и нефинансовых характеристик деятельности компании, именно такой подход позволяет сформировать комплексное представление о развитии бизнеса и способствует принятию обоснованных экономических и управленческих решений. Стратегия гармонизации финансовой и нефинансовой отчетности — это </w:t>
      </w:r>
      <w:r w:rsidR="00413C21">
        <w:rPr>
          <w:rFonts w:ascii="Times New Roman" w:hAnsi="Times New Roman" w:cs="Times New Roman"/>
          <w:sz w:val="28"/>
          <w:szCs w:val="28"/>
        </w:rPr>
        <w:t xml:space="preserve">приоритетный путь </w:t>
      </w:r>
      <w:r w:rsidRPr="000E4D98">
        <w:rPr>
          <w:rFonts w:ascii="Times New Roman" w:hAnsi="Times New Roman" w:cs="Times New Roman"/>
          <w:sz w:val="28"/>
          <w:szCs w:val="28"/>
        </w:rPr>
        <w:t xml:space="preserve">развития публичной отчетности компаний. Примером может быть исследование в области раскрытия информации о климатических рисках </w:t>
      </w:r>
      <w:r w:rsidRPr="00B21588">
        <w:rPr>
          <w:rFonts w:ascii="Times New Roman" w:hAnsi="Times New Roman" w:cs="Times New Roman"/>
          <w:sz w:val="28"/>
          <w:szCs w:val="28"/>
        </w:rPr>
        <w:t>[</w:t>
      </w:r>
      <w:r w:rsidR="00F1017A">
        <w:rPr>
          <w:rFonts w:ascii="Times New Roman" w:hAnsi="Times New Roman" w:cs="Times New Roman"/>
          <w:sz w:val="28"/>
          <w:szCs w:val="28"/>
        </w:rPr>
        <w:t>17</w:t>
      </w:r>
      <w:r w:rsidR="00B21588">
        <w:rPr>
          <w:rFonts w:ascii="Times New Roman" w:hAnsi="Times New Roman" w:cs="Times New Roman"/>
          <w:sz w:val="28"/>
          <w:szCs w:val="28"/>
        </w:rPr>
        <w:t xml:space="preserve">, </w:t>
      </w:r>
      <w:r w:rsidR="00F1017A">
        <w:rPr>
          <w:rFonts w:ascii="Times New Roman" w:hAnsi="Times New Roman" w:cs="Times New Roman"/>
          <w:sz w:val="28"/>
          <w:szCs w:val="28"/>
        </w:rPr>
        <w:t>18</w:t>
      </w:r>
      <w:r w:rsidRPr="00B21588">
        <w:rPr>
          <w:rFonts w:ascii="Times New Roman" w:hAnsi="Times New Roman" w:cs="Times New Roman"/>
          <w:sz w:val="28"/>
          <w:szCs w:val="28"/>
        </w:rPr>
        <w:t>].</w:t>
      </w:r>
      <w:r w:rsidRPr="000E4D98">
        <w:rPr>
          <w:rFonts w:ascii="Times New Roman" w:hAnsi="Times New Roman" w:cs="Times New Roman"/>
          <w:sz w:val="28"/>
          <w:szCs w:val="28"/>
        </w:rPr>
        <w:t xml:space="preserve"> Как результат этого вызова современности - появление и развитие практики формирования интегрированной отчетности. </w:t>
      </w:r>
    </w:p>
    <w:p w14:paraId="4CA4D353" w14:textId="77777777" w:rsidR="001E4FDA" w:rsidRDefault="00CF5303" w:rsidP="00C671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важной точкой зрения </w:t>
      </w:r>
      <w:r w:rsidRPr="000E36B6">
        <w:rPr>
          <w:rFonts w:ascii="Times New Roman" w:hAnsi="Times New Roman" w:cs="Times New Roman"/>
          <w:sz w:val="28"/>
          <w:szCs w:val="28"/>
        </w:rPr>
        <w:t>[</w:t>
      </w:r>
      <w:r>
        <w:rPr>
          <w:rFonts w:ascii="Times New Roman" w:hAnsi="Times New Roman" w:cs="Times New Roman"/>
          <w:sz w:val="28"/>
          <w:szCs w:val="28"/>
        </w:rPr>
        <w:t>Ефимова О. В.</w:t>
      </w:r>
      <w:r w:rsidRPr="000E36B6">
        <w:rPr>
          <w:rFonts w:ascii="Times New Roman" w:hAnsi="Times New Roman" w:cs="Times New Roman"/>
          <w:sz w:val="28"/>
          <w:szCs w:val="28"/>
        </w:rPr>
        <w:t>]</w:t>
      </w:r>
      <w:r>
        <w:rPr>
          <w:rFonts w:ascii="Times New Roman" w:hAnsi="Times New Roman" w:cs="Times New Roman"/>
          <w:sz w:val="28"/>
          <w:szCs w:val="28"/>
        </w:rPr>
        <w:t xml:space="preserve"> считается позиция, заключающаяся в том, что нефинансовая отчетность может сохранить свою самостоятельность публикации, но при этом необходимо решить проблемы, с которыми можно столкнуться в процессе подготовки данного вида отчетности. Именно они снижают </w:t>
      </w:r>
      <w:r w:rsidR="001E4FDA">
        <w:rPr>
          <w:rFonts w:ascii="Times New Roman" w:hAnsi="Times New Roman" w:cs="Times New Roman"/>
          <w:sz w:val="28"/>
          <w:szCs w:val="28"/>
        </w:rPr>
        <w:t xml:space="preserve">эффективность дальнейшего использования нефинансовой отчетности и ее сопоставления с финансовой отчетностью, а также усложняют процесс принятия финансовых и инвестиционных решений. </w:t>
      </w:r>
    </w:p>
    <w:p w14:paraId="7F9AB84E" w14:textId="7BF2BB35" w:rsidR="00451864" w:rsidRDefault="001E4FDA" w:rsidP="00C671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Схожий путь разв</w:t>
      </w:r>
      <w:r w:rsidR="00212267">
        <w:rPr>
          <w:rFonts w:ascii="Times New Roman" w:hAnsi="Times New Roman" w:cs="Times New Roman"/>
          <w:sz w:val="28"/>
          <w:szCs w:val="28"/>
        </w:rPr>
        <w:t xml:space="preserve">ития нефинансовой отчетности можно наблюдать еще у одного автора </w:t>
      </w:r>
      <w:r w:rsidR="00212267" w:rsidRPr="000E36B6">
        <w:rPr>
          <w:rFonts w:ascii="Times New Roman" w:hAnsi="Times New Roman" w:cs="Times New Roman"/>
          <w:sz w:val="28"/>
          <w:szCs w:val="28"/>
        </w:rPr>
        <w:t>[</w:t>
      </w:r>
      <w:r w:rsidR="00212267">
        <w:rPr>
          <w:rFonts w:ascii="Times New Roman" w:hAnsi="Times New Roman" w:cs="Times New Roman"/>
          <w:sz w:val="28"/>
          <w:szCs w:val="28"/>
        </w:rPr>
        <w:t>Соловей Т. Н.</w:t>
      </w:r>
      <w:r w:rsidR="00212267" w:rsidRPr="000E36B6">
        <w:rPr>
          <w:rFonts w:ascii="Times New Roman" w:hAnsi="Times New Roman" w:cs="Times New Roman"/>
          <w:sz w:val="28"/>
          <w:szCs w:val="28"/>
        </w:rPr>
        <w:t>]</w:t>
      </w:r>
      <w:r w:rsidR="00212267">
        <w:rPr>
          <w:rFonts w:ascii="Times New Roman" w:hAnsi="Times New Roman" w:cs="Times New Roman"/>
          <w:sz w:val="28"/>
          <w:szCs w:val="28"/>
        </w:rPr>
        <w:t>, в работе которого рассматривается самостоятельное развитие нефинансовой отчетности, возникающие при этом проблемы ее содержательных и качественных характеристик. Одним из предложений в части решения проблем высказывается необходимость создания концептуальных основ данного вида отчетности, которые либо были бы специфичными или же соответствовали концептуальным основам МСФО.</w:t>
      </w:r>
    </w:p>
    <w:p w14:paraId="4193FCBD" w14:textId="78CA8EF3" w:rsidR="005B5A9F" w:rsidRPr="00F83306" w:rsidRDefault="008B41CE" w:rsidP="000954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общими чертами данных работ является высказывания мнения об отсутствии единых стандартов составления и регулирования нефинансовой отчетности. В связи с чем можно рассмотреть </w:t>
      </w:r>
      <w:r>
        <w:rPr>
          <w:rFonts w:ascii="Times New Roman" w:hAnsi="Times New Roman" w:cs="Times New Roman"/>
          <w:sz w:val="28"/>
          <w:szCs w:val="28"/>
        </w:rPr>
        <w:lastRenderedPageBreak/>
        <w:t xml:space="preserve">инициативу </w:t>
      </w:r>
      <w:r>
        <w:rPr>
          <w:rFonts w:ascii="Times New Roman" w:hAnsi="Times New Roman" w:cs="Times New Roman"/>
          <w:sz w:val="28"/>
          <w:szCs w:val="28"/>
          <w:lang w:val="en-US"/>
        </w:rPr>
        <w:t>IFRS</w:t>
      </w:r>
      <w:r w:rsidRPr="00D92FB3">
        <w:rPr>
          <w:rFonts w:ascii="Times New Roman" w:hAnsi="Times New Roman" w:cs="Times New Roman"/>
          <w:sz w:val="28"/>
          <w:szCs w:val="28"/>
        </w:rPr>
        <w:t xml:space="preserve"> </w:t>
      </w:r>
      <w:r>
        <w:rPr>
          <w:rFonts w:ascii="Times New Roman" w:hAnsi="Times New Roman" w:cs="Times New Roman"/>
          <w:sz w:val="28"/>
          <w:szCs w:val="28"/>
          <w:lang w:val="en-US"/>
        </w:rPr>
        <w:t>Foundation</w:t>
      </w:r>
      <w:r w:rsidR="00D92FB3">
        <w:rPr>
          <w:rFonts w:ascii="Times New Roman" w:hAnsi="Times New Roman" w:cs="Times New Roman"/>
          <w:sz w:val="28"/>
          <w:szCs w:val="28"/>
        </w:rPr>
        <w:t xml:space="preserve"> и ее роль в регулировании нефинансовой отчетности.</w:t>
      </w:r>
    </w:p>
    <w:p w14:paraId="6553C10A" w14:textId="77777777" w:rsidR="003E767F" w:rsidRPr="000E4D98" w:rsidRDefault="003E767F" w:rsidP="000E4D98">
      <w:pPr>
        <w:spacing w:line="240" w:lineRule="auto"/>
        <w:jc w:val="both"/>
        <w:rPr>
          <w:rFonts w:ascii="Times New Roman" w:hAnsi="Times New Roman" w:cs="Times New Roman"/>
          <w:b/>
          <w:sz w:val="28"/>
          <w:szCs w:val="24"/>
        </w:rPr>
      </w:pPr>
      <w:r w:rsidRPr="000E4D98">
        <w:rPr>
          <w:rFonts w:ascii="Times New Roman" w:hAnsi="Times New Roman" w:cs="Times New Roman"/>
          <w:b/>
          <w:sz w:val="28"/>
          <w:szCs w:val="24"/>
        </w:rPr>
        <w:t xml:space="preserve">Роль </w:t>
      </w:r>
      <w:r w:rsidRPr="000E4D98">
        <w:rPr>
          <w:rFonts w:ascii="Times New Roman" w:hAnsi="Times New Roman" w:cs="Times New Roman"/>
          <w:b/>
          <w:sz w:val="28"/>
          <w:szCs w:val="24"/>
          <w:lang w:val="en-US"/>
        </w:rPr>
        <w:t>IFRS</w:t>
      </w:r>
      <w:r w:rsidRPr="000E4D98">
        <w:rPr>
          <w:rFonts w:ascii="Times New Roman" w:hAnsi="Times New Roman" w:cs="Times New Roman"/>
          <w:b/>
          <w:sz w:val="28"/>
          <w:szCs w:val="24"/>
        </w:rPr>
        <w:t xml:space="preserve"> </w:t>
      </w:r>
      <w:r w:rsidRPr="000E4D98">
        <w:rPr>
          <w:rFonts w:ascii="Times New Roman" w:hAnsi="Times New Roman" w:cs="Times New Roman"/>
          <w:b/>
          <w:sz w:val="28"/>
          <w:szCs w:val="24"/>
          <w:lang w:val="en-US"/>
        </w:rPr>
        <w:t>Foundation</w:t>
      </w:r>
      <w:r w:rsidRPr="000E4D98">
        <w:rPr>
          <w:rFonts w:ascii="Times New Roman" w:hAnsi="Times New Roman" w:cs="Times New Roman"/>
          <w:b/>
          <w:sz w:val="28"/>
          <w:szCs w:val="24"/>
        </w:rPr>
        <w:t xml:space="preserve"> в регулировании </w:t>
      </w:r>
      <w:r w:rsidR="00A5444B">
        <w:rPr>
          <w:rFonts w:ascii="Times New Roman" w:hAnsi="Times New Roman" w:cs="Times New Roman"/>
          <w:b/>
          <w:sz w:val="28"/>
          <w:szCs w:val="24"/>
        </w:rPr>
        <w:t>нефинансовой отчетности</w:t>
      </w:r>
      <w:r w:rsidR="00EA2526">
        <w:rPr>
          <w:rFonts w:ascii="Times New Roman" w:hAnsi="Times New Roman" w:cs="Times New Roman"/>
          <w:b/>
          <w:sz w:val="28"/>
          <w:szCs w:val="24"/>
        </w:rPr>
        <w:t xml:space="preserve">: создание </w:t>
      </w:r>
      <w:r w:rsidR="00EA2526">
        <w:rPr>
          <w:rFonts w:ascii="Times New Roman" w:hAnsi="Times New Roman" w:cs="Times New Roman"/>
          <w:b/>
          <w:sz w:val="28"/>
          <w:szCs w:val="24"/>
          <w:lang w:val="en-US"/>
        </w:rPr>
        <w:t>ISSB</w:t>
      </w:r>
    </w:p>
    <w:p w14:paraId="5921896D" w14:textId="33F9E5C6" w:rsidR="0063443C" w:rsidRPr="00BD3F35" w:rsidRDefault="00FC100C" w:rsidP="00FC10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единых стандартов </w:t>
      </w:r>
      <w:r>
        <w:rPr>
          <w:rFonts w:ascii="Times New Roman" w:hAnsi="Times New Roman" w:cs="Times New Roman"/>
          <w:sz w:val="28"/>
          <w:szCs w:val="28"/>
          <w:lang w:val="en-US"/>
        </w:rPr>
        <w:t>ESG</w:t>
      </w:r>
      <w:r>
        <w:rPr>
          <w:rFonts w:ascii="Times New Roman" w:hAnsi="Times New Roman" w:cs="Times New Roman"/>
          <w:sz w:val="28"/>
          <w:szCs w:val="28"/>
        </w:rPr>
        <w:t xml:space="preserve"> отчетности, обеспечивающих</w:t>
      </w:r>
      <w:r w:rsidR="000A1F91">
        <w:rPr>
          <w:rFonts w:ascii="Times New Roman" w:hAnsi="Times New Roman" w:cs="Times New Roman"/>
          <w:sz w:val="28"/>
          <w:szCs w:val="28"/>
        </w:rPr>
        <w:t xml:space="preserve"> связь </w:t>
      </w:r>
      <w:r>
        <w:rPr>
          <w:rFonts w:ascii="Times New Roman" w:hAnsi="Times New Roman" w:cs="Times New Roman"/>
          <w:sz w:val="28"/>
          <w:szCs w:val="28"/>
        </w:rPr>
        <w:t>с финансовой отчетностью,</w:t>
      </w:r>
      <w:r w:rsidR="00161A09" w:rsidRPr="00BD3F35">
        <w:rPr>
          <w:rFonts w:ascii="Times New Roman" w:hAnsi="Times New Roman" w:cs="Times New Roman"/>
          <w:sz w:val="28"/>
          <w:szCs w:val="28"/>
        </w:rPr>
        <w:t xml:space="preserve"> </w:t>
      </w:r>
      <w:r w:rsidR="0063443C" w:rsidRPr="00BD3F35">
        <w:rPr>
          <w:rFonts w:ascii="Times New Roman" w:hAnsi="Times New Roman" w:cs="Times New Roman"/>
          <w:sz w:val="28"/>
          <w:szCs w:val="28"/>
        </w:rPr>
        <w:t xml:space="preserve">могло бы решить довольно большой круг проблем, которые возникают у различных пользователей отчетности, а также в первую очередь облегчить </w:t>
      </w:r>
      <w:r w:rsidR="00EA2526">
        <w:rPr>
          <w:rFonts w:ascii="Times New Roman" w:hAnsi="Times New Roman" w:cs="Times New Roman"/>
          <w:sz w:val="28"/>
          <w:szCs w:val="28"/>
        </w:rPr>
        <w:t>формирование и аудит (заверение)</w:t>
      </w:r>
      <w:r w:rsidR="0063443C" w:rsidRPr="00BD3F35">
        <w:rPr>
          <w:rFonts w:ascii="Times New Roman" w:hAnsi="Times New Roman" w:cs="Times New Roman"/>
          <w:sz w:val="28"/>
          <w:szCs w:val="28"/>
        </w:rPr>
        <w:t xml:space="preserve"> таких документов для самой компании. </w:t>
      </w:r>
      <w:r w:rsidR="00DA4BAD" w:rsidRPr="00BD3F35">
        <w:rPr>
          <w:rFonts w:ascii="Times New Roman" w:hAnsi="Times New Roman" w:cs="Times New Roman"/>
          <w:sz w:val="28"/>
          <w:szCs w:val="28"/>
        </w:rPr>
        <w:t xml:space="preserve">И в последние </w:t>
      </w:r>
      <w:r w:rsidR="000A1F91">
        <w:rPr>
          <w:rFonts w:ascii="Times New Roman" w:hAnsi="Times New Roman" w:cs="Times New Roman"/>
          <w:sz w:val="28"/>
          <w:szCs w:val="28"/>
        </w:rPr>
        <w:t>два</w:t>
      </w:r>
      <w:r w:rsidR="00DA4BAD" w:rsidRPr="00BD3F35">
        <w:rPr>
          <w:rFonts w:ascii="Times New Roman" w:hAnsi="Times New Roman" w:cs="Times New Roman"/>
          <w:sz w:val="28"/>
          <w:szCs w:val="28"/>
        </w:rPr>
        <w:t xml:space="preserve"> года действительно были сделаны большие шаги в решении этого вопроса. </w:t>
      </w:r>
    </w:p>
    <w:p w14:paraId="1553FDD6" w14:textId="54A65404" w:rsidR="00B63F84" w:rsidRDefault="005D44FA" w:rsidP="00B401A1">
      <w:pPr>
        <w:spacing w:after="0" w:line="360" w:lineRule="auto"/>
        <w:ind w:firstLine="708"/>
        <w:jc w:val="both"/>
        <w:rPr>
          <w:rFonts w:ascii="Times New Roman" w:hAnsi="Times New Roman" w:cs="Times New Roman"/>
          <w:sz w:val="28"/>
          <w:szCs w:val="28"/>
        </w:rPr>
      </w:pPr>
      <w:r w:rsidRPr="00BD3F35">
        <w:rPr>
          <w:rFonts w:ascii="Times New Roman" w:hAnsi="Times New Roman" w:cs="Times New Roman"/>
          <w:sz w:val="28"/>
          <w:szCs w:val="28"/>
        </w:rPr>
        <w:t>Первые изменения были проведены</w:t>
      </w:r>
      <w:r w:rsidR="007B703A" w:rsidRPr="00BD3F35">
        <w:rPr>
          <w:rFonts w:ascii="Times New Roman" w:hAnsi="Times New Roman" w:cs="Times New Roman"/>
          <w:sz w:val="28"/>
          <w:szCs w:val="28"/>
        </w:rPr>
        <w:t xml:space="preserve"> 3 ноября 2021 года</w:t>
      </w:r>
      <w:r w:rsidRPr="00BD3F35">
        <w:rPr>
          <w:rFonts w:ascii="Times New Roman" w:hAnsi="Times New Roman" w:cs="Times New Roman"/>
          <w:sz w:val="28"/>
          <w:szCs w:val="28"/>
        </w:rPr>
        <w:t>, когда</w:t>
      </w:r>
      <w:r w:rsidR="007B703A" w:rsidRPr="00BD3F35">
        <w:rPr>
          <w:rFonts w:ascii="Times New Roman" w:hAnsi="Times New Roman" w:cs="Times New Roman"/>
          <w:sz w:val="28"/>
          <w:szCs w:val="28"/>
        </w:rPr>
        <w:t xml:space="preserve"> </w:t>
      </w:r>
      <w:r w:rsidR="00E45B82" w:rsidRPr="00F83306">
        <w:rPr>
          <w:rFonts w:ascii="Times New Roman" w:hAnsi="Times New Roman" w:cs="Times New Roman"/>
          <w:sz w:val="28"/>
          <w:szCs w:val="28"/>
        </w:rPr>
        <w:t>IFRS</w:t>
      </w:r>
      <w:r w:rsidR="00E45B82" w:rsidRPr="00E45B82">
        <w:rPr>
          <w:rFonts w:ascii="Times New Roman" w:hAnsi="Times New Roman" w:cs="Times New Roman"/>
          <w:sz w:val="28"/>
          <w:szCs w:val="28"/>
        </w:rPr>
        <w:t xml:space="preserve"> </w:t>
      </w:r>
      <w:proofErr w:type="spellStart"/>
      <w:r w:rsidR="00E45B82" w:rsidRPr="00F83306">
        <w:rPr>
          <w:rFonts w:ascii="Times New Roman" w:hAnsi="Times New Roman" w:cs="Times New Roman"/>
          <w:sz w:val="28"/>
          <w:szCs w:val="28"/>
        </w:rPr>
        <w:t>Foundation</w:t>
      </w:r>
      <w:proofErr w:type="spellEnd"/>
      <w:r w:rsidR="00E45B82" w:rsidRPr="00E45B82">
        <w:rPr>
          <w:rFonts w:ascii="Times New Roman" w:hAnsi="Times New Roman" w:cs="Times New Roman"/>
          <w:sz w:val="28"/>
          <w:szCs w:val="28"/>
        </w:rPr>
        <w:t xml:space="preserve"> </w:t>
      </w:r>
      <w:proofErr w:type="spellStart"/>
      <w:r w:rsidR="00E45B82" w:rsidRPr="00F83306">
        <w:rPr>
          <w:rFonts w:ascii="Times New Roman" w:hAnsi="Times New Roman" w:cs="Times New Roman"/>
          <w:sz w:val="28"/>
          <w:szCs w:val="28"/>
        </w:rPr>
        <w:t>Trustees</w:t>
      </w:r>
      <w:proofErr w:type="spellEnd"/>
      <w:r w:rsidR="00E45B82" w:rsidRPr="00F83306">
        <w:rPr>
          <w:rFonts w:ascii="Times New Roman" w:hAnsi="Times New Roman" w:cs="Times New Roman"/>
          <w:sz w:val="28"/>
          <w:szCs w:val="28"/>
        </w:rPr>
        <w:t xml:space="preserve"> (</w:t>
      </w:r>
      <w:r w:rsidR="00E45B82" w:rsidRPr="00BD3F35">
        <w:rPr>
          <w:rFonts w:ascii="Times New Roman" w:hAnsi="Times New Roman" w:cs="Times New Roman"/>
          <w:sz w:val="28"/>
          <w:szCs w:val="28"/>
        </w:rPr>
        <w:t>Попечители Фонда МСФО</w:t>
      </w:r>
      <w:r w:rsidR="00E45B82">
        <w:rPr>
          <w:rFonts w:ascii="Times New Roman" w:hAnsi="Times New Roman" w:cs="Times New Roman"/>
          <w:sz w:val="28"/>
          <w:szCs w:val="28"/>
        </w:rPr>
        <w:t xml:space="preserve">) </w:t>
      </w:r>
      <w:r w:rsidR="000A1F91">
        <w:rPr>
          <w:rFonts w:ascii="Times New Roman" w:hAnsi="Times New Roman" w:cs="Times New Roman"/>
          <w:sz w:val="28"/>
          <w:szCs w:val="28"/>
        </w:rPr>
        <w:t>объявили о создании нового С</w:t>
      </w:r>
      <w:r w:rsidR="007B703A" w:rsidRPr="00BD3F35">
        <w:rPr>
          <w:rFonts w:ascii="Times New Roman" w:hAnsi="Times New Roman" w:cs="Times New Roman"/>
          <w:sz w:val="28"/>
          <w:szCs w:val="28"/>
        </w:rPr>
        <w:t xml:space="preserve">овета по </w:t>
      </w:r>
      <w:r w:rsidR="000A1F91">
        <w:rPr>
          <w:rFonts w:ascii="Times New Roman" w:hAnsi="Times New Roman" w:cs="Times New Roman"/>
          <w:sz w:val="28"/>
          <w:szCs w:val="28"/>
        </w:rPr>
        <w:t xml:space="preserve">стандартам устойчивого развития </w:t>
      </w:r>
      <w:r w:rsidR="004C7065" w:rsidRPr="00BD3F35">
        <w:rPr>
          <w:rFonts w:ascii="Times New Roman" w:hAnsi="Times New Roman" w:cs="Times New Roman"/>
          <w:sz w:val="28"/>
          <w:szCs w:val="28"/>
        </w:rPr>
        <w:t xml:space="preserve">– </w:t>
      </w:r>
      <w:proofErr w:type="spellStart"/>
      <w:r w:rsidR="00E45B82" w:rsidRPr="00E45B82">
        <w:rPr>
          <w:rFonts w:ascii="Times New Roman" w:hAnsi="Times New Roman" w:cs="Times New Roman"/>
          <w:sz w:val="28"/>
          <w:szCs w:val="28"/>
        </w:rPr>
        <w:t>International</w:t>
      </w:r>
      <w:proofErr w:type="spellEnd"/>
      <w:r w:rsidR="00E45B82" w:rsidRPr="00E45B82">
        <w:rPr>
          <w:rFonts w:ascii="Times New Roman" w:hAnsi="Times New Roman" w:cs="Times New Roman"/>
          <w:sz w:val="28"/>
          <w:szCs w:val="28"/>
        </w:rPr>
        <w:t xml:space="preserve"> </w:t>
      </w:r>
      <w:proofErr w:type="spellStart"/>
      <w:r w:rsidR="00E45B82" w:rsidRPr="00E45B82">
        <w:rPr>
          <w:rFonts w:ascii="Times New Roman" w:hAnsi="Times New Roman" w:cs="Times New Roman"/>
          <w:sz w:val="28"/>
          <w:szCs w:val="28"/>
        </w:rPr>
        <w:t>Sustainability</w:t>
      </w:r>
      <w:proofErr w:type="spellEnd"/>
      <w:r w:rsidR="00E45B82" w:rsidRPr="00E45B82">
        <w:rPr>
          <w:rFonts w:ascii="Times New Roman" w:hAnsi="Times New Roman" w:cs="Times New Roman"/>
          <w:sz w:val="28"/>
          <w:szCs w:val="28"/>
        </w:rPr>
        <w:t xml:space="preserve"> </w:t>
      </w:r>
      <w:proofErr w:type="spellStart"/>
      <w:r w:rsidR="00E45B82" w:rsidRPr="00E45B82">
        <w:rPr>
          <w:rFonts w:ascii="Times New Roman" w:hAnsi="Times New Roman" w:cs="Times New Roman"/>
          <w:sz w:val="28"/>
          <w:szCs w:val="28"/>
        </w:rPr>
        <w:t>Standards</w:t>
      </w:r>
      <w:proofErr w:type="spellEnd"/>
      <w:r w:rsidR="00E45B82" w:rsidRPr="00E45B82">
        <w:rPr>
          <w:rFonts w:ascii="Times New Roman" w:hAnsi="Times New Roman" w:cs="Times New Roman"/>
          <w:sz w:val="28"/>
          <w:szCs w:val="28"/>
        </w:rPr>
        <w:t xml:space="preserve"> </w:t>
      </w:r>
      <w:proofErr w:type="spellStart"/>
      <w:r w:rsidR="00E45B82" w:rsidRPr="00E45B82">
        <w:rPr>
          <w:rFonts w:ascii="Times New Roman" w:hAnsi="Times New Roman" w:cs="Times New Roman"/>
          <w:sz w:val="28"/>
          <w:szCs w:val="28"/>
        </w:rPr>
        <w:t>Board</w:t>
      </w:r>
      <w:proofErr w:type="spellEnd"/>
      <w:r w:rsidR="00E45B82" w:rsidRPr="00F83306">
        <w:rPr>
          <w:rFonts w:ascii="Times New Roman" w:hAnsi="Times New Roman" w:cs="Times New Roman"/>
          <w:sz w:val="28"/>
          <w:szCs w:val="28"/>
        </w:rPr>
        <w:t xml:space="preserve"> </w:t>
      </w:r>
      <w:r w:rsidR="00E45B82" w:rsidRPr="00BD3F35">
        <w:rPr>
          <w:rFonts w:ascii="Times New Roman" w:hAnsi="Times New Roman" w:cs="Times New Roman"/>
          <w:sz w:val="28"/>
          <w:szCs w:val="28"/>
        </w:rPr>
        <w:t>(ISSB</w:t>
      </w:r>
      <w:r w:rsidR="007B703A" w:rsidRPr="00BD3F35">
        <w:rPr>
          <w:rFonts w:ascii="Times New Roman" w:hAnsi="Times New Roman" w:cs="Times New Roman"/>
          <w:sz w:val="28"/>
          <w:szCs w:val="28"/>
        </w:rPr>
        <w:t>)</w:t>
      </w:r>
      <w:r w:rsidR="00552E89">
        <w:rPr>
          <w:rFonts w:ascii="Times New Roman" w:hAnsi="Times New Roman" w:cs="Times New Roman"/>
          <w:sz w:val="28"/>
          <w:szCs w:val="28"/>
        </w:rPr>
        <w:t xml:space="preserve"> [19</w:t>
      </w:r>
      <w:r w:rsidR="00EE6191" w:rsidRPr="00EE6191">
        <w:rPr>
          <w:rFonts w:ascii="Times New Roman" w:hAnsi="Times New Roman" w:cs="Times New Roman"/>
          <w:sz w:val="28"/>
          <w:szCs w:val="28"/>
        </w:rPr>
        <w:t>]</w:t>
      </w:r>
      <w:r w:rsidR="007B703A" w:rsidRPr="00BD3F35">
        <w:rPr>
          <w:rFonts w:ascii="Times New Roman" w:hAnsi="Times New Roman" w:cs="Times New Roman"/>
          <w:sz w:val="28"/>
          <w:szCs w:val="28"/>
        </w:rPr>
        <w:t xml:space="preserve">. </w:t>
      </w:r>
      <w:r w:rsidR="00B63F84">
        <w:rPr>
          <w:rFonts w:ascii="Times New Roman" w:hAnsi="Times New Roman" w:cs="Times New Roman"/>
          <w:sz w:val="28"/>
          <w:szCs w:val="28"/>
        </w:rPr>
        <w:t xml:space="preserve"> В пользу такого значимого шага в регулировании нефинансовой отчетности высказывали свое мнение как представители государственной власти – </w:t>
      </w:r>
      <w:proofErr w:type="spellStart"/>
      <w:r w:rsidR="00B63F84">
        <w:rPr>
          <w:rFonts w:ascii="Times New Roman" w:hAnsi="Times New Roman" w:cs="Times New Roman"/>
          <w:sz w:val="28"/>
          <w:szCs w:val="28"/>
        </w:rPr>
        <w:t>Риши</w:t>
      </w:r>
      <w:proofErr w:type="spellEnd"/>
      <w:r w:rsidR="00B63F84">
        <w:rPr>
          <w:rFonts w:ascii="Times New Roman" w:hAnsi="Times New Roman" w:cs="Times New Roman"/>
          <w:sz w:val="28"/>
          <w:szCs w:val="28"/>
        </w:rPr>
        <w:t xml:space="preserve"> </w:t>
      </w:r>
      <w:proofErr w:type="spellStart"/>
      <w:r w:rsidR="00B63F84">
        <w:rPr>
          <w:rFonts w:ascii="Times New Roman" w:hAnsi="Times New Roman" w:cs="Times New Roman"/>
          <w:sz w:val="28"/>
          <w:szCs w:val="28"/>
        </w:rPr>
        <w:t>Сунак</w:t>
      </w:r>
      <w:proofErr w:type="spellEnd"/>
      <w:r w:rsidR="00B63F84">
        <w:rPr>
          <w:rFonts w:ascii="Times New Roman" w:hAnsi="Times New Roman" w:cs="Times New Roman"/>
          <w:sz w:val="28"/>
          <w:szCs w:val="28"/>
        </w:rPr>
        <w:t xml:space="preserve">, канцлер Казначейства Великобритании, обращал внимание на то, </w:t>
      </w:r>
      <w:r w:rsidR="00B63F84" w:rsidRPr="00BD3F35">
        <w:rPr>
          <w:rFonts w:ascii="Times New Roman" w:hAnsi="Times New Roman" w:cs="Times New Roman"/>
          <w:sz w:val="28"/>
          <w:szCs w:val="28"/>
        </w:rPr>
        <w:t xml:space="preserve">что в связи </w:t>
      </w:r>
      <w:proofErr w:type="spellStart"/>
      <w:r w:rsidR="00B63F84" w:rsidRPr="00BD3F35">
        <w:rPr>
          <w:rFonts w:ascii="Times New Roman" w:hAnsi="Times New Roman" w:cs="Times New Roman"/>
          <w:sz w:val="28"/>
          <w:szCs w:val="28"/>
        </w:rPr>
        <w:t>перестраиванием</w:t>
      </w:r>
      <w:proofErr w:type="spellEnd"/>
      <w:r w:rsidR="00B63F84" w:rsidRPr="00BD3F35">
        <w:rPr>
          <w:rFonts w:ascii="Times New Roman" w:hAnsi="Times New Roman" w:cs="Times New Roman"/>
          <w:sz w:val="28"/>
          <w:szCs w:val="28"/>
        </w:rPr>
        <w:t xml:space="preserve"> глобальной финансовой системы под углеродную нейтральность, необходимо будет ведение требований об обязательном раскрытие информации об устойчивом развитии и другие изменения</w:t>
      </w:r>
      <w:r w:rsidR="00F40A82">
        <w:rPr>
          <w:rFonts w:ascii="Times New Roman" w:hAnsi="Times New Roman" w:cs="Times New Roman"/>
          <w:sz w:val="28"/>
          <w:szCs w:val="28"/>
        </w:rPr>
        <w:t xml:space="preserve"> [20</w:t>
      </w:r>
      <w:r w:rsidR="00B63F84" w:rsidRPr="00EE6191">
        <w:rPr>
          <w:rFonts w:ascii="Times New Roman" w:hAnsi="Times New Roman" w:cs="Times New Roman"/>
          <w:sz w:val="28"/>
          <w:szCs w:val="28"/>
        </w:rPr>
        <w:t>]</w:t>
      </w:r>
      <w:r w:rsidR="00B63F84">
        <w:rPr>
          <w:rFonts w:ascii="Times New Roman" w:hAnsi="Times New Roman" w:cs="Times New Roman"/>
          <w:sz w:val="28"/>
          <w:szCs w:val="28"/>
        </w:rPr>
        <w:t xml:space="preserve"> – так и представители бизнеса – </w:t>
      </w:r>
      <w:r w:rsidR="00B63F84" w:rsidRPr="00BD3F35">
        <w:rPr>
          <w:rFonts w:ascii="Times New Roman" w:hAnsi="Times New Roman" w:cs="Times New Roman"/>
          <w:sz w:val="28"/>
          <w:szCs w:val="28"/>
        </w:rPr>
        <w:t xml:space="preserve">Алан </w:t>
      </w:r>
      <w:proofErr w:type="spellStart"/>
      <w:r w:rsidR="00B63F84" w:rsidRPr="00BD3F35">
        <w:rPr>
          <w:rFonts w:ascii="Times New Roman" w:hAnsi="Times New Roman" w:cs="Times New Roman"/>
          <w:sz w:val="28"/>
          <w:szCs w:val="28"/>
        </w:rPr>
        <w:t>Джоуп</w:t>
      </w:r>
      <w:proofErr w:type="spellEnd"/>
      <w:r w:rsidR="00B63F84" w:rsidRPr="00BD3F35">
        <w:rPr>
          <w:rFonts w:ascii="Times New Roman" w:hAnsi="Times New Roman" w:cs="Times New Roman"/>
          <w:sz w:val="28"/>
          <w:szCs w:val="28"/>
        </w:rPr>
        <w:t xml:space="preserve">, генеральный директор </w:t>
      </w:r>
      <w:proofErr w:type="spellStart"/>
      <w:r w:rsidR="00B63F84" w:rsidRPr="00BD3F35">
        <w:rPr>
          <w:rFonts w:ascii="Times New Roman" w:hAnsi="Times New Roman" w:cs="Times New Roman"/>
          <w:sz w:val="28"/>
          <w:szCs w:val="28"/>
        </w:rPr>
        <w:t>Unilever</w:t>
      </w:r>
      <w:proofErr w:type="spellEnd"/>
      <w:r w:rsidR="00B63F84" w:rsidRPr="00BD3F35">
        <w:rPr>
          <w:rFonts w:ascii="Times New Roman" w:hAnsi="Times New Roman" w:cs="Times New Roman"/>
          <w:sz w:val="28"/>
          <w:szCs w:val="28"/>
        </w:rPr>
        <w:t xml:space="preserve">, на ежегодном собрании Всемирного Экономического Форума 2022 заявил, что несмотря на большую команду и количество времени, потраченного на изучение вопроса составления </w:t>
      </w:r>
      <w:r w:rsidR="00B63F84">
        <w:rPr>
          <w:rFonts w:ascii="Times New Roman" w:hAnsi="Times New Roman" w:cs="Times New Roman"/>
          <w:sz w:val="28"/>
          <w:szCs w:val="28"/>
        </w:rPr>
        <w:t>нефинансовой отчетности</w:t>
      </w:r>
      <w:r w:rsidR="00B63F84" w:rsidRPr="00BD3F35">
        <w:rPr>
          <w:rFonts w:ascii="Times New Roman" w:hAnsi="Times New Roman" w:cs="Times New Roman"/>
          <w:sz w:val="28"/>
          <w:szCs w:val="28"/>
        </w:rPr>
        <w:t xml:space="preserve">: «Мы испытываем трудности с самой элементарной способностью измерять эти трудноизмеримые области – и мы занимаемся этим уже некоторое время». Также его поддержала Лаура </w:t>
      </w:r>
      <w:proofErr w:type="spellStart"/>
      <w:r w:rsidR="00B63F84" w:rsidRPr="00BD3F35">
        <w:rPr>
          <w:rFonts w:ascii="Times New Roman" w:hAnsi="Times New Roman" w:cs="Times New Roman"/>
          <w:sz w:val="28"/>
          <w:szCs w:val="28"/>
        </w:rPr>
        <w:t>Ча</w:t>
      </w:r>
      <w:proofErr w:type="spellEnd"/>
      <w:r w:rsidR="00B63F84" w:rsidRPr="00BD3F35">
        <w:rPr>
          <w:rFonts w:ascii="Times New Roman" w:hAnsi="Times New Roman" w:cs="Times New Roman"/>
          <w:sz w:val="28"/>
          <w:szCs w:val="28"/>
        </w:rPr>
        <w:t>, председатель Гонконгской биржи и клиринга: «…а для того чтобы эти раскрытия [ESG] были значимыми, нам нужен согласованный стандарт. Так как сейчас существует множество форм стандартов»</w:t>
      </w:r>
      <w:r w:rsidR="00F40A82">
        <w:rPr>
          <w:rFonts w:ascii="Times New Roman" w:hAnsi="Times New Roman" w:cs="Times New Roman"/>
          <w:sz w:val="28"/>
          <w:szCs w:val="28"/>
        </w:rPr>
        <w:t xml:space="preserve"> [21</w:t>
      </w:r>
      <w:r w:rsidR="00B63F84" w:rsidRPr="00527E3C">
        <w:rPr>
          <w:rFonts w:ascii="Times New Roman" w:hAnsi="Times New Roman" w:cs="Times New Roman"/>
          <w:sz w:val="28"/>
          <w:szCs w:val="28"/>
        </w:rPr>
        <w:t>]</w:t>
      </w:r>
      <w:r w:rsidR="00B63F84" w:rsidRPr="00BD3F35">
        <w:rPr>
          <w:rFonts w:ascii="Times New Roman" w:hAnsi="Times New Roman" w:cs="Times New Roman"/>
          <w:sz w:val="28"/>
          <w:szCs w:val="28"/>
        </w:rPr>
        <w:t>.</w:t>
      </w:r>
      <w:r w:rsidR="00B63F84" w:rsidRPr="00F83306">
        <w:rPr>
          <w:rFonts w:ascii="Times New Roman" w:hAnsi="Times New Roman" w:cs="Times New Roman"/>
          <w:sz w:val="28"/>
          <w:szCs w:val="28"/>
        </w:rPr>
        <w:t xml:space="preserve"> </w:t>
      </w:r>
    </w:p>
    <w:p w14:paraId="76A210E8" w14:textId="2052D6AC" w:rsidR="00A85B07" w:rsidRDefault="00C71D23" w:rsidP="00F83306">
      <w:pPr>
        <w:spacing w:after="0" w:line="360" w:lineRule="auto"/>
        <w:ind w:firstLine="708"/>
        <w:jc w:val="both"/>
        <w:rPr>
          <w:rFonts w:ascii="Times New Roman" w:hAnsi="Times New Roman" w:cs="Times New Roman"/>
          <w:sz w:val="28"/>
          <w:szCs w:val="28"/>
        </w:rPr>
      </w:pPr>
      <w:r>
        <w:rPr>
          <w:noProof/>
          <w:lang w:eastAsia="ru-RU"/>
        </w:rPr>
        <w:lastRenderedPageBreak/>
        <mc:AlternateContent>
          <mc:Choice Requires="wpg">
            <w:drawing>
              <wp:anchor distT="0" distB="0" distL="114300" distR="114300" simplePos="0" relativeHeight="251659264" behindDoc="0" locked="0" layoutInCell="1" allowOverlap="1" wp14:anchorId="1438D6CD" wp14:editId="33569CE7">
                <wp:simplePos x="0" y="0"/>
                <wp:positionH relativeFrom="column">
                  <wp:posOffset>-3810</wp:posOffset>
                </wp:positionH>
                <wp:positionV relativeFrom="paragraph">
                  <wp:posOffset>3275330</wp:posOffset>
                </wp:positionV>
                <wp:extent cx="6027420" cy="4373880"/>
                <wp:effectExtent l="0" t="0" r="11430" b="26670"/>
                <wp:wrapNone/>
                <wp:docPr id="2" name="Группа 2"/>
                <wp:cNvGraphicFramePr/>
                <a:graphic xmlns:a="http://schemas.openxmlformats.org/drawingml/2006/main">
                  <a:graphicData uri="http://schemas.microsoft.com/office/word/2010/wordprocessingGroup">
                    <wpg:wgp>
                      <wpg:cNvGrpSpPr/>
                      <wpg:grpSpPr>
                        <a:xfrm>
                          <a:off x="0" y="0"/>
                          <a:ext cx="6027420" cy="4373880"/>
                          <a:chOff x="0" y="0"/>
                          <a:chExt cx="5877560" cy="3620605"/>
                        </a:xfrm>
                      </wpg:grpSpPr>
                      <wps:wsp>
                        <wps:cNvPr id="4" name="Прямоугольник 4"/>
                        <wps:cNvSpPr/>
                        <wps:spPr>
                          <a:xfrm>
                            <a:off x="0" y="0"/>
                            <a:ext cx="4714875" cy="5524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0" y="655320"/>
                            <a:ext cx="4714875" cy="619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6772B61" w14:textId="77777777" w:rsidR="00C9641F" w:rsidRDefault="00C9641F" w:rsidP="00C964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0" y="1371600"/>
                            <a:ext cx="4714875" cy="224900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4861560" y="297180"/>
                            <a:ext cx="1016000" cy="314706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Надпись 2"/>
                        <wps:cNvSpPr txBox="1">
                          <a:spLocks noChangeArrowheads="1"/>
                        </wps:cNvSpPr>
                        <wps:spPr bwMode="auto">
                          <a:xfrm>
                            <a:off x="1455420" y="106664"/>
                            <a:ext cx="3057525" cy="405781"/>
                          </a:xfrm>
                          <a:prstGeom prst="rect">
                            <a:avLst/>
                          </a:prstGeom>
                          <a:solidFill>
                            <a:srgbClr val="FFFFFF"/>
                          </a:solidFill>
                          <a:ln w="9525">
                            <a:solidFill>
                              <a:srgbClr val="000000"/>
                            </a:solidFill>
                            <a:miter lim="800000"/>
                            <a:headEnd/>
                            <a:tailEnd/>
                          </a:ln>
                        </wps:spPr>
                        <wps:txbx>
                          <w:txbxContent>
                            <w:p w14:paraId="6677DCC8" w14:textId="6F3465D1" w:rsidR="00C9641F" w:rsidRDefault="00C9641F" w:rsidP="00B83AA2">
                              <w:pPr>
                                <w:spacing w:after="0" w:line="240" w:lineRule="auto"/>
                                <w:jc w:val="center"/>
                                <w:rPr>
                                  <w:rFonts w:ascii="Times New Roman" w:hAnsi="Times New Roman" w:cs="Times New Roman"/>
                                  <w:sz w:val="24"/>
                                  <w:szCs w:val="28"/>
                                </w:rPr>
                              </w:pPr>
                              <w:r w:rsidRPr="001B12C6">
                                <w:rPr>
                                  <w:rFonts w:ascii="Times New Roman" w:hAnsi="Times New Roman" w:cs="Times New Roman"/>
                                  <w:sz w:val="24"/>
                                  <w:szCs w:val="28"/>
                                </w:rPr>
                                <w:t>Наблюдательный совет Фонда МСФО</w:t>
                              </w:r>
                            </w:p>
                            <w:p w14:paraId="65B315D6" w14:textId="14F10511" w:rsidR="00B83AA2" w:rsidRPr="00B633B8" w:rsidRDefault="00B83AA2" w:rsidP="00B83AA2">
                              <w:pPr>
                                <w:spacing w:after="0" w:line="240" w:lineRule="auto"/>
                                <w:jc w:val="center"/>
                                <w:rPr>
                                  <w:rFonts w:ascii="Times New Roman" w:hAnsi="Times New Roman" w:cs="Times New Roman"/>
                                  <w:sz w:val="28"/>
                                  <w:szCs w:val="28"/>
                                  <w:lang w:val="en-US"/>
                                </w:rPr>
                              </w:pPr>
                              <w:r>
                                <w:rPr>
                                  <w:rFonts w:ascii="Times New Roman" w:hAnsi="Times New Roman" w:cs="Times New Roman"/>
                                  <w:sz w:val="24"/>
                                  <w:szCs w:val="28"/>
                                </w:rPr>
                                <w:t>(</w:t>
                              </w:r>
                              <w:r>
                                <w:rPr>
                                  <w:rFonts w:ascii="Times New Roman" w:hAnsi="Times New Roman" w:cs="Times New Roman"/>
                                  <w:sz w:val="24"/>
                                  <w:szCs w:val="28"/>
                                  <w:lang w:val="en-US"/>
                                </w:rPr>
                                <w:t>IFRS Foundation Monitoring Board</w:t>
                              </w:r>
                              <w:r>
                                <w:rPr>
                                  <w:rFonts w:ascii="Times New Roman" w:hAnsi="Times New Roman" w:cs="Times New Roman"/>
                                  <w:sz w:val="24"/>
                                  <w:szCs w:val="28"/>
                                </w:rPr>
                                <w:t>)</w:t>
                              </w:r>
                              <w:r>
                                <w:rPr>
                                  <w:rFonts w:ascii="Times New Roman" w:hAnsi="Times New Roman" w:cs="Times New Roman"/>
                                  <w:sz w:val="24"/>
                                  <w:szCs w:val="28"/>
                                  <w:lang w:val="en-US"/>
                                </w:rPr>
                                <w:t xml:space="preserve"> </w:t>
                              </w:r>
                            </w:p>
                            <w:p w14:paraId="4832F378" w14:textId="77777777" w:rsidR="00B83AA2" w:rsidRDefault="00B83AA2" w:rsidP="00B83AA2">
                              <w:pPr>
                                <w:rPr>
                                  <w:rFonts w:ascii="Times New Roman" w:hAnsi="Times New Roman" w:cs="Times New Roman"/>
                                  <w:sz w:val="24"/>
                                  <w:szCs w:val="28"/>
                                </w:rPr>
                              </w:pPr>
                            </w:p>
                            <w:p w14:paraId="63C3920C" w14:textId="77777777" w:rsidR="00B83AA2" w:rsidRDefault="00B83AA2" w:rsidP="00B83AA2">
                              <w:pPr>
                                <w:rPr>
                                  <w:rFonts w:ascii="Times New Roman" w:hAnsi="Times New Roman" w:cs="Times New Roman"/>
                                  <w:sz w:val="24"/>
                                  <w:szCs w:val="28"/>
                                </w:rPr>
                              </w:pPr>
                            </w:p>
                            <w:p w14:paraId="758E9BFA" w14:textId="77777777" w:rsidR="00B83AA2" w:rsidRPr="00827A90" w:rsidRDefault="00B83AA2" w:rsidP="00C9641F">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14" name="Надпись 2"/>
                        <wps:cNvSpPr txBox="1">
                          <a:spLocks noChangeArrowheads="1"/>
                        </wps:cNvSpPr>
                        <wps:spPr bwMode="auto">
                          <a:xfrm>
                            <a:off x="1455420" y="777240"/>
                            <a:ext cx="3057525" cy="439932"/>
                          </a:xfrm>
                          <a:prstGeom prst="rect">
                            <a:avLst/>
                          </a:prstGeom>
                          <a:solidFill>
                            <a:srgbClr val="FFFFFF"/>
                          </a:solidFill>
                          <a:ln w="9525">
                            <a:solidFill>
                              <a:srgbClr val="000000"/>
                            </a:solidFill>
                            <a:miter lim="800000"/>
                            <a:headEnd/>
                            <a:tailEnd/>
                          </a:ln>
                        </wps:spPr>
                        <wps:txbx>
                          <w:txbxContent>
                            <w:p w14:paraId="6F0DAA02" w14:textId="72497EC4" w:rsidR="00C9641F" w:rsidRDefault="00C9641F" w:rsidP="00B83AA2">
                              <w:pPr>
                                <w:spacing w:after="0" w:line="240" w:lineRule="auto"/>
                                <w:jc w:val="center"/>
                                <w:rPr>
                                  <w:rFonts w:ascii="Times New Roman" w:hAnsi="Times New Roman" w:cs="Times New Roman"/>
                                  <w:sz w:val="24"/>
                                  <w:szCs w:val="28"/>
                                </w:rPr>
                              </w:pPr>
                              <w:r w:rsidRPr="001B12C6">
                                <w:rPr>
                                  <w:rFonts w:ascii="Times New Roman" w:hAnsi="Times New Roman" w:cs="Times New Roman"/>
                                  <w:sz w:val="24"/>
                                  <w:szCs w:val="28"/>
                                </w:rPr>
                                <w:t>Попечители Фонда МСФО</w:t>
                              </w:r>
                            </w:p>
                            <w:p w14:paraId="0891179F" w14:textId="2B612DD7" w:rsidR="00B83AA2" w:rsidRPr="001B12C6" w:rsidRDefault="00B83AA2" w:rsidP="00B83AA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r w:rsidRPr="00B83AA2">
                                <w:rPr>
                                  <w:rFonts w:ascii="Times New Roman" w:hAnsi="Times New Roman" w:cs="Times New Roman"/>
                                  <w:sz w:val="24"/>
                                  <w:szCs w:val="28"/>
                                </w:rPr>
                                <w:t xml:space="preserve">IFRS </w:t>
                              </w:r>
                              <w:proofErr w:type="spellStart"/>
                              <w:r w:rsidRPr="00B83AA2">
                                <w:rPr>
                                  <w:rFonts w:ascii="Times New Roman" w:hAnsi="Times New Roman" w:cs="Times New Roman"/>
                                  <w:sz w:val="24"/>
                                  <w:szCs w:val="28"/>
                                </w:rPr>
                                <w:t>Foundation</w:t>
                              </w:r>
                              <w:proofErr w:type="spellEnd"/>
                              <w:r w:rsidRPr="00B83AA2">
                                <w:rPr>
                                  <w:rFonts w:ascii="Times New Roman" w:hAnsi="Times New Roman" w:cs="Times New Roman"/>
                                  <w:sz w:val="24"/>
                                  <w:szCs w:val="28"/>
                                </w:rPr>
                                <w:t xml:space="preserve"> </w:t>
                              </w:r>
                              <w:proofErr w:type="spellStart"/>
                              <w:r w:rsidRPr="00B83AA2">
                                <w:rPr>
                                  <w:rFonts w:ascii="Times New Roman" w:hAnsi="Times New Roman" w:cs="Times New Roman"/>
                                  <w:sz w:val="24"/>
                                  <w:szCs w:val="28"/>
                                </w:rPr>
                                <w:t>Trustees</w:t>
                              </w:r>
                              <w:proofErr w:type="spellEnd"/>
                              <w:r>
                                <w:rPr>
                                  <w:rFonts w:ascii="Times New Roman" w:hAnsi="Times New Roman" w:cs="Times New Roman"/>
                                  <w:sz w:val="24"/>
                                  <w:szCs w:val="28"/>
                                </w:rPr>
                                <w:t>)</w:t>
                              </w:r>
                            </w:p>
                          </w:txbxContent>
                        </wps:txbx>
                        <wps:bodyPr rot="0" vert="horz" wrap="square" lIns="91440" tIns="45720" rIns="91440" bIns="45720" anchor="t" anchorCtr="0">
                          <a:noAutofit/>
                        </wps:bodyPr>
                      </wps:wsp>
                      <wps:wsp>
                        <wps:cNvPr id="15" name="Надпись 2"/>
                        <wps:cNvSpPr txBox="1">
                          <a:spLocks noChangeArrowheads="1"/>
                        </wps:cNvSpPr>
                        <wps:spPr bwMode="auto">
                          <a:xfrm>
                            <a:off x="121920" y="45720"/>
                            <a:ext cx="1264920" cy="466725"/>
                          </a:xfrm>
                          <a:prstGeom prst="rect">
                            <a:avLst/>
                          </a:prstGeom>
                          <a:ln>
                            <a:solidFill>
                              <a:schemeClr val="accent3">
                                <a:lumMod val="60000"/>
                                <a:lumOff val="4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14:paraId="02848083" w14:textId="77777777" w:rsidR="00C9641F" w:rsidRPr="00504685" w:rsidRDefault="00C9641F" w:rsidP="00C9641F">
                              <w:pPr>
                                <w:jc w:val="center"/>
                                <w:rPr>
                                  <w:rFonts w:ascii="Times New Roman" w:hAnsi="Times New Roman" w:cs="Times New Roman"/>
                                  <w:b/>
                                  <w:sz w:val="24"/>
                                  <w:szCs w:val="24"/>
                                  <w:lang w:val="en-US"/>
                                </w:rPr>
                              </w:pPr>
                              <w:r>
                                <w:rPr>
                                  <w:rFonts w:ascii="Times New Roman" w:hAnsi="Times New Roman" w:cs="Times New Roman"/>
                                  <w:b/>
                                  <w:sz w:val="24"/>
                                  <w:szCs w:val="24"/>
                                </w:rPr>
                                <w:t>Общественная подотчетность</w:t>
                              </w:r>
                            </w:p>
                          </w:txbxContent>
                        </wps:txbx>
                        <wps:bodyPr rot="0" vert="horz" wrap="square" lIns="91440" tIns="45720" rIns="91440" bIns="45720" anchor="t" anchorCtr="0">
                          <a:noAutofit/>
                        </wps:bodyPr>
                      </wps:wsp>
                      <wps:wsp>
                        <wps:cNvPr id="24" name="Надпись 24"/>
                        <wps:cNvSpPr txBox="1"/>
                        <wps:spPr>
                          <a:xfrm>
                            <a:off x="121920" y="647700"/>
                            <a:ext cx="1143000" cy="619125"/>
                          </a:xfrm>
                          <a:prstGeom prst="rect">
                            <a:avLst/>
                          </a:prstGeom>
                          <a:ln>
                            <a:solidFill>
                              <a:schemeClr val="accent3">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14:paraId="0CD2976D" w14:textId="77777777" w:rsidR="00C9641F" w:rsidRPr="00504685" w:rsidRDefault="00C9641F" w:rsidP="00C9641F">
                              <w:pPr>
                                <w:jc w:val="center"/>
                                <w:rPr>
                                  <w:rFonts w:ascii="Times New Roman" w:hAnsi="Times New Roman" w:cs="Times New Roman"/>
                                  <w:b/>
                                </w:rPr>
                              </w:pPr>
                              <w:r>
                                <w:rPr>
                                  <w:rFonts w:ascii="Times New Roman" w:hAnsi="Times New Roman" w:cs="Times New Roman"/>
                                  <w:b/>
                                  <w:lang w:val="en-US"/>
                                </w:rPr>
                                <w:t xml:space="preserve">Управление, стратегия и </w:t>
                              </w:r>
                              <w:r>
                                <w:rPr>
                                  <w:rFonts w:ascii="Times New Roman" w:hAnsi="Times New Roman" w:cs="Times New Roman"/>
                                  <w:b/>
                                </w:rPr>
                                <w:t>надзор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Надпись 25"/>
                        <wps:cNvSpPr txBox="1"/>
                        <wps:spPr>
                          <a:xfrm>
                            <a:off x="1264920" y="1447800"/>
                            <a:ext cx="1552575" cy="1272540"/>
                          </a:xfrm>
                          <a:prstGeom prst="rect">
                            <a:avLst/>
                          </a:prstGeom>
                          <a:solidFill>
                            <a:srgbClr val="A50021"/>
                          </a:solidFill>
                          <a:ln w="6350">
                            <a:solidFill>
                              <a:srgbClr val="A50021"/>
                            </a:solidFill>
                          </a:ln>
                        </wps:spPr>
                        <wps:txbx>
                          <w:txbxContent>
                            <w:p w14:paraId="77C29EB3" w14:textId="77777777" w:rsidR="00C9641F" w:rsidRPr="001B12C6" w:rsidRDefault="00C9641F" w:rsidP="00C9641F">
                              <w:pPr>
                                <w:jc w:val="center"/>
                                <w:rPr>
                                  <w:rFonts w:ascii="Times New Roman" w:hAnsi="Times New Roman" w:cs="Times New Roman"/>
                                  <w:bCs/>
                                  <w:sz w:val="24"/>
                                  <w:szCs w:val="24"/>
                                </w:rPr>
                              </w:pPr>
                              <w:r w:rsidRPr="001B12C6">
                                <w:rPr>
                                  <w:rFonts w:ascii="Times New Roman" w:hAnsi="Times New Roman" w:cs="Times New Roman"/>
                                  <w:bCs/>
                                  <w:sz w:val="24"/>
                                  <w:szCs w:val="24"/>
                                </w:rPr>
                                <w:t>Совет по Международным стандартам финансовой отчётности</w:t>
                              </w:r>
                              <w:r>
                                <w:rPr>
                                  <w:rFonts w:ascii="Times New Roman" w:hAnsi="Times New Roman" w:cs="Times New Roman"/>
                                  <w:bCs/>
                                  <w:sz w:val="24"/>
                                  <w:szCs w:val="24"/>
                                </w:rPr>
                                <w:t xml:space="preserve">      </w:t>
                              </w:r>
                              <w:r w:rsidRPr="001B12C6">
                                <w:rPr>
                                  <w:rFonts w:ascii="Times New Roman" w:hAnsi="Times New Roman" w:cs="Times New Roman"/>
                                  <w:bCs/>
                                  <w:sz w:val="24"/>
                                  <w:szCs w:val="24"/>
                                </w:rPr>
                                <w:t>(IASB)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Надпись 26"/>
                        <wps:cNvSpPr txBox="1"/>
                        <wps:spPr>
                          <a:xfrm>
                            <a:off x="2979420" y="1447800"/>
                            <a:ext cx="1638300" cy="1264920"/>
                          </a:xfrm>
                          <a:prstGeom prst="rect">
                            <a:avLst/>
                          </a:prstGeom>
                          <a:solidFill>
                            <a:srgbClr val="A50021"/>
                          </a:solidFill>
                          <a:ln w="6350">
                            <a:solidFill>
                              <a:srgbClr val="C00000"/>
                            </a:solidFill>
                          </a:ln>
                        </wps:spPr>
                        <wps:txbx>
                          <w:txbxContent>
                            <w:p w14:paraId="7AE037C4" w14:textId="77777777" w:rsidR="00C9641F" w:rsidRPr="001B12C6" w:rsidRDefault="00C9641F" w:rsidP="00C9641F">
                              <w:pPr>
                                <w:jc w:val="center"/>
                                <w:rPr>
                                  <w:rFonts w:ascii="Times New Roman" w:hAnsi="Times New Roman" w:cs="Times New Roman"/>
                                  <w:sz w:val="28"/>
                                  <w:szCs w:val="28"/>
                                </w:rPr>
                              </w:pPr>
                              <w:r>
                                <w:rPr>
                                  <w:rFonts w:ascii="Times New Roman" w:hAnsi="Times New Roman" w:cs="Times New Roman"/>
                                  <w:bCs/>
                                  <w:sz w:val="24"/>
                                  <w:szCs w:val="24"/>
                                </w:rPr>
                                <w:t>Совет по М</w:t>
                              </w:r>
                              <w:r w:rsidRPr="00335EE2">
                                <w:rPr>
                                  <w:rFonts w:ascii="Times New Roman" w:hAnsi="Times New Roman" w:cs="Times New Roman"/>
                                  <w:bCs/>
                                  <w:sz w:val="24"/>
                                  <w:szCs w:val="24"/>
                                </w:rPr>
                                <w:t xml:space="preserve">еждународным стандартам отчетности </w:t>
                              </w:r>
                              <w:r>
                                <w:rPr>
                                  <w:rFonts w:ascii="Times New Roman" w:hAnsi="Times New Roman" w:cs="Times New Roman"/>
                                  <w:bCs/>
                                  <w:sz w:val="24"/>
                                  <w:szCs w:val="24"/>
                                </w:rPr>
                                <w:t xml:space="preserve">в области </w:t>
                              </w:r>
                              <w:r w:rsidRPr="00335EE2">
                                <w:rPr>
                                  <w:rFonts w:ascii="Times New Roman" w:hAnsi="Times New Roman" w:cs="Times New Roman"/>
                                  <w:bCs/>
                                  <w:sz w:val="24"/>
                                  <w:szCs w:val="24"/>
                                </w:rPr>
                                <w:t xml:space="preserve">устойчивого развития </w:t>
                              </w:r>
                              <w:r w:rsidRPr="001B12C6">
                                <w:rPr>
                                  <w:rFonts w:ascii="Times New Roman" w:hAnsi="Times New Roman" w:cs="Times New Roman"/>
                                  <w:sz w:val="28"/>
                                  <w:szCs w:val="28"/>
                                </w:rPr>
                                <w:t>(</w:t>
                              </w:r>
                              <w:r w:rsidRPr="00A653B4">
                                <w:rPr>
                                  <w:rFonts w:ascii="Times New Roman" w:hAnsi="Times New Roman" w:cs="Times New Roman"/>
                                  <w:sz w:val="28"/>
                                  <w:szCs w:val="28"/>
                                  <w:lang w:val="en-US"/>
                                </w:rPr>
                                <w:t>ISSB</w:t>
                              </w:r>
                              <w:r w:rsidRPr="001B12C6">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Надпись 27"/>
                        <wps:cNvSpPr txBox="1"/>
                        <wps:spPr>
                          <a:xfrm>
                            <a:off x="60960" y="2004060"/>
                            <a:ext cx="1135380" cy="708660"/>
                          </a:xfrm>
                          <a:prstGeom prst="rect">
                            <a:avLst/>
                          </a:prstGeom>
                          <a:ln>
                            <a:solidFill>
                              <a:schemeClr val="accent3">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14:paraId="4DABDA13" w14:textId="77777777" w:rsidR="00C9641F" w:rsidRPr="001B12C6" w:rsidRDefault="00C9641F" w:rsidP="00C9641F">
                              <w:pPr>
                                <w:jc w:val="center"/>
                                <w:rPr>
                                  <w:rFonts w:ascii="Times New Roman" w:hAnsi="Times New Roman" w:cs="Times New Roman"/>
                                  <w:b/>
                                  <w:sz w:val="28"/>
                                  <w:szCs w:val="24"/>
                                </w:rPr>
                              </w:pPr>
                              <w:r>
                                <w:rPr>
                                  <w:rFonts w:ascii="Times New Roman" w:hAnsi="Times New Roman" w:cs="Times New Roman"/>
                                  <w:b/>
                                  <w:sz w:val="24"/>
                                </w:rPr>
                                <w:t>Независимая разработка стандартов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Надпись 28"/>
                        <wps:cNvSpPr txBox="1"/>
                        <wps:spPr>
                          <a:xfrm>
                            <a:off x="1303020" y="2636520"/>
                            <a:ext cx="1440180" cy="807721"/>
                          </a:xfrm>
                          <a:prstGeom prst="rect">
                            <a:avLst/>
                          </a:prstGeom>
                          <a:solidFill>
                            <a:schemeClr val="lt1"/>
                          </a:solidFill>
                          <a:ln w="6350">
                            <a:solidFill>
                              <a:prstClr val="black"/>
                            </a:solidFill>
                          </a:ln>
                        </wps:spPr>
                        <wps:txbx>
                          <w:txbxContent>
                            <w:p w14:paraId="46377E0C" w14:textId="40DA71BF" w:rsidR="00C9641F" w:rsidRDefault="00B83AA2" w:rsidP="00C71D23">
                              <w:pPr>
                                <w:spacing w:after="0"/>
                                <w:jc w:val="center"/>
                                <w:rPr>
                                  <w:rFonts w:ascii="Times New Roman" w:hAnsi="Times New Roman" w:cs="Times New Roman"/>
                                  <w:lang w:val="en-US"/>
                                </w:rPr>
                              </w:pPr>
                              <w:r>
                                <w:rPr>
                                  <w:rFonts w:ascii="Times New Roman" w:hAnsi="Times New Roman" w:cs="Times New Roman"/>
                                  <w:lang w:val="en-US"/>
                                </w:rPr>
                                <w:t>Стандарты бухгалтерского</w:t>
                              </w:r>
                              <w:r w:rsidR="00C9641F">
                                <w:rPr>
                                  <w:rFonts w:ascii="Times New Roman" w:hAnsi="Times New Roman" w:cs="Times New Roman"/>
                                  <w:lang w:val="en-US"/>
                                </w:rPr>
                                <w:t xml:space="preserve"> учета </w:t>
                              </w:r>
                              <w:proofErr w:type="spellStart"/>
                              <w:r w:rsidR="00C9641F">
                                <w:rPr>
                                  <w:rFonts w:ascii="Times New Roman" w:hAnsi="Times New Roman" w:cs="Times New Roman"/>
                                  <w:lang w:val="en-US"/>
                                </w:rPr>
                                <w:t>по</w:t>
                              </w:r>
                              <w:proofErr w:type="spellEnd"/>
                              <w:r w:rsidR="00C9641F" w:rsidRPr="00BC228E">
                                <w:rPr>
                                  <w:rFonts w:ascii="Times New Roman" w:hAnsi="Times New Roman" w:cs="Times New Roman"/>
                                  <w:lang w:val="en-US"/>
                                </w:rPr>
                                <w:t xml:space="preserve"> МСФО</w:t>
                              </w:r>
                            </w:p>
                            <w:p w14:paraId="250EA431" w14:textId="25024BF8" w:rsidR="00C71D23" w:rsidRPr="00C71D23" w:rsidRDefault="00C71D23" w:rsidP="00C71D23">
                              <w:pPr>
                                <w:spacing w:after="0"/>
                                <w:jc w:val="center"/>
                                <w:rPr>
                                  <w:rFonts w:ascii="Times New Roman" w:hAnsi="Times New Roman" w:cs="Times New Roman"/>
                                  <w:sz w:val="24"/>
                                </w:rPr>
                              </w:pPr>
                              <w:r>
                                <w:rPr>
                                  <w:rFonts w:ascii="Times New Roman" w:hAnsi="Times New Roman" w:cs="Times New Roman"/>
                                </w:rPr>
                                <w:t>(</w:t>
                              </w:r>
                              <w:r>
                                <w:rPr>
                                  <w:rFonts w:ascii="Times New Roman" w:hAnsi="Times New Roman" w:cs="Times New Roman"/>
                                  <w:lang w:val="en-US"/>
                                </w:rPr>
                                <w:t>IFRS Accounting Standards</w:t>
                              </w:r>
                              <w:r>
                                <w:rPr>
                                  <w:rFonts w:ascii="Times New Roman" w:hAnsi="Times New Roman" w:cs="Times New Roman"/>
                                </w:rPr>
                                <w:t>)</w:t>
                              </w:r>
                            </w:p>
                            <w:p w14:paraId="174A7CCA" w14:textId="3DBDB12F" w:rsidR="00C71D23" w:rsidRPr="00C71D23" w:rsidRDefault="00C71D23" w:rsidP="00C9641F">
                              <w:pPr>
                                <w:jc w:val="center"/>
                                <w:rPr>
                                  <w:rFonts w:ascii="Times New Roman" w:hAnsi="Times New Roman" w:cs="Times New Roman"/>
                                  <w:sz w:val="24"/>
                                </w:rPr>
                              </w:pP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9"/>
                        <wps:cNvSpPr txBox="1"/>
                        <wps:spPr>
                          <a:xfrm>
                            <a:off x="3048000" y="2636156"/>
                            <a:ext cx="1531620" cy="946603"/>
                          </a:xfrm>
                          <a:prstGeom prst="rect">
                            <a:avLst/>
                          </a:prstGeom>
                          <a:solidFill>
                            <a:schemeClr val="lt1"/>
                          </a:solidFill>
                          <a:ln w="6350">
                            <a:solidFill>
                              <a:prstClr val="black"/>
                            </a:solidFill>
                          </a:ln>
                        </wps:spPr>
                        <wps:txbx>
                          <w:txbxContent>
                            <w:p w14:paraId="42CFE76D" w14:textId="77777777" w:rsidR="00C71D23" w:rsidRDefault="00C9641F" w:rsidP="00C71D23">
                              <w:pPr>
                                <w:spacing w:after="0"/>
                                <w:jc w:val="center"/>
                                <w:rPr>
                                  <w:rFonts w:ascii="Times New Roman" w:hAnsi="Times New Roman" w:cs="Times New Roman"/>
                                </w:rPr>
                              </w:pPr>
                              <w:r w:rsidRPr="00BC228E">
                                <w:rPr>
                                  <w:rFonts w:ascii="Times New Roman" w:hAnsi="Times New Roman" w:cs="Times New Roman"/>
                                </w:rPr>
                                <w:t>Стандарты раскрытия информации в области устойчивого развития по МСФО</w:t>
                              </w:r>
                              <w:r w:rsidR="00C71D23">
                                <w:rPr>
                                  <w:rFonts w:ascii="Times New Roman" w:hAnsi="Times New Roman" w:cs="Times New Roman"/>
                                </w:rPr>
                                <w:t xml:space="preserve"> </w:t>
                              </w:r>
                            </w:p>
                            <w:p w14:paraId="634A298B" w14:textId="38D79DDD" w:rsidR="00C71D23" w:rsidRPr="00C71D23" w:rsidRDefault="00C71D23" w:rsidP="00C71D23">
                              <w:pPr>
                                <w:spacing w:after="0"/>
                                <w:jc w:val="center"/>
                                <w:rPr>
                                  <w:rFonts w:ascii="Times New Roman" w:hAnsi="Times New Roman" w:cs="Times New Roman"/>
                                  <w:sz w:val="24"/>
                                </w:rPr>
                              </w:pPr>
                              <w:r>
                                <w:rPr>
                                  <w:rFonts w:ascii="Times New Roman" w:hAnsi="Times New Roman" w:cs="Times New Roman"/>
                                </w:rPr>
                                <w:t>(</w:t>
                              </w:r>
                              <w:r>
                                <w:rPr>
                                  <w:rFonts w:ascii="Times New Roman" w:hAnsi="Times New Roman" w:cs="Times New Roman"/>
                                  <w:lang w:val="en-US"/>
                                </w:rPr>
                                <w:t>IFRS</w:t>
                              </w:r>
                              <w:r w:rsidRPr="00C71D23">
                                <w:rPr>
                                  <w:rFonts w:ascii="Times New Roman" w:hAnsi="Times New Roman" w:cs="Times New Roman"/>
                                </w:rPr>
                                <w:t xml:space="preserve"> </w:t>
                              </w:r>
                              <w:r>
                                <w:rPr>
                                  <w:rFonts w:ascii="Times New Roman" w:hAnsi="Times New Roman" w:cs="Times New Roman"/>
                                  <w:lang w:val="en-US"/>
                                </w:rPr>
                                <w:t>Sustainability</w:t>
                              </w:r>
                              <w:r w:rsidRPr="00C71D23">
                                <w:rPr>
                                  <w:rFonts w:ascii="Times New Roman" w:hAnsi="Times New Roman" w:cs="Times New Roman"/>
                                </w:rPr>
                                <w:t xml:space="preserve"> </w:t>
                              </w:r>
                              <w:r>
                                <w:rPr>
                                  <w:rFonts w:ascii="Times New Roman" w:hAnsi="Times New Roman" w:cs="Times New Roman"/>
                                  <w:lang w:val="en-US"/>
                                </w:rPr>
                                <w:t>Disclosure</w:t>
                              </w:r>
                              <w:r w:rsidRPr="00C71D23">
                                <w:rPr>
                                  <w:rFonts w:ascii="Times New Roman" w:hAnsi="Times New Roman" w:cs="Times New Roman"/>
                                </w:rPr>
                                <w:t xml:space="preserve"> </w:t>
                              </w:r>
                              <w:r>
                                <w:rPr>
                                  <w:rFonts w:ascii="Times New Roman" w:hAnsi="Times New Roman" w:cs="Times New Roman"/>
                                  <w:lang w:val="en-US"/>
                                </w:rPr>
                                <w:t>Standards</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Надпись 30"/>
                        <wps:cNvSpPr txBox="1"/>
                        <wps:spPr>
                          <a:xfrm>
                            <a:off x="4861560" y="1150143"/>
                            <a:ext cx="1016000" cy="1705792"/>
                          </a:xfrm>
                          <a:prstGeom prst="rect">
                            <a:avLst/>
                          </a:prstGeom>
                          <a:solidFill>
                            <a:schemeClr val="accent2">
                              <a:lumMod val="75000"/>
                            </a:schemeClr>
                          </a:solidFill>
                          <a:ln w="6350">
                            <a:solidFill>
                              <a:schemeClr val="accent2">
                                <a:lumMod val="75000"/>
                              </a:schemeClr>
                            </a:solidFill>
                          </a:ln>
                        </wps:spPr>
                        <wps:txbx>
                          <w:txbxContent>
                            <w:p w14:paraId="10338F70" w14:textId="2AD4840D" w:rsidR="00C9641F" w:rsidRDefault="00C9641F" w:rsidP="00C9641F">
                              <w:pPr>
                                <w:jc w:val="center"/>
                                <w:rPr>
                                  <w:rFonts w:ascii="Times New Roman" w:hAnsi="Times New Roman" w:cs="Times New Roman"/>
                                  <w:color w:val="FFFFFF" w:themeColor="background1"/>
                                  <w:sz w:val="28"/>
                                  <w:lang w:val="en-US"/>
                                </w:rPr>
                              </w:pPr>
                              <w:r>
                                <w:rPr>
                                  <w:rFonts w:ascii="Times New Roman" w:hAnsi="Times New Roman" w:cs="Times New Roman"/>
                                  <w:color w:val="FFFFFF" w:themeColor="background1"/>
                                  <w:sz w:val="28"/>
                                  <w:lang w:val="en-US"/>
                                </w:rPr>
                                <w:t xml:space="preserve">Консультативный </w:t>
                              </w:r>
                              <w:r>
                                <w:rPr>
                                  <w:rFonts w:ascii="Times New Roman" w:hAnsi="Times New Roman" w:cs="Times New Roman"/>
                                  <w:color w:val="FFFFFF" w:themeColor="background1"/>
                                  <w:sz w:val="28"/>
                                </w:rPr>
                                <w:t>С</w:t>
                              </w:r>
                              <w:proofErr w:type="spellStart"/>
                              <w:r w:rsidRPr="00BC228E">
                                <w:rPr>
                                  <w:rFonts w:ascii="Times New Roman" w:hAnsi="Times New Roman" w:cs="Times New Roman"/>
                                  <w:color w:val="FFFFFF" w:themeColor="background1"/>
                                  <w:sz w:val="28"/>
                                  <w:lang w:val="en-US"/>
                                </w:rPr>
                                <w:t>овет</w:t>
                              </w:r>
                              <w:proofErr w:type="spellEnd"/>
                              <w:r w:rsidRPr="00BC228E">
                                <w:rPr>
                                  <w:rFonts w:ascii="Times New Roman" w:hAnsi="Times New Roman" w:cs="Times New Roman"/>
                                  <w:color w:val="FFFFFF" w:themeColor="background1"/>
                                  <w:sz w:val="28"/>
                                  <w:lang w:val="en-US"/>
                                </w:rPr>
                                <w:t xml:space="preserve"> </w:t>
                              </w:r>
                              <w:proofErr w:type="spellStart"/>
                              <w:r w:rsidRPr="00BC228E">
                                <w:rPr>
                                  <w:rFonts w:ascii="Times New Roman" w:hAnsi="Times New Roman" w:cs="Times New Roman"/>
                                  <w:color w:val="FFFFFF" w:themeColor="background1"/>
                                  <w:sz w:val="28"/>
                                  <w:lang w:val="en-US"/>
                                </w:rPr>
                                <w:t>по</w:t>
                              </w:r>
                              <w:proofErr w:type="spellEnd"/>
                              <w:r w:rsidRPr="00BC228E">
                                <w:rPr>
                                  <w:rFonts w:ascii="Times New Roman" w:hAnsi="Times New Roman" w:cs="Times New Roman"/>
                                  <w:color w:val="FFFFFF" w:themeColor="background1"/>
                                  <w:sz w:val="28"/>
                                  <w:lang w:val="en-US"/>
                                </w:rPr>
                                <w:t xml:space="preserve"> МСФО</w:t>
                              </w:r>
                            </w:p>
                            <w:p w14:paraId="6116665F" w14:textId="0921D5B2" w:rsidR="00C71D23" w:rsidRPr="00C71D23" w:rsidRDefault="00C71D23" w:rsidP="00C71D23">
                              <w:pPr>
                                <w:jc w:val="center"/>
                                <w:rPr>
                                  <w:rFonts w:ascii="Times New Roman" w:hAnsi="Times New Roman" w:cs="Times New Roman"/>
                                  <w:color w:val="FFFFFF" w:themeColor="background1"/>
                                  <w:sz w:val="28"/>
                                </w:rPr>
                              </w:pPr>
                              <w:r>
                                <w:rPr>
                                  <w:rFonts w:ascii="Times New Roman" w:hAnsi="Times New Roman" w:cs="Times New Roman"/>
                                  <w:color w:val="FFFFFF" w:themeColor="background1"/>
                                  <w:sz w:val="28"/>
                                </w:rPr>
                                <w:t>(</w:t>
                              </w:r>
                              <w:r>
                                <w:rPr>
                                  <w:rFonts w:ascii="Times New Roman" w:hAnsi="Times New Roman" w:cs="Times New Roman"/>
                                  <w:color w:val="FFFFFF" w:themeColor="background1"/>
                                  <w:sz w:val="28"/>
                                  <w:lang w:val="en-US"/>
                                </w:rPr>
                                <w:t>IFRS Advisory Council</w:t>
                              </w:r>
                              <w:r>
                                <w:rPr>
                                  <w:rFonts w:ascii="Times New Roman" w:hAnsi="Times New Roman" w:cs="Times New Roman"/>
                                  <w:color w:val="FFFFFF" w:themeColor="background1"/>
                                  <w:sz w:val="28"/>
                                </w:rPr>
                                <w:t>)</w:t>
                              </w:r>
                            </w:p>
                            <w:p w14:paraId="35DAC043" w14:textId="28F9F546" w:rsidR="00C71D23" w:rsidRPr="00C71D23" w:rsidRDefault="00C71D23" w:rsidP="00C9641F">
                              <w:pPr>
                                <w:jc w:val="center"/>
                                <w:rPr>
                                  <w:rFonts w:ascii="Times New Roman" w:hAnsi="Times New Roman" w:cs="Times New Roman"/>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8D6CD" id="Группа 2" o:spid="_x0000_s1026" style="position:absolute;left:0;text-align:left;margin-left:-.3pt;margin-top:257.9pt;width:474.6pt;height:344.4pt;z-index:251659264;mso-width-relative:margin;mso-height-relative:margin" coordsize="58775,3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">
                <v:rect id="Прямоугольник 4" o:spid="_x0000_s1027" style="position:absolute;width:4714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Прямоугольник 9" o:spid="_x0000_s1028" style="position:absolute;top:6553;width:4714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14:paraId="46772B61" w14:textId="77777777" w:rsidR="00C9641F" w:rsidRDefault="00C9641F" w:rsidP="00C9641F">
                        <w:pPr>
                          <w:jc w:val="center"/>
                        </w:pPr>
                      </w:p>
                    </w:txbxContent>
                  </v:textbox>
                </v:rect>
                <v:rect id="Прямоугольник 10" o:spid="_x0000_s1029" style="position:absolute;top:13716;width:47148;height:22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Прямоугольник 13" o:spid="_x0000_s1030" style="position:absolute;left:48615;top:2971;width:10160;height:3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" fillcolor="#c45911 [2405]" strokecolor="#1f4d78 [1604]" strokeweight="1pt"/>
                <v:shapetype id="_x0000_t202" coordsize="21600,21600" o:spt="202" path="m,l,21600r21600,l21600,xe">
                  <v:stroke joinstyle="miter"/>
                  <v:path gradientshapeok="t" o:connecttype="rect"/>
                </v:shapetype>
                <v:shape id="Надпись 2" o:spid="_x0000_s1031" type="#_x0000_t202" style="position:absolute;left:14554;top:1066;width:3057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677DCC8" w14:textId="6F3465D1" w:rsidR="00C9641F" w:rsidRDefault="00C9641F" w:rsidP="00B83AA2">
                        <w:pPr>
                          <w:spacing w:after="0" w:line="240" w:lineRule="auto"/>
                          <w:jc w:val="center"/>
                          <w:rPr>
                            <w:rFonts w:ascii="Times New Roman" w:hAnsi="Times New Roman" w:cs="Times New Roman"/>
                            <w:sz w:val="24"/>
                            <w:szCs w:val="28"/>
                          </w:rPr>
                        </w:pPr>
                        <w:r w:rsidRPr="001B12C6">
                          <w:rPr>
                            <w:rFonts w:ascii="Times New Roman" w:hAnsi="Times New Roman" w:cs="Times New Roman"/>
                            <w:sz w:val="24"/>
                            <w:szCs w:val="28"/>
                          </w:rPr>
                          <w:t>Наблюдательный совет Фонда МСФО</w:t>
                        </w:r>
                      </w:p>
                      <w:p w14:paraId="65B315D6" w14:textId="14F10511" w:rsidR="00B83AA2" w:rsidRPr="00B633B8" w:rsidRDefault="00B83AA2" w:rsidP="00B83AA2">
                        <w:pPr>
                          <w:spacing w:after="0" w:line="240" w:lineRule="auto"/>
                          <w:jc w:val="center"/>
                          <w:rPr>
                            <w:rFonts w:ascii="Times New Roman" w:hAnsi="Times New Roman" w:cs="Times New Roman"/>
                            <w:sz w:val="28"/>
                            <w:szCs w:val="28"/>
                            <w:lang w:val="en-US"/>
                          </w:rPr>
                        </w:pPr>
                        <w:r>
                          <w:rPr>
                            <w:rFonts w:ascii="Times New Roman" w:hAnsi="Times New Roman" w:cs="Times New Roman"/>
                            <w:sz w:val="24"/>
                            <w:szCs w:val="28"/>
                          </w:rPr>
                          <w:t>(</w:t>
                        </w:r>
                        <w:r>
                          <w:rPr>
                            <w:rFonts w:ascii="Times New Roman" w:hAnsi="Times New Roman" w:cs="Times New Roman"/>
                            <w:sz w:val="24"/>
                            <w:szCs w:val="28"/>
                            <w:lang w:val="en-US"/>
                          </w:rPr>
                          <w:t>IFRS Foundation Monitoring Board</w:t>
                        </w:r>
                        <w:r>
                          <w:rPr>
                            <w:rFonts w:ascii="Times New Roman" w:hAnsi="Times New Roman" w:cs="Times New Roman"/>
                            <w:sz w:val="24"/>
                            <w:szCs w:val="28"/>
                          </w:rPr>
                          <w:t>)</w:t>
                        </w:r>
                        <w:r>
                          <w:rPr>
                            <w:rFonts w:ascii="Times New Roman" w:hAnsi="Times New Roman" w:cs="Times New Roman"/>
                            <w:sz w:val="24"/>
                            <w:szCs w:val="28"/>
                            <w:lang w:val="en-US"/>
                          </w:rPr>
                          <w:t xml:space="preserve"> </w:t>
                        </w:r>
                      </w:p>
                      <w:p w14:paraId="4832F378" w14:textId="77777777" w:rsidR="00B83AA2" w:rsidRDefault="00B83AA2" w:rsidP="00B83AA2">
                        <w:pPr>
                          <w:rPr>
                            <w:rFonts w:ascii="Times New Roman" w:hAnsi="Times New Roman" w:cs="Times New Roman"/>
                            <w:sz w:val="24"/>
                            <w:szCs w:val="28"/>
                          </w:rPr>
                        </w:pPr>
                      </w:p>
                      <w:p w14:paraId="63C3920C" w14:textId="77777777" w:rsidR="00B83AA2" w:rsidRDefault="00B83AA2" w:rsidP="00B83AA2">
                        <w:pPr>
                          <w:rPr>
                            <w:rFonts w:ascii="Times New Roman" w:hAnsi="Times New Roman" w:cs="Times New Roman"/>
                            <w:sz w:val="24"/>
                            <w:szCs w:val="28"/>
                          </w:rPr>
                        </w:pPr>
                      </w:p>
                      <w:p w14:paraId="758E9BFA" w14:textId="77777777" w:rsidR="00B83AA2" w:rsidRPr="00827A90" w:rsidRDefault="00B83AA2" w:rsidP="00C9641F">
                        <w:pPr>
                          <w:jc w:val="center"/>
                          <w:rPr>
                            <w:rFonts w:ascii="Times New Roman" w:hAnsi="Times New Roman" w:cs="Times New Roman"/>
                            <w:sz w:val="28"/>
                            <w:szCs w:val="28"/>
                          </w:rPr>
                        </w:pPr>
                      </w:p>
                    </w:txbxContent>
                  </v:textbox>
                </v:shape>
                <v:shape id="Надпись 2" o:spid="_x0000_s1032" type="#_x0000_t202" style="position:absolute;left:14554;top:7772;width:3057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F0DAA02" w14:textId="72497EC4" w:rsidR="00C9641F" w:rsidRDefault="00C9641F" w:rsidP="00B83AA2">
                        <w:pPr>
                          <w:spacing w:after="0" w:line="240" w:lineRule="auto"/>
                          <w:jc w:val="center"/>
                          <w:rPr>
                            <w:rFonts w:ascii="Times New Roman" w:hAnsi="Times New Roman" w:cs="Times New Roman"/>
                            <w:sz w:val="24"/>
                            <w:szCs w:val="28"/>
                          </w:rPr>
                        </w:pPr>
                        <w:r w:rsidRPr="001B12C6">
                          <w:rPr>
                            <w:rFonts w:ascii="Times New Roman" w:hAnsi="Times New Roman" w:cs="Times New Roman"/>
                            <w:sz w:val="24"/>
                            <w:szCs w:val="28"/>
                          </w:rPr>
                          <w:t>Попечители Фонда МСФО</w:t>
                        </w:r>
                      </w:p>
                      <w:p w14:paraId="0891179F" w14:textId="2B612DD7" w:rsidR="00B83AA2" w:rsidRPr="001B12C6" w:rsidRDefault="00B83AA2" w:rsidP="00B83AA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r w:rsidRPr="00B83AA2">
                          <w:rPr>
                            <w:rFonts w:ascii="Times New Roman" w:hAnsi="Times New Roman" w:cs="Times New Roman"/>
                            <w:sz w:val="24"/>
                            <w:szCs w:val="28"/>
                          </w:rPr>
                          <w:t xml:space="preserve">IFRS </w:t>
                        </w:r>
                        <w:proofErr w:type="spellStart"/>
                        <w:r w:rsidRPr="00B83AA2">
                          <w:rPr>
                            <w:rFonts w:ascii="Times New Roman" w:hAnsi="Times New Roman" w:cs="Times New Roman"/>
                            <w:sz w:val="24"/>
                            <w:szCs w:val="28"/>
                          </w:rPr>
                          <w:t>Foundation</w:t>
                        </w:r>
                        <w:proofErr w:type="spellEnd"/>
                        <w:r w:rsidRPr="00B83AA2">
                          <w:rPr>
                            <w:rFonts w:ascii="Times New Roman" w:hAnsi="Times New Roman" w:cs="Times New Roman"/>
                            <w:sz w:val="24"/>
                            <w:szCs w:val="28"/>
                          </w:rPr>
                          <w:t xml:space="preserve"> </w:t>
                        </w:r>
                        <w:proofErr w:type="spellStart"/>
                        <w:r w:rsidRPr="00B83AA2">
                          <w:rPr>
                            <w:rFonts w:ascii="Times New Roman" w:hAnsi="Times New Roman" w:cs="Times New Roman"/>
                            <w:sz w:val="24"/>
                            <w:szCs w:val="28"/>
                          </w:rPr>
                          <w:t>Trustees</w:t>
                        </w:r>
                        <w:proofErr w:type="spellEnd"/>
                        <w:r>
                          <w:rPr>
                            <w:rFonts w:ascii="Times New Roman" w:hAnsi="Times New Roman" w:cs="Times New Roman"/>
                            <w:sz w:val="24"/>
                            <w:szCs w:val="28"/>
                          </w:rPr>
                          <w:t>)</w:t>
                        </w:r>
                      </w:p>
                    </w:txbxContent>
                  </v:textbox>
                </v:shape>
                <v:shape id="Надпись 2" o:spid="_x0000_s1033" type="#_x0000_t202" style="position:absolute;left:1219;top:457;width:1264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" fillcolor="#c3c3c3 [2166]" strokecolor="#c9c9c9 [1942]" strokeweight=".5pt">
                  <v:fill color2="#b6b6b6 [2614]" rotate="t" colors="0 #d2d2d2;.5 #c8c8c8;1 silver" focus="100%" type="gradient">
                    <o:fill v:ext="view" type="gradientUnscaled"/>
                  </v:fill>
                  <v:textbox>
                    <w:txbxContent>
                      <w:p w14:paraId="02848083" w14:textId="77777777" w:rsidR="00C9641F" w:rsidRPr="00504685" w:rsidRDefault="00C9641F" w:rsidP="00C9641F">
                        <w:pPr>
                          <w:jc w:val="center"/>
                          <w:rPr>
                            <w:rFonts w:ascii="Times New Roman" w:hAnsi="Times New Roman" w:cs="Times New Roman"/>
                            <w:b/>
                            <w:sz w:val="24"/>
                            <w:szCs w:val="24"/>
                            <w:lang w:val="en-US"/>
                          </w:rPr>
                        </w:pPr>
                        <w:r>
                          <w:rPr>
                            <w:rFonts w:ascii="Times New Roman" w:hAnsi="Times New Roman" w:cs="Times New Roman"/>
                            <w:b/>
                            <w:sz w:val="24"/>
                            <w:szCs w:val="24"/>
                          </w:rPr>
                          <w:t>Общественная подотчетность</w:t>
                        </w:r>
                      </w:p>
                    </w:txbxContent>
                  </v:textbox>
                </v:shape>
                <v:shape id="Надпись 24" o:spid="_x0000_s1034" type="#_x0000_t202" style="position:absolute;left:1219;top:6477;width:1143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" fillcolor="#c3c3c3 [2166]" strokecolor="#c9c9c9 [1942]" strokeweight=".5pt">
                  <v:fill color2="#b6b6b6 [2614]" rotate="t" colors="0 #d2d2d2;.5 #c8c8c8;1 silver" focus="100%" type="gradient">
                    <o:fill v:ext="view" type="gradientUnscaled"/>
                  </v:fill>
                  <v:textbox>
                    <w:txbxContent>
                      <w:p w14:paraId="0CD2976D" w14:textId="77777777" w:rsidR="00C9641F" w:rsidRPr="00504685" w:rsidRDefault="00C9641F" w:rsidP="00C9641F">
                        <w:pPr>
                          <w:jc w:val="center"/>
                          <w:rPr>
                            <w:rFonts w:ascii="Times New Roman" w:hAnsi="Times New Roman" w:cs="Times New Roman"/>
                            <w:b/>
                          </w:rPr>
                        </w:pPr>
                        <w:r>
                          <w:rPr>
                            <w:rFonts w:ascii="Times New Roman" w:hAnsi="Times New Roman" w:cs="Times New Roman"/>
                            <w:b/>
                            <w:lang w:val="en-US"/>
                          </w:rPr>
                          <w:t xml:space="preserve">Управление, стратегия и </w:t>
                        </w:r>
                        <w:r>
                          <w:rPr>
                            <w:rFonts w:ascii="Times New Roman" w:hAnsi="Times New Roman" w:cs="Times New Roman"/>
                            <w:b/>
                          </w:rPr>
                          <w:t>надзор</w:t>
                        </w:r>
                      </w:p>
                    </w:txbxContent>
                  </v:textbox>
                </v:shape>
                <v:shape id="Надпись 25" o:spid="_x0000_s1035" type="#_x0000_t202" style="position:absolute;left:12649;top:14478;width:15525;height:1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" fillcolor="#a50021" strokecolor="#a50021" strokeweight=".5pt">
                  <v:textbox>
                    <w:txbxContent>
                      <w:p w14:paraId="77C29EB3" w14:textId="77777777" w:rsidR="00C9641F" w:rsidRPr="001B12C6" w:rsidRDefault="00C9641F" w:rsidP="00C9641F">
                        <w:pPr>
                          <w:jc w:val="center"/>
                          <w:rPr>
                            <w:rFonts w:ascii="Times New Roman" w:hAnsi="Times New Roman" w:cs="Times New Roman"/>
                            <w:bCs/>
                            <w:sz w:val="24"/>
                            <w:szCs w:val="24"/>
                          </w:rPr>
                        </w:pPr>
                        <w:r w:rsidRPr="001B12C6">
                          <w:rPr>
                            <w:rFonts w:ascii="Times New Roman" w:hAnsi="Times New Roman" w:cs="Times New Roman"/>
                            <w:bCs/>
                            <w:sz w:val="24"/>
                            <w:szCs w:val="24"/>
                          </w:rPr>
                          <w:t>Совет по Международным стандартам финансовой отчётности</w:t>
                        </w:r>
                        <w:r>
                          <w:rPr>
                            <w:rFonts w:ascii="Times New Roman" w:hAnsi="Times New Roman" w:cs="Times New Roman"/>
                            <w:bCs/>
                            <w:sz w:val="24"/>
                            <w:szCs w:val="24"/>
                          </w:rPr>
                          <w:t xml:space="preserve">      </w:t>
                        </w:r>
                        <w:r w:rsidRPr="001B12C6">
                          <w:rPr>
                            <w:rFonts w:ascii="Times New Roman" w:hAnsi="Times New Roman" w:cs="Times New Roman"/>
                            <w:bCs/>
                            <w:sz w:val="24"/>
                            <w:szCs w:val="24"/>
                          </w:rPr>
                          <w:t>(IASB)</w:t>
                        </w:r>
                      </w:p>
                    </w:txbxContent>
                  </v:textbox>
                </v:shape>
                <v:shape id="Надпись 26" o:spid="_x0000_s1036" type="#_x0000_t202" style="position:absolute;left:29794;top:14478;width:16383;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" fillcolor="#a50021" strokecolor="#c00000" strokeweight=".5pt">
                  <v:textbox>
                    <w:txbxContent>
                      <w:p w14:paraId="7AE037C4" w14:textId="77777777" w:rsidR="00C9641F" w:rsidRPr="001B12C6" w:rsidRDefault="00C9641F" w:rsidP="00C9641F">
                        <w:pPr>
                          <w:jc w:val="center"/>
                          <w:rPr>
                            <w:rFonts w:ascii="Times New Roman" w:hAnsi="Times New Roman" w:cs="Times New Roman"/>
                            <w:sz w:val="28"/>
                            <w:szCs w:val="28"/>
                          </w:rPr>
                        </w:pPr>
                        <w:r>
                          <w:rPr>
                            <w:rFonts w:ascii="Times New Roman" w:hAnsi="Times New Roman" w:cs="Times New Roman"/>
                            <w:bCs/>
                            <w:sz w:val="24"/>
                            <w:szCs w:val="24"/>
                          </w:rPr>
                          <w:t>Совет по М</w:t>
                        </w:r>
                        <w:r w:rsidRPr="00335EE2">
                          <w:rPr>
                            <w:rFonts w:ascii="Times New Roman" w:hAnsi="Times New Roman" w:cs="Times New Roman"/>
                            <w:bCs/>
                            <w:sz w:val="24"/>
                            <w:szCs w:val="24"/>
                          </w:rPr>
                          <w:t xml:space="preserve">еждународным стандартам отчетности </w:t>
                        </w:r>
                        <w:r>
                          <w:rPr>
                            <w:rFonts w:ascii="Times New Roman" w:hAnsi="Times New Roman" w:cs="Times New Roman"/>
                            <w:bCs/>
                            <w:sz w:val="24"/>
                            <w:szCs w:val="24"/>
                          </w:rPr>
                          <w:t xml:space="preserve">в области </w:t>
                        </w:r>
                        <w:r w:rsidRPr="00335EE2">
                          <w:rPr>
                            <w:rFonts w:ascii="Times New Roman" w:hAnsi="Times New Roman" w:cs="Times New Roman"/>
                            <w:bCs/>
                            <w:sz w:val="24"/>
                            <w:szCs w:val="24"/>
                          </w:rPr>
                          <w:t xml:space="preserve">устойчивого развития </w:t>
                        </w:r>
                        <w:r w:rsidRPr="001B12C6">
                          <w:rPr>
                            <w:rFonts w:ascii="Times New Roman" w:hAnsi="Times New Roman" w:cs="Times New Roman"/>
                            <w:sz w:val="28"/>
                            <w:szCs w:val="28"/>
                          </w:rPr>
                          <w:t>(</w:t>
                        </w:r>
                        <w:r w:rsidRPr="00A653B4">
                          <w:rPr>
                            <w:rFonts w:ascii="Times New Roman" w:hAnsi="Times New Roman" w:cs="Times New Roman"/>
                            <w:sz w:val="28"/>
                            <w:szCs w:val="28"/>
                            <w:lang w:val="en-US"/>
                          </w:rPr>
                          <w:t>ISSB</w:t>
                        </w:r>
                        <w:r w:rsidRPr="001B12C6">
                          <w:rPr>
                            <w:rFonts w:ascii="Times New Roman" w:hAnsi="Times New Roman" w:cs="Times New Roman"/>
                            <w:sz w:val="28"/>
                            <w:szCs w:val="28"/>
                          </w:rPr>
                          <w:t>)</w:t>
                        </w:r>
                      </w:p>
                    </w:txbxContent>
                  </v:textbox>
                </v:shape>
                <v:shape id="Надпись 27" o:spid="_x0000_s1037" type="#_x0000_t202" style="position:absolute;left:609;top:20040;width:11354;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" fillcolor="#c3c3c3 [2166]" strokecolor="#c9c9c9 [1942]" strokeweight=".5pt">
                  <v:fill color2="#b6b6b6 [2614]" rotate="t" colors="0 #d2d2d2;.5 #c8c8c8;1 silver" focus="100%" type="gradient">
                    <o:fill v:ext="view" type="gradientUnscaled"/>
                  </v:fill>
                  <v:textbox>
                    <w:txbxContent>
                      <w:p w14:paraId="4DABDA13" w14:textId="77777777" w:rsidR="00C9641F" w:rsidRPr="001B12C6" w:rsidRDefault="00C9641F" w:rsidP="00C9641F">
                        <w:pPr>
                          <w:jc w:val="center"/>
                          <w:rPr>
                            <w:rFonts w:ascii="Times New Roman" w:hAnsi="Times New Roman" w:cs="Times New Roman"/>
                            <w:b/>
                            <w:sz w:val="28"/>
                            <w:szCs w:val="24"/>
                          </w:rPr>
                        </w:pPr>
                        <w:r>
                          <w:rPr>
                            <w:rFonts w:ascii="Times New Roman" w:hAnsi="Times New Roman" w:cs="Times New Roman"/>
                            <w:b/>
                            <w:sz w:val="24"/>
                          </w:rPr>
                          <w:t>Независимая разработка стандартов</w:t>
                        </w:r>
                      </w:p>
                    </w:txbxContent>
                  </v:textbox>
                </v:shape>
                <v:shape id="Надпись 28" o:spid="_x0000_s1038" type="#_x0000_t202" style="position:absolute;left:13030;top:26365;width:14402;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46377E0C" w14:textId="40DA71BF" w:rsidR="00C9641F" w:rsidRDefault="00B83AA2" w:rsidP="00C71D23">
                        <w:pPr>
                          <w:spacing w:after="0"/>
                          <w:jc w:val="center"/>
                          <w:rPr>
                            <w:rFonts w:ascii="Times New Roman" w:hAnsi="Times New Roman" w:cs="Times New Roman"/>
                            <w:lang w:val="en-US"/>
                          </w:rPr>
                        </w:pPr>
                        <w:r>
                          <w:rPr>
                            <w:rFonts w:ascii="Times New Roman" w:hAnsi="Times New Roman" w:cs="Times New Roman"/>
                            <w:lang w:val="en-US"/>
                          </w:rPr>
                          <w:t>Стандарты бухгалтерского</w:t>
                        </w:r>
                        <w:r w:rsidR="00C9641F">
                          <w:rPr>
                            <w:rFonts w:ascii="Times New Roman" w:hAnsi="Times New Roman" w:cs="Times New Roman"/>
                            <w:lang w:val="en-US"/>
                          </w:rPr>
                          <w:t xml:space="preserve"> учета </w:t>
                        </w:r>
                        <w:proofErr w:type="spellStart"/>
                        <w:r w:rsidR="00C9641F">
                          <w:rPr>
                            <w:rFonts w:ascii="Times New Roman" w:hAnsi="Times New Roman" w:cs="Times New Roman"/>
                            <w:lang w:val="en-US"/>
                          </w:rPr>
                          <w:t>по</w:t>
                        </w:r>
                        <w:proofErr w:type="spellEnd"/>
                        <w:r w:rsidR="00C9641F" w:rsidRPr="00BC228E">
                          <w:rPr>
                            <w:rFonts w:ascii="Times New Roman" w:hAnsi="Times New Roman" w:cs="Times New Roman"/>
                            <w:lang w:val="en-US"/>
                          </w:rPr>
                          <w:t xml:space="preserve"> МСФО</w:t>
                        </w:r>
                      </w:p>
                      <w:p w14:paraId="250EA431" w14:textId="25024BF8" w:rsidR="00C71D23" w:rsidRPr="00C71D23" w:rsidRDefault="00C71D23" w:rsidP="00C71D23">
                        <w:pPr>
                          <w:spacing w:after="0"/>
                          <w:jc w:val="center"/>
                          <w:rPr>
                            <w:rFonts w:ascii="Times New Roman" w:hAnsi="Times New Roman" w:cs="Times New Roman"/>
                            <w:sz w:val="24"/>
                          </w:rPr>
                        </w:pPr>
                        <w:r>
                          <w:rPr>
                            <w:rFonts w:ascii="Times New Roman" w:hAnsi="Times New Roman" w:cs="Times New Roman"/>
                          </w:rPr>
                          <w:t>(</w:t>
                        </w:r>
                        <w:r>
                          <w:rPr>
                            <w:rFonts w:ascii="Times New Roman" w:hAnsi="Times New Roman" w:cs="Times New Roman"/>
                            <w:lang w:val="en-US"/>
                          </w:rPr>
                          <w:t>IFRS Accounting Standards</w:t>
                        </w:r>
                        <w:r>
                          <w:rPr>
                            <w:rFonts w:ascii="Times New Roman" w:hAnsi="Times New Roman" w:cs="Times New Roman"/>
                          </w:rPr>
                          <w:t>)</w:t>
                        </w:r>
                      </w:p>
                      <w:p w14:paraId="174A7CCA" w14:textId="3DBDB12F" w:rsidR="00C71D23" w:rsidRPr="00C71D23" w:rsidRDefault="00C71D23" w:rsidP="00C9641F">
                        <w:pPr>
                          <w:jc w:val="center"/>
                          <w:rPr>
                            <w:rFonts w:ascii="Times New Roman" w:hAnsi="Times New Roman" w:cs="Times New Roman"/>
                            <w:sz w:val="24"/>
                          </w:rPr>
                        </w:pPr>
                        <w:r>
                          <w:rPr>
                            <w:rFonts w:ascii="Times New Roman" w:hAnsi="Times New Roman" w:cs="Times New Roman"/>
                            <w:sz w:val="24"/>
                          </w:rPr>
                          <w:t>)</w:t>
                        </w:r>
                      </w:p>
                    </w:txbxContent>
                  </v:textbox>
                </v:shape>
                <v:shape id="Надпись 29" o:spid="_x0000_s1039" type="#_x0000_t202" style="position:absolute;left:30480;top:26361;width:15316;height:9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42CFE76D" w14:textId="77777777" w:rsidR="00C71D23" w:rsidRDefault="00C9641F" w:rsidP="00C71D23">
                        <w:pPr>
                          <w:spacing w:after="0"/>
                          <w:jc w:val="center"/>
                          <w:rPr>
                            <w:rFonts w:ascii="Times New Roman" w:hAnsi="Times New Roman" w:cs="Times New Roman"/>
                          </w:rPr>
                        </w:pPr>
                        <w:r w:rsidRPr="00BC228E">
                          <w:rPr>
                            <w:rFonts w:ascii="Times New Roman" w:hAnsi="Times New Roman" w:cs="Times New Roman"/>
                          </w:rPr>
                          <w:t>Стандарты раскрытия информации в области устойчивого развития по МСФО</w:t>
                        </w:r>
                        <w:r w:rsidR="00C71D23">
                          <w:rPr>
                            <w:rFonts w:ascii="Times New Roman" w:hAnsi="Times New Roman" w:cs="Times New Roman"/>
                          </w:rPr>
                          <w:t xml:space="preserve"> </w:t>
                        </w:r>
                      </w:p>
                      <w:p w14:paraId="634A298B" w14:textId="38D79DDD" w:rsidR="00C71D23" w:rsidRPr="00C71D23" w:rsidRDefault="00C71D23" w:rsidP="00C71D23">
                        <w:pPr>
                          <w:spacing w:after="0"/>
                          <w:jc w:val="center"/>
                          <w:rPr>
                            <w:rFonts w:ascii="Times New Roman" w:hAnsi="Times New Roman" w:cs="Times New Roman"/>
                            <w:sz w:val="24"/>
                          </w:rPr>
                        </w:pPr>
                        <w:r>
                          <w:rPr>
                            <w:rFonts w:ascii="Times New Roman" w:hAnsi="Times New Roman" w:cs="Times New Roman"/>
                          </w:rPr>
                          <w:t>(</w:t>
                        </w:r>
                        <w:r>
                          <w:rPr>
                            <w:rFonts w:ascii="Times New Roman" w:hAnsi="Times New Roman" w:cs="Times New Roman"/>
                            <w:lang w:val="en-US"/>
                          </w:rPr>
                          <w:t>IFRS</w:t>
                        </w:r>
                        <w:r w:rsidRPr="00C71D23">
                          <w:rPr>
                            <w:rFonts w:ascii="Times New Roman" w:hAnsi="Times New Roman" w:cs="Times New Roman"/>
                          </w:rPr>
                          <w:t xml:space="preserve"> </w:t>
                        </w:r>
                        <w:r>
                          <w:rPr>
                            <w:rFonts w:ascii="Times New Roman" w:hAnsi="Times New Roman" w:cs="Times New Roman"/>
                            <w:lang w:val="en-US"/>
                          </w:rPr>
                          <w:t>Sustainability</w:t>
                        </w:r>
                        <w:r w:rsidRPr="00C71D23">
                          <w:rPr>
                            <w:rFonts w:ascii="Times New Roman" w:hAnsi="Times New Roman" w:cs="Times New Roman"/>
                          </w:rPr>
                          <w:t xml:space="preserve"> </w:t>
                        </w:r>
                        <w:r>
                          <w:rPr>
                            <w:rFonts w:ascii="Times New Roman" w:hAnsi="Times New Roman" w:cs="Times New Roman"/>
                            <w:lang w:val="en-US"/>
                          </w:rPr>
                          <w:t>Disclosure</w:t>
                        </w:r>
                        <w:r w:rsidRPr="00C71D23">
                          <w:rPr>
                            <w:rFonts w:ascii="Times New Roman" w:hAnsi="Times New Roman" w:cs="Times New Roman"/>
                          </w:rPr>
                          <w:t xml:space="preserve"> </w:t>
                        </w:r>
                        <w:r>
                          <w:rPr>
                            <w:rFonts w:ascii="Times New Roman" w:hAnsi="Times New Roman" w:cs="Times New Roman"/>
                            <w:lang w:val="en-US"/>
                          </w:rPr>
                          <w:t>Standards</w:t>
                        </w:r>
                        <w:r>
                          <w:rPr>
                            <w:rFonts w:ascii="Times New Roman" w:hAnsi="Times New Roman" w:cs="Times New Roman"/>
                            <w:sz w:val="24"/>
                          </w:rPr>
                          <w:t>)</w:t>
                        </w:r>
                      </w:p>
                    </w:txbxContent>
                  </v:textbox>
                </v:shape>
                <v:shape id="Надпись 30" o:spid="_x0000_s1040" type="#_x0000_t202" style="position:absolute;left:48615;top:11501;width:10160;height:17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" fillcolor="#c45911 [2405]" strokecolor="#c45911 [2405]" strokeweight=".5pt">
                  <v:textbox>
                    <w:txbxContent>
                      <w:p w14:paraId="10338F70" w14:textId="2AD4840D" w:rsidR="00C9641F" w:rsidRDefault="00C9641F" w:rsidP="00C9641F">
                        <w:pPr>
                          <w:jc w:val="center"/>
                          <w:rPr>
                            <w:rFonts w:ascii="Times New Roman" w:hAnsi="Times New Roman" w:cs="Times New Roman"/>
                            <w:color w:val="FFFFFF" w:themeColor="background1"/>
                            <w:sz w:val="28"/>
                            <w:lang w:val="en-US"/>
                          </w:rPr>
                        </w:pPr>
                        <w:r>
                          <w:rPr>
                            <w:rFonts w:ascii="Times New Roman" w:hAnsi="Times New Roman" w:cs="Times New Roman"/>
                            <w:color w:val="FFFFFF" w:themeColor="background1"/>
                            <w:sz w:val="28"/>
                            <w:lang w:val="en-US"/>
                          </w:rPr>
                          <w:t xml:space="preserve">Консультативный </w:t>
                        </w:r>
                        <w:r>
                          <w:rPr>
                            <w:rFonts w:ascii="Times New Roman" w:hAnsi="Times New Roman" w:cs="Times New Roman"/>
                            <w:color w:val="FFFFFF" w:themeColor="background1"/>
                            <w:sz w:val="28"/>
                          </w:rPr>
                          <w:t>С</w:t>
                        </w:r>
                        <w:proofErr w:type="spellStart"/>
                        <w:r w:rsidRPr="00BC228E">
                          <w:rPr>
                            <w:rFonts w:ascii="Times New Roman" w:hAnsi="Times New Roman" w:cs="Times New Roman"/>
                            <w:color w:val="FFFFFF" w:themeColor="background1"/>
                            <w:sz w:val="28"/>
                            <w:lang w:val="en-US"/>
                          </w:rPr>
                          <w:t>овет</w:t>
                        </w:r>
                        <w:proofErr w:type="spellEnd"/>
                        <w:r w:rsidRPr="00BC228E">
                          <w:rPr>
                            <w:rFonts w:ascii="Times New Roman" w:hAnsi="Times New Roman" w:cs="Times New Roman"/>
                            <w:color w:val="FFFFFF" w:themeColor="background1"/>
                            <w:sz w:val="28"/>
                            <w:lang w:val="en-US"/>
                          </w:rPr>
                          <w:t xml:space="preserve"> </w:t>
                        </w:r>
                        <w:proofErr w:type="spellStart"/>
                        <w:r w:rsidRPr="00BC228E">
                          <w:rPr>
                            <w:rFonts w:ascii="Times New Roman" w:hAnsi="Times New Roman" w:cs="Times New Roman"/>
                            <w:color w:val="FFFFFF" w:themeColor="background1"/>
                            <w:sz w:val="28"/>
                            <w:lang w:val="en-US"/>
                          </w:rPr>
                          <w:t>по</w:t>
                        </w:r>
                        <w:proofErr w:type="spellEnd"/>
                        <w:r w:rsidRPr="00BC228E">
                          <w:rPr>
                            <w:rFonts w:ascii="Times New Roman" w:hAnsi="Times New Roman" w:cs="Times New Roman"/>
                            <w:color w:val="FFFFFF" w:themeColor="background1"/>
                            <w:sz w:val="28"/>
                            <w:lang w:val="en-US"/>
                          </w:rPr>
                          <w:t xml:space="preserve"> МСФО</w:t>
                        </w:r>
                      </w:p>
                      <w:p w14:paraId="6116665F" w14:textId="0921D5B2" w:rsidR="00C71D23" w:rsidRPr="00C71D23" w:rsidRDefault="00C71D23" w:rsidP="00C71D23">
                        <w:pPr>
                          <w:jc w:val="center"/>
                          <w:rPr>
                            <w:rFonts w:ascii="Times New Roman" w:hAnsi="Times New Roman" w:cs="Times New Roman"/>
                            <w:color w:val="FFFFFF" w:themeColor="background1"/>
                            <w:sz w:val="28"/>
                          </w:rPr>
                        </w:pPr>
                        <w:r>
                          <w:rPr>
                            <w:rFonts w:ascii="Times New Roman" w:hAnsi="Times New Roman" w:cs="Times New Roman"/>
                            <w:color w:val="FFFFFF" w:themeColor="background1"/>
                            <w:sz w:val="28"/>
                          </w:rPr>
                          <w:t>(</w:t>
                        </w:r>
                        <w:r>
                          <w:rPr>
                            <w:rFonts w:ascii="Times New Roman" w:hAnsi="Times New Roman" w:cs="Times New Roman"/>
                            <w:color w:val="FFFFFF" w:themeColor="background1"/>
                            <w:sz w:val="28"/>
                            <w:lang w:val="en-US"/>
                          </w:rPr>
                          <w:t>IFRS Advisory Council</w:t>
                        </w:r>
                        <w:r>
                          <w:rPr>
                            <w:rFonts w:ascii="Times New Roman" w:hAnsi="Times New Roman" w:cs="Times New Roman"/>
                            <w:color w:val="FFFFFF" w:themeColor="background1"/>
                            <w:sz w:val="28"/>
                          </w:rPr>
                          <w:t>)</w:t>
                        </w:r>
                      </w:p>
                      <w:p w14:paraId="35DAC043" w14:textId="28F9F546" w:rsidR="00C71D23" w:rsidRPr="00C71D23" w:rsidRDefault="00C71D23" w:rsidP="00C9641F">
                        <w:pPr>
                          <w:jc w:val="center"/>
                          <w:rPr>
                            <w:rFonts w:ascii="Times New Roman" w:hAnsi="Times New Roman" w:cs="Times New Roman"/>
                            <w:color w:val="FFFFFF" w:themeColor="background1"/>
                            <w:sz w:val="28"/>
                          </w:rPr>
                        </w:pPr>
                      </w:p>
                    </w:txbxContent>
                  </v:textbox>
                </v:shape>
              </v:group>
            </w:pict>
          </mc:Fallback>
        </mc:AlternateContent>
      </w:r>
      <w:r w:rsidR="004366FB">
        <w:rPr>
          <w:rFonts w:ascii="Times New Roman" w:hAnsi="Times New Roman" w:cs="Times New Roman"/>
          <w:sz w:val="28"/>
          <w:szCs w:val="28"/>
        </w:rPr>
        <w:t xml:space="preserve">По данным </w:t>
      </w:r>
      <w:r w:rsidR="004366FB" w:rsidRPr="00F83306">
        <w:rPr>
          <w:rFonts w:ascii="Times New Roman" w:hAnsi="Times New Roman" w:cs="Times New Roman"/>
          <w:sz w:val="28"/>
          <w:szCs w:val="28"/>
        </w:rPr>
        <w:t>IFRS</w:t>
      </w:r>
      <w:r w:rsidR="004366FB" w:rsidRPr="004366FB">
        <w:rPr>
          <w:rFonts w:ascii="Times New Roman" w:hAnsi="Times New Roman" w:cs="Times New Roman"/>
          <w:sz w:val="28"/>
          <w:szCs w:val="28"/>
        </w:rPr>
        <w:t xml:space="preserve"> </w:t>
      </w:r>
      <w:r w:rsidR="004366FB">
        <w:rPr>
          <w:rFonts w:ascii="Times New Roman" w:hAnsi="Times New Roman" w:cs="Times New Roman"/>
          <w:sz w:val="28"/>
          <w:szCs w:val="28"/>
        </w:rPr>
        <w:t>э</w:t>
      </w:r>
      <w:r w:rsidR="007D28AE" w:rsidRPr="00BD3F35">
        <w:rPr>
          <w:rFonts w:ascii="Times New Roman" w:hAnsi="Times New Roman" w:cs="Times New Roman"/>
          <w:sz w:val="28"/>
          <w:szCs w:val="28"/>
        </w:rPr>
        <w:t xml:space="preserve">тот орган </w:t>
      </w:r>
      <w:r w:rsidR="004366FB">
        <w:rPr>
          <w:rFonts w:ascii="Times New Roman" w:hAnsi="Times New Roman" w:cs="Times New Roman"/>
          <w:sz w:val="28"/>
          <w:szCs w:val="28"/>
        </w:rPr>
        <w:t>должен работать</w:t>
      </w:r>
      <w:r w:rsidR="007D28AE" w:rsidRPr="00BD3F35">
        <w:rPr>
          <w:rFonts w:ascii="Times New Roman" w:hAnsi="Times New Roman" w:cs="Times New Roman"/>
          <w:sz w:val="28"/>
          <w:szCs w:val="28"/>
        </w:rPr>
        <w:t xml:space="preserve"> в тесном сотрудничестве с </w:t>
      </w:r>
      <w:r w:rsidR="00344186" w:rsidRPr="00BD3F35">
        <w:rPr>
          <w:rFonts w:ascii="Times New Roman" w:hAnsi="Times New Roman" w:cs="Times New Roman"/>
          <w:sz w:val="28"/>
          <w:szCs w:val="28"/>
        </w:rPr>
        <w:t>IASB</w:t>
      </w:r>
      <w:r w:rsidR="00344186">
        <w:rPr>
          <w:rFonts w:ascii="Times New Roman" w:hAnsi="Times New Roman" w:cs="Times New Roman"/>
          <w:sz w:val="28"/>
          <w:szCs w:val="28"/>
        </w:rPr>
        <w:t xml:space="preserve"> (</w:t>
      </w:r>
      <w:proofErr w:type="spellStart"/>
      <w:r w:rsidR="00344186" w:rsidRPr="00344186">
        <w:rPr>
          <w:rFonts w:ascii="Times New Roman" w:hAnsi="Times New Roman" w:cs="Times New Roman"/>
          <w:sz w:val="28"/>
          <w:szCs w:val="28"/>
        </w:rPr>
        <w:t>International</w:t>
      </w:r>
      <w:proofErr w:type="spellEnd"/>
      <w:r w:rsidR="00344186" w:rsidRPr="00344186">
        <w:rPr>
          <w:rFonts w:ascii="Times New Roman" w:hAnsi="Times New Roman" w:cs="Times New Roman"/>
          <w:sz w:val="28"/>
          <w:szCs w:val="28"/>
        </w:rPr>
        <w:t xml:space="preserve"> </w:t>
      </w:r>
      <w:proofErr w:type="spellStart"/>
      <w:r w:rsidR="00344186" w:rsidRPr="00344186">
        <w:rPr>
          <w:rFonts w:ascii="Times New Roman" w:hAnsi="Times New Roman" w:cs="Times New Roman"/>
          <w:sz w:val="28"/>
          <w:szCs w:val="28"/>
        </w:rPr>
        <w:t>Accounting</w:t>
      </w:r>
      <w:proofErr w:type="spellEnd"/>
      <w:r w:rsidR="00344186" w:rsidRPr="00344186">
        <w:rPr>
          <w:rFonts w:ascii="Times New Roman" w:hAnsi="Times New Roman" w:cs="Times New Roman"/>
          <w:sz w:val="28"/>
          <w:szCs w:val="28"/>
        </w:rPr>
        <w:t xml:space="preserve"> </w:t>
      </w:r>
      <w:proofErr w:type="spellStart"/>
      <w:r w:rsidR="00344186" w:rsidRPr="00344186">
        <w:rPr>
          <w:rFonts w:ascii="Times New Roman" w:hAnsi="Times New Roman" w:cs="Times New Roman"/>
          <w:sz w:val="28"/>
          <w:szCs w:val="28"/>
        </w:rPr>
        <w:t>Standards</w:t>
      </w:r>
      <w:proofErr w:type="spellEnd"/>
      <w:r w:rsidR="00344186" w:rsidRPr="00344186">
        <w:rPr>
          <w:rFonts w:ascii="Times New Roman" w:hAnsi="Times New Roman" w:cs="Times New Roman"/>
          <w:sz w:val="28"/>
          <w:szCs w:val="28"/>
        </w:rPr>
        <w:t xml:space="preserve"> </w:t>
      </w:r>
      <w:proofErr w:type="spellStart"/>
      <w:r w:rsidR="00344186" w:rsidRPr="00344186">
        <w:rPr>
          <w:rFonts w:ascii="Times New Roman" w:hAnsi="Times New Roman" w:cs="Times New Roman"/>
          <w:sz w:val="28"/>
          <w:szCs w:val="28"/>
        </w:rPr>
        <w:t>Board</w:t>
      </w:r>
      <w:proofErr w:type="spellEnd"/>
      <w:r w:rsidR="00344186">
        <w:rPr>
          <w:rFonts w:ascii="Times New Roman" w:hAnsi="Times New Roman" w:cs="Times New Roman"/>
          <w:sz w:val="28"/>
          <w:szCs w:val="28"/>
        </w:rPr>
        <w:t>)</w:t>
      </w:r>
      <w:r w:rsidR="004366FB">
        <w:rPr>
          <w:rFonts w:ascii="Times New Roman" w:hAnsi="Times New Roman" w:cs="Times New Roman"/>
          <w:sz w:val="28"/>
          <w:szCs w:val="28"/>
        </w:rPr>
        <w:t>, занимающийся разработкой и публикацией стандартов, определяющих финансовую отчетность,</w:t>
      </w:r>
      <w:r w:rsidR="007D28AE" w:rsidRPr="00BD3F35">
        <w:rPr>
          <w:rFonts w:ascii="Times New Roman" w:hAnsi="Times New Roman" w:cs="Times New Roman"/>
          <w:sz w:val="28"/>
          <w:szCs w:val="28"/>
        </w:rPr>
        <w:t xml:space="preserve"> </w:t>
      </w:r>
      <w:r w:rsidR="00B973DD" w:rsidRPr="00BD3F35">
        <w:rPr>
          <w:rFonts w:ascii="Times New Roman" w:hAnsi="Times New Roman" w:cs="Times New Roman"/>
          <w:sz w:val="28"/>
          <w:szCs w:val="28"/>
        </w:rPr>
        <w:t xml:space="preserve">для того, чтобы обеспечить связь и совместимость </w:t>
      </w:r>
      <w:r w:rsidR="007204D1">
        <w:rPr>
          <w:rFonts w:ascii="Times New Roman" w:hAnsi="Times New Roman" w:cs="Times New Roman"/>
          <w:sz w:val="28"/>
          <w:szCs w:val="28"/>
        </w:rPr>
        <w:t>выпускаемых</w:t>
      </w:r>
      <w:r w:rsidR="00344186">
        <w:rPr>
          <w:rFonts w:ascii="Times New Roman" w:hAnsi="Times New Roman" w:cs="Times New Roman"/>
          <w:sz w:val="28"/>
          <w:szCs w:val="28"/>
        </w:rPr>
        <w:t xml:space="preserve"> стандартов</w:t>
      </w:r>
      <w:r w:rsidR="00B973DD" w:rsidRPr="00BD3F35">
        <w:rPr>
          <w:rFonts w:ascii="Times New Roman" w:hAnsi="Times New Roman" w:cs="Times New Roman"/>
          <w:sz w:val="28"/>
          <w:szCs w:val="28"/>
        </w:rPr>
        <w:t xml:space="preserve">. В свою очередь, оба этих совета будут регулироваться </w:t>
      </w:r>
      <w:r w:rsidR="00AD5C73" w:rsidRPr="00F83306">
        <w:rPr>
          <w:rFonts w:ascii="Times New Roman" w:hAnsi="Times New Roman" w:cs="Times New Roman"/>
          <w:sz w:val="28"/>
          <w:szCs w:val="28"/>
        </w:rPr>
        <w:t>IFRS</w:t>
      </w:r>
      <w:r w:rsidR="00AD5C73" w:rsidRPr="00E45B82">
        <w:rPr>
          <w:rFonts w:ascii="Times New Roman" w:hAnsi="Times New Roman" w:cs="Times New Roman"/>
          <w:sz w:val="28"/>
          <w:szCs w:val="28"/>
        </w:rPr>
        <w:t xml:space="preserve"> </w:t>
      </w:r>
      <w:proofErr w:type="spellStart"/>
      <w:r w:rsidR="00AD5C73" w:rsidRPr="00F83306">
        <w:rPr>
          <w:rFonts w:ascii="Times New Roman" w:hAnsi="Times New Roman" w:cs="Times New Roman"/>
          <w:sz w:val="28"/>
          <w:szCs w:val="28"/>
        </w:rPr>
        <w:t>Foundation</w:t>
      </w:r>
      <w:proofErr w:type="spellEnd"/>
      <w:r w:rsidR="00AD5C73" w:rsidRPr="00E45B82">
        <w:rPr>
          <w:rFonts w:ascii="Times New Roman" w:hAnsi="Times New Roman" w:cs="Times New Roman"/>
          <w:sz w:val="28"/>
          <w:szCs w:val="28"/>
        </w:rPr>
        <w:t xml:space="preserve"> </w:t>
      </w:r>
      <w:proofErr w:type="spellStart"/>
      <w:r w:rsidR="00AD5C73" w:rsidRPr="00F83306">
        <w:rPr>
          <w:rFonts w:ascii="Times New Roman" w:hAnsi="Times New Roman" w:cs="Times New Roman"/>
          <w:sz w:val="28"/>
          <w:szCs w:val="28"/>
        </w:rPr>
        <w:t>Trustees</w:t>
      </w:r>
      <w:proofErr w:type="spellEnd"/>
      <w:r w:rsidR="00B973DD" w:rsidRPr="00BD3F35">
        <w:rPr>
          <w:rFonts w:ascii="Times New Roman" w:hAnsi="Times New Roman" w:cs="Times New Roman"/>
          <w:sz w:val="28"/>
          <w:szCs w:val="28"/>
        </w:rPr>
        <w:t xml:space="preserve">, подотчетными </w:t>
      </w:r>
      <w:r w:rsidR="00AD5C73" w:rsidRPr="00F83306">
        <w:rPr>
          <w:rFonts w:ascii="Times New Roman" w:hAnsi="Times New Roman" w:cs="Times New Roman"/>
          <w:sz w:val="28"/>
          <w:szCs w:val="28"/>
        </w:rPr>
        <w:t>IFRS</w:t>
      </w:r>
      <w:r w:rsidR="00AD5C73" w:rsidRPr="00AD5C73">
        <w:rPr>
          <w:rFonts w:ascii="Times New Roman" w:hAnsi="Times New Roman" w:cs="Times New Roman"/>
          <w:sz w:val="28"/>
          <w:szCs w:val="28"/>
        </w:rPr>
        <w:t xml:space="preserve"> </w:t>
      </w:r>
      <w:proofErr w:type="spellStart"/>
      <w:r w:rsidR="00AD5C73" w:rsidRPr="00F83306">
        <w:rPr>
          <w:rFonts w:ascii="Times New Roman" w:hAnsi="Times New Roman" w:cs="Times New Roman"/>
          <w:sz w:val="28"/>
          <w:szCs w:val="28"/>
        </w:rPr>
        <w:t>Foundation</w:t>
      </w:r>
      <w:proofErr w:type="spellEnd"/>
      <w:r w:rsidR="00AD5C73" w:rsidRPr="00AD5C73">
        <w:rPr>
          <w:rFonts w:ascii="Times New Roman" w:hAnsi="Times New Roman" w:cs="Times New Roman"/>
          <w:sz w:val="28"/>
          <w:szCs w:val="28"/>
        </w:rPr>
        <w:t xml:space="preserve"> </w:t>
      </w:r>
      <w:proofErr w:type="spellStart"/>
      <w:r w:rsidR="00AD5C73" w:rsidRPr="00F83306">
        <w:rPr>
          <w:rFonts w:ascii="Times New Roman" w:hAnsi="Times New Roman" w:cs="Times New Roman"/>
          <w:sz w:val="28"/>
          <w:szCs w:val="28"/>
        </w:rPr>
        <w:t>Monitoring</w:t>
      </w:r>
      <w:proofErr w:type="spellEnd"/>
      <w:r w:rsidR="00AD5C73" w:rsidRPr="00AD5C73">
        <w:rPr>
          <w:rFonts w:ascii="Times New Roman" w:hAnsi="Times New Roman" w:cs="Times New Roman"/>
          <w:sz w:val="28"/>
          <w:szCs w:val="28"/>
        </w:rPr>
        <w:t xml:space="preserve"> </w:t>
      </w:r>
      <w:proofErr w:type="spellStart"/>
      <w:r w:rsidR="00AD5C73" w:rsidRPr="00F83306">
        <w:rPr>
          <w:rFonts w:ascii="Times New Roman" w:hAnsi="Times New Roman" w:cs="Times New Roman"/>
          <w:sz w:val="28"/>
          <w:szCs w:val="28"/>
        </w:rPr>
        <w:t>Board</w:t>
      </w:r>
      <w:proofErr w:type="spellEnd"/>
      <w:r w:rsidR="00EE6191">
        <w:rPr>
          <w:rFonts w:ascii="Times New Roman" w:hAnsi="Times New Roman" w:cs="Times New Roman"/>
          <w:sz w:val="28"/>
          <w:szCs w:val="28"/>
        </w:rPr>
        <w:t xml:space="preserve"> (рис.2) </w:t>
      </w:r>
      <w:hyperlink r:id="rId11" w:history="1">
        <w:r w:rsidR="00F40A82">
          <w:rPr>
            <w:rFonts w:ascii="Times New Roman" w:hAnsi="Times New Roman" w:cs="Times New Roman"/>
            <w:sz w:val="28"/>
            <w:szCs w:val="28"/>
          </w:rPr>
          <w:t>[22</w:t>
        </w:r>
        <w:r w:rsidR="00EE6191" w:rsidRPr="00A21B94">
          <w:rPr>
            <w:rFonts w:ascii="Times New Roman" w:hAnsi="Times New Roman" w:cs="Times New Roman"/>
            <w:sz w:val="28"/>
            <w:szCs w:val="28"/>
          </w:rPr>
          <w:t>]</w:t>
        </w:r>
        <w:r w:rsidR="00EE6191" w:rsidRPr="00F83306">
          <w:rPr>
            <w:rFonts w:ascii="Times New Roman" w:hAnsi="Times New Roman" w:cs="Times New Roman"/>
            <w:sz w:val="28"/>
            <w:szCs w:val="28"/>
          </w:rPr>
          <w:t>.</w:t>
        </w:r>
      </w:hyperlink>
      <w:r w:rsidR="00386168" w:rsidRPr="00BD3F35">
        <w:rPr>
          <w:rFonts w:ascii="Times New Roman" w:hAnsi="Times New Roman" w:cs="Times New Roman"/>
          <w:sz w:val="28"/>
          <w:szCs w:val="28"/>
        </w:rPr>
        <w:t xml:space="preserve"> </w:t>
      </w:r>
      <w:r w:rsidR="004C7065" w:rsidRPr="00BD3F35">
        <w:rPr>
          <w:rFonts w:ascii="Times New Roman" w:hAnsi="Times New Roman" w:cs="Times New Roman"/>
          <w:sz w:val="28"/>
          <w:szCs w:val="28"/>
        </w:rPr>
        <w:t>В этой иерархии каждый из органов выполняет свою особую функцию: Наблюдательный совет Фонда МСФО производит общественную подотчетность, в свою очередь Попечители Фонда разрабатывают стратегии, осуществляют контроль и управляют нижестоящими организациями, а ISSB и IASB занимаются разработкой стандартов.</w:t>
      </w:r>
    </w:p>
    <w:p w14:paraId="426F8D37" w14:textId="0F2BD9E5" w:rsidR="0063443C" w:rsidRPr="008F5E6A" w:rsidRDefault="0063443C" w:rsidP="008F5E6A">
      <w:pPr>
        <w:spacing w:after="0" w:line="360" w:lineRule="auto"/>
        <w:jc w:val="both"/>
        <w:rPr>
          <w:rFonts w:ascii="Times New Roman" w:hAnsi="Times New Roman" w:cs="Times New Roman"/>
          <w:sz w:val="28"/>
          <w:szCs w:val="28"/>
        </w:rPr>
      </w:pPr>
    </w:p>
    <w:p w14:paraId="2FADB4BF" w14:textId="77777777" w:rsidR="00C9641F" w:rsidRDefault="00C9641F" w:rsidP="000A2124">
      <w:pPr>
        <w:spacing w:line="360" w:lineRule="auto"/>
        <w:jc w:val="both"/>
        <w:rPr>
          <w:rFonts w:ascii="Times New Roman" w:hAnsi="Times New Roman" w:cs="Times New Roman"/>
          <w:sz w:val="24"/>
          <w:szCs w:val="28"/>
        </w:rPr>
      </w:pPr>
    </w:p>
    <w:p w14:paraId="1A0F6F7F" w14:textId="77777777" w:rsidR="00C9641F" w:rsidRDefault="00C9641F" w:rsidP="000A2124">
      <w:pPr>
        <w:spacing w:line="360" w:lineRule="auto"/>
        <w:jc w:val="both"/>
        <w:rPr>
          <w:rFonts w:ascii="Times New Roman" w:hAnsi="Times New Roman" w:cs="Times New Roman"/>
          <w:sz w:val="24"/>
          <w:szCs w:val="28"/>
        </w:rPr>
      </w:pPr>
    </w:p>
    <w:p w14:paraId="5816C7DA" w14:textId="77777777" w:rsidR="00C9641F" w:rsidRDefault="00C9641F" w:rsidP="000A2124">
      <w:pPr>
        <w:spacing w:line="360" w:lineRule="auto"/>
        <w:jc w:val="both"/>
        <w:rPr>
          <w:rFonts w:ascii="Times New Roman" w:hAnsi="Times New Roman" w:cs="Times New Roman"/>
          <w:sz w:val="24"/>
          <w:szCs w:val="28"/>
        </w:rPr>
      </w:pPr>
    </w:p>
    <w:p w14:paraId="31D4C76A" w14:textId="77777777" w:rsidR="00C9641F" w:rsidRDefault="00C9641F" w:rsidP="000A2124">
      <w:pPr>
        <w:spacing w:line="360" w:lineRule="auto"/>
        <w:jc w:val="both"/>
        <w:rPr>
          <w:rFonts w:ascii="Times New Roman" w:hAnsi="Times New Roman" w:cs="Times New Roman"/>
          <w:sz w:val="24"/>
          <w:szCs w:val="28"/>
        </w:rPr>
      </w:pPr>
    </w:p>
    <w:p w14:paraId="671A8243" w14:textId="77777777" w:rsidR="00C9641F" w:rsidRDefault="00C9641F" w:rsidP="000A2124">
      <w:pPr>
        <w:spacing w:line="360" w:lineRule="auto"/>
        <w:jc w:val="both"/>
        <w:rPr>
          <w:rFonts w:ascii="Times New Roman" w:hAnsi="Times New Roman" w:cs="Times New Roman"/>
          <w:sz w:val="24"/>
          <w:szCs w:val="28"/>
        </w:rPr>
      </w:pPr>
    </w:p>
    <w:p w14:paraId="5FD7F069" w14:textId="77777777" w:rsidR="00C9641F" w:rsidRDefault="00C9641F" w:rsidP="000A2124">
      <w:pPr>
        <w:spacing w:line="360" w:lineRule="auto"/>
        <w:jc w:val="both"/>
        <w:rPr>
          <w:rFonts w:ascii="Times New Roman" w:hAnsi="Times New Roman" w:cs="Times New Roman"/>
          <w:sz w:val="24"/>
          <w:szCs w:val="28"/>
        </w:rPr>
      </w:pPr>
    </w:p>
    <w:p w14:paraId="7220072E" w14:textId="77777777" w:rsidR="00C9641F" w:rsidRDefault="00C9641F" w:rsidP="000A2124">
      <w:pPr>
        <w:spacing w:line="360" w:lineRule="auto"/>
        <w:jc w:val="both"/>
        <w:rPr>
          <w:rFonts w:ascii="Times New Roman" w:hAnsi="Times New Roman" w:cs="Times New Roman"/>
          <w:sz w:val="24"/>
          <w:szCs w:val="28"/>
        </w:rPr>
      </w:pPr>
    </w:p>
    <w:p w14:paraId="5A08EA00" w14:textId="77777777" w:rsidR="00C9641F" w:rsidRDefault="00C9641F" w:rsidP="000A2124">
      <w:pPr>
        <w:spacing w:line="360" w:lineRule="auto"/>
        <w:jc w:val="both"/>
        <w:rPr>
          <w:rFonts w:ascii="Times New Roman" w:hAnsi="Times New Roman" w:cs="Times New Roman"/>
          <w:sz w:val="24"/>
          <w:szCs w:val="28"/>
        </w:rPr>
      </w:pPr>
    </w:p>
    <w:p w14:paraId="36141325" w14:textId="77777777" w:rsidR="00C9641F" w:rsidRDefault="00C9641F" w:rsidP="000A2124">
      <w:pPr>
        <w:spacing w:line="360" w:lineRule="auto"/>
        <w:jc w:val="both"/>
        <w:rPr>
          <w:rFonts w:ascii="Times New Roman" w:hAnsi="Times New Roman" w:cs="Times New Roman"/>
          <w:sz w:val="24"/>
          <w:szCs w:val="28"/>
        </w:rPr>
      </w:pPr>
    </w:p>
    <w:p w14:paraId="204613C7" w14:textId="77777777" w:rsidR="00B83AA2" w:rsidRDefault="00B83AA2" w:rsidP="000A2124">
      <w:pPr>
        <w:spacing w:line="360" w:lineRule="auto"/>
        <w:jc w:val="both"/>
        <w:rPr>
          <w:rFonts w:ascii="Times New Roman" w:hAnsi="Times New Roman" w:cs="Times New Roman"/>
          <w:sz w:val="24"/>
          <w:szCs w:val="28"/>
        </w:rPr>
      </w:pPr>
    </w:p>
    <w:p w14:paraId="32F0A927" w14:textId="77777777" w:rsidR="00C71D23" w:rsidRDefault="00C71D23" w:rsidP="000A2124">
      <w:pPr>
        <w:spacing w:line="360" w:lineRule="auto"/>
        <w:jc w:val="both"/>
        <w:rPr>
          <w:rFonts w:ascii="Times New Roman" w:hAnsi="Times New Roman" w:cs="Times New Roman"/>
          <w:sz w:val="24"/>
          <w:szCs w:val="28"/>
        </w:rPr>
      </w:pPr>
    </w:p>
    <w:p w14:paraId="4C89576A" w14:textId="3A38DFDB" w:rsidR="0063443C" w:rsidRPr="000A2124" w:rsidRDefault="004C7065" w:rsidP="000A2124">
      <w:pPr>
        <w:spacing w:line="360" w:lineRule="auto"/>
        <w:jc w:val="both"/>
        <w:rPr>
          <w:rFonts w:ascii="Times New Roman" w:hAnsi="Times New Roman" w:cs="Times New Roman"/>
          <w:sz w:val="24"/>
          <w:szCs w:val="28"/>
        </w:rPr>
      </w:pPr>
      <w:r w:rsidRPr="000A2124">
        <w:rPr>
          <w:rFonts w:ascii="Times New Roman" w:hAnsi="Times New Roman" w:cs="Times New Roman"/>
          <w:sz w:val="24"/>
          <w:szCs w:val="28"/>
        </w:rPr>
        <w:t xml:space="preserve">Рисунок 2 – </w:t>
      </w:r>
      <w:r w:rsidR="00913A2D" w:rsidRPr="000A2124">
        <w:rPr>
          <w:rFonts w:ascii="Times New Roman" w:hAnsi="Times New Roman" w:cs="Times New Roman"/>
          <w:sz w:val="24"/>
          <w:szCs w:val="28"/>
        </w:rPr>
        <w:t xml:space="preserve">Структура </w:t>
      </w:r>
      <w:r w:rsidR="000A1F91" w:rsidRPr="000A2124">
        <w:rPr>
          <w:rFonts w:ascii="Times New Roman" w:hAnsi="Times New Roman" w:cs="Times New Roman"/>
          <w:sz w:val="24"/>
          <w:szCs w:val="28"/>
          <w:lang w:val="en-US"/>
        </w:rPr>
        <w:t>IFRS</w:t>
      </w:r>
      <w:r w:rsidR="000A1F91" w:rsidRPr="000A2124">
        <w:rPr>
          <w:rFonts w:ascii="Times New Roman" w:hAnsi="Times New Roman" w:cs="Times New Roman"/>
          <w:sz w:val="24"/>
          <w:szCs w:val="28"/>
        </w:rPr>
        <w:t xml:space="preserve"> </w:t>
      </w:r>
      <w:r w:rsidR="000A1F91" w:rsidRPr="000A2124">
        <w:rPr>
          <w:rFonts w:ascii="Times New Roman" w:hAnsi="Times New Roman" w:cs="Times New Roman"/>
          <w:sz w:val="24"/>
          <w:szCs w:val="28"/>
          <w:lang w:val="en-US"/>
        </w:rPr>
        <w:t>Foundation</w:t>
      </w:r>
      <w:r w:rsidR="000A1F91" w:rsidRPr="000A2124">
        <w:rPr>
          <w:rFonts w:ascii="Times New Roman" w:hAnsi="Times New Roman" w:cs="Times New Roman"/>
          <w:sz w:val="24"/>
          <w:szCs w:val="28"/>
        </w:rPr>
        <w:t xml:space="preserve"> после создания</w:t>
      </w:r>
      <w:r w:rsidR="00344186" w:rsidRPr="000A2124">
        <w:rPr>
          <w:rFonts w:ascii="Times New Roman" w:hAnsi="Times New Roman" w:cs="Times New Roman"/>
          <w:sz w:val="24"/>
          <w:szCs w:val="28"/>
        </w:rPr>
        <w:t xml:space="preserve"> </w:t>
      </w:r>
      <w:r w:rsidR="00344186" w:rsidRPr="000A2124">
        <w:rPr>
          <w:rFonts w:ascii="Times New Roman" w:hAnsi="Times New Roman" w:cs="Times New Roman"/>
          <w:sz w:val="24"/>
          <w:szCs w:val="28"/>
          <w:lang w:val="en-US"/>
        </w:rPr>
        <w:t>ISSB</w:t>
      </w:r>
      <w:r w:rsidR="000A1F91" w:rsidRPr="000A2124">
        <w:rPr>
          <w:rFonts w:ascii="Times New Roman" w:hAnsi="Times New Roman" w:cs="Times New Roman"/>
          <w:sz w:val="24"/>
          <w:szCs w:val="28"/>
        </w:rPr>
        <w:t xml:space="preserve"> </w:t>
      </w:r>
      <w:r w:rsidR="00913A2D" w:rsidRPr="000A2124">
        <w:rPr>
          <w:rFonts w:ascii="Times New Roman" w:hAnsi="Times New Roman" w:cs="Times New Roman"/>
          <w:sz w:val="24"/>
          <w:szCs w:val="28"/>
        </w:rPr>
        <w:t>[</w:t>
      </w:r>
      <w:r w:rsidR="00F40A82">
        <w:rPr>
          <w:rFonts w:ascii="Times New Roman" w:hAnsi="Times New Roman" w:cs="Times New Roman"/>
          <w:sz w:val="24"/>
          <w:szCs w:val="28"/>
        </w:rPr>
        <w:t>22</w:t>
      </w:r>
      <w:r w:rsidR="003B272F" w:rsidRPr="000A2124">
        <w:rPr>
          <w:rFonts w:ascii="Times New Roman" w:hAnsi="Times New Roman" w:cs="Times New Roman"/>
          <w:sz w:val="24"/>
          <w:szCs w:val="28"/>
        </w:rPr>
        <w:t>]</w:t>
      </w:r>
    </w:p>
    <w:p w14:paraId="6DAF82A1" w14:textId="3CF8355D" w:rsidR="00FC100C" w:rsidRPr="00694297" w:rsidRDefault="00694297" w:rsidP="00B63F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можно увидеть из рисунка 2, </w:t>
      </w:r>
      <w:r w:rsidRPr="00694297">
        <w:rPr>
          <w:rFonts w:ascii="Times New Roman" w:hAnsi="Times New Roman" w:cs="Times New Roman"/>
          <w:sz w:val="28"/>
          <w:szCs w:val="28"/>
        </w:rPr>
        <w:t>ISSB</w:t>
      </w:r>
      <w:r>
        <w:rPr>
          <w:rFonts w:ascii="Times New Roman" w:hAnsi="Times New Roman" w:cs="Times New Roman"/>
          <w:sz w:val="28"/>
          <w:szCs w:val="28"/>
        </w:rPr>
        <w:t xml:space="preserve"> находится в тесном взаимодействии именно с органами, работающими с финансовой отчетностью, что позволяет сделать вывод о том, что скорее всего может быть произведена интеграция </w:t>
      </w:r>
      <w:r w:rsidRPr="00694297">
        <w:rPr>
          <w:rFonts w:ascii="Times New Roman" w:hAnsi="Times New Roman" w:cs="Times New Roman"/>
          <w:sz w:val="28"/>
          <w:szCs w:val="28"/>
        </w:rPr>
        <w:t xml:space="preserve">ESG </w:t>
      </w:r>
      <w:r>
        <w:rPr>
          <w:rFonts w:ascii="Times New Roman" w:hAnsi="Times New Roman" w:cs="Times New Roman"/>
          <w:sz w:val="28"/>
          <w:szCs w:val="28"/>
        </w:rPr>
        <w:t>отчетности в финансовые отчеты компаний.</w:t>
      </w:r>
    </w:p>
    <w:p w14:paraId="42708BC9" w14:textId="77777777" w:rsidR="00C9641F" w:rsidRDefault="008B306D" w:rsidP="00F833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Совет по стандартам устойчивого развития имеет определенное географическое соотношение его членов: </w:t>
      </w:r>
      <w:r w:rsidR="00CE1ED8">
        <w:rPr>
          <w:rFonts w:ascii="Times New Roman" w:hAnsi="Times New Roman" w:cs="Times New Roman"/>
          <w:sz w:val="28"/>
          <w:szCs w:val="28"/>
        </w:rPr>
        <w:t>3 члена назначаются из региона Азии и Океании, 3 – из Европы, 3 – из Северной и Южной Америки, 1 – Из Африки и еще 4 члена могут бы</w:t>
      </w:r>
      <w:r w:rsidR="00F40A82">
        <w:rPr>
          <w:rFonts w:ascii="Times New Roman" w:hAnsi="Times New Roman" w:cs="Times New Roman"/>
          <w:sz w:val="28"/>
          <w:szCs w:val="28"/>
        </w:rPr>
        <w:t>ть выбраны из любой области [23</w:t>
      </w:r>
      <w:r w:rsidR="00CE1ED8">
        <w:rPr>
          <w:rFonts w:ascii="Times New Roman" w:hAnsi="Times New Roman" w:cs="Times New Roman"/>
          <w:sz w:val="28"/>
          <w:szCs w:val="28"/>
        </w:rPr>
        <w:t>]</w:t>
      </w:r>
      <w:r w:rsidR="003B272F" w:rsidRPr="003B272F">
        <w:rPr>
          <w:rFonts w:ascii="Times New Roman" w:hAnsi="Times New Roman" w:cs="Times New Roman"/>
          <w:sz w:val="28"/>
          <w:szCs w:val="28"/>
        </w:rPr>
        <w:t>.</w:t>
      </w:r>
      <w:r w:rsidR="00473904">
        <w:rPr>
          <w:rFonts w:ascii="Times New Roman" w:hAnsi="Times New Roman" w:cs="Times New Roman"/>
          <w:sz w:val="28"/>
          <w:szCs w:val="28"/>
        </w:rPr>
        <w:t xml:space="preserve"> </w:t>
      </w:r>
      <w:r w:rsidR="00954D1B">
        <w:rPr>
          <w:rFonts w:ascii="Times New Roman" w:hAnsi="Times New Roman" w:cs="Times New Roman"/>
          <w:sz w:val="28"/>
          <w:szCs w:val="28"/>
        </w:rPr>
        <w:t xml:space="preserve">Стоит отметить, что такое географическое распределение членов Совета позволит достичь наиболее эффективной и слаженной работы, с учетом различий регионов и проблем, </w:t>
      </w:r>
    </w:p>
    <w:p w14:paraId="1D327223" w14:textId="0F0B0C99" w:rsidR="00F52A81" w:rsidRDefault="00954D1B" w:rsidP="00C964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возникающих по определенным аспектам.</w:t>
      </w:r>
    </w:p>
    <w:p w14:paraId="567DD09D" w14:textId="20FB4296" w:rsidR="005B5A9F" w:rsidRPr="0000129B" w:rsidRDefault="00661F25" w:rsidP="00661F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F52A81">
        <w:rPr>
          <w:rFonts w:ascii="Times New Roman" w:hAnsi="Times New Roman" w:cs="Times New Roman"/>
          <w:sz w:val="28"/>
          <w:szCs w:val="28"/>
        </w:rPr>
        <w:t>достижения</w:t>
      </w:r>
      <w:r w:rsidR="00954D1B">
        <w:rPr>
          <w:rFonts w:ascii="Times New Roman" w:hAnsi="Times New Roman" w:cs="Times New Roman"/>
          <w:sz w:val="28"/>
          <w:szCs w:val="28"/>
        </w:rPr>
        <w:t xml:space="preserve"> цели </w:t>
      </w:r>
      <w:r w:rsidR="00954D1B">
        <w:rPr>
          <w:rFonts w:ascii="Times New Roman" w:hAnsi="Times New Roman" w:cs="Times New Roman"/>
          <w:sz w:val="28"/>
          <w:szCs w:val="28"/>
          <w:lang w:val="en-US"/>
        </w:rPr>
        <w:t>ISSB</w:t>
      </w:r>
      <w:r>
        <w:rPr>
          <w:rFonts w:ascii="Times New Roman" w:hAnsi="Times New Roman" w:cs="Times New Roman"/>
          <w:sz w:val="28"/>
          <w:szCs w:val="28"/>
        </w:rPr>
        <w:t>,</w:t>
      </w:r>
      <w:r w:rsidR="00954D1B">
        <w:rPr>
          <w:rFonts w:ascii="Times New Roman" w:hAnsi="Times New Roman" w:cs="Times New Roman"/>
          <w:sz w:val="28"/>
          <w:szCs w:val="28"/>
        </w:rPr>
        <w:t xml:space="preserve"> которая заключается в </w:t>
      </w:r>
      <w:r>
        <w:rPr>
          <w:rFonts w:ascii="Times New Roman" w:hAnsi="Times New Roman" w:cs="Times New Roman"/>
          <w:sz w:val="28"/>
          <w:szCs w:val="28"/>
        </w:rPr>
        <w:t xml:space="preserve">создании глобальной базы стандартов для раскрытия информации в области устойчивого развития компаний, во второй половине 2022 года Совет по стандартам устойчивого развития выделил следующие проекты, представленные в таблице 2. </w:t>
      </w:r>
      <w:r w:rsidR="0000129B">
        <w:rPr>
          <w:rFonts w:ascii="Times New Roman" w:hAnsi="Times New Roman" w:cs="Times New Roman"/>
          <w:sz w:val="28"/>
          <w:szCs w:val="28"/>
        </w:rPr>
        <w:t xml:space="preserve">Все они связаны в основном с подготовкой к публикации первых стандартов </w:t>
      </w:r>
      <w:r w:rsidR="0000129B" w:rsidRPr="00F83306">
        <w:rPr>
          <w:rFonts w:ascii="Times New Roman" w:hAnsi="Times New Roman" w:cs="Times New Roman"/>
          <w:sz w:val="28"/>
          <w:szCs w:val="28"/>
        </w:rPr>
        <w:t>IFRS</w:t>
      </w:r>
      <w:r w:rsidR="0000129B" w:rsidRPr="0000129B">
        <w:rPr>
          <w:rFonts w:ascii="Times New Roman" w:hAnsi="Times New Roman" w:cs="Times New Roman"/>
          <w:sz w:val="28"/>
          <w:szCs w:val="28"/>
        </w:rPr>
        <w:t xml:space="preserve"> </w:t>
      </w:r>
      <w:r w:rsidR="0000129B" w:rsidRPr="00F83306">
        <w:rPr>
          <w:rFonts w:ascii="Times New Roman" w:hAnsi="Times New Roman" w:cs="Times New Roman"/>
          <w:sz w:val="28"/>
          <w:szCs w:val="28"/>
        </w:rPr>
        <w:t>S</w:t>
      </w:r>
      <w:r w:rsidR="0000129B" w:rsidRPr="0000129B">
        <w:rPr>
          <w:rFonts w:ascii="Times New Roman" w:hAnsi="Times New Roman" w:cs="Times New Roman"/>
          <w:sz w:val="28"/>
          <w:szCs w:val="28"/>
        </w:rPr>
        <w:t>1</w:t>
      </w:r>
      <w:r w:rsidR="0000129B">
        <w:rPr>
          <w:rFonts w:ascii="Times New Roman" w:hAnsi="Times New Roman" w:cs="Times New Roman"/>
          <w:sz w:val="28"/>
          <w:szCs w:val="28"/>
        </w:rPr>
        <w:t xml:space="preserve"> и</w:t>
      </w:r>
      <w:r w:rsidR="0000129B" w:rsidRPr="0000129B">
        <w:rPr>
          <w:rFonts w:ascii="Times New Roman" w:hAnsi="Times New Roman" w:cs="Times New Roman"/>
          <w:sz w:val="28"/>
          <w:szCs w:val="28"/>
        </w:rPr>
        <w:t xml:space="preserve"> </w:t>
      </w:r>
      <w:r w:rsidR="0000129B" w:rsidRPr="00F83306">
        <w:rPr>
          <w:rFonts w:ascii="Times New Roman" w:hAnsi="Times New Roman" w:cs="Times New Roman"/>
          <w:sz w:val="28"/>
          <w:szCs w:val="28"/>
        </w:rPr>
        <w:t>IFRS</w:t>
      </w:r>
      <w:r w:rsidR="0000129B" w:rsidRPr="0000129B">
        <w:rPr>
          <w:rFonts w:ascii="Times New Roman" w:hAnsi="Times New Roman" w:cs="Times New Roman"/>
          <w:sz w:val="28"/>
          <w:szCs w:val="28"/>
        </w:rPr>
        <w:t xml:space="preserve"> </w:t>
      </w:r>
      <w:r w:rsidR="0000129B" w:rsidRPr="00F83306">
        <w:rPr>
          <w:rFonts w:ascii="Times New Roman" w:hAnsi="Times New Roman" w:cs="Times New Roman"/>
          <w:sz w:val="28"/>
          <w:szCs w:val="28"/>
        </w:rPr>
        <w:t>S</w:t>
      </w:r>
      <w:r w:rsidR="0000129B">
        <w:rPr>
          <w:rFonts w:ascii="Times New Roman" w:hAnsi="Times New Roman" w:cs="Times New Roman"/>
          <w:sz w:val="28"/>
          <w:szCs w:val="28"/>
        </w:rPr>
        <w:t>2, раскрывающих вопросы устойчивого развития в отчетности. Большое внимание также уделяют обрат</w:t>
      </w:r>
      <w:r>
        <w:rPr>
          <w:rFonts w:ascii="Times New Roman" w:hAnsi="Times New Roman" w:cs="Times New Roman"/>
          <w:sz w:val="28"/>
          <w:szCs w:val="28"/>
        </w:rPr>
        <w:t>ной связи и внесению предложений</w:t>
      </w:r>
      <w:r w:rsidR="0000129B">
        <w:rPr>
          <w:rFonts w:ascii="Times New Roman" w:hAnsi="Times New Roman" w:cs="Times New Roman"/>
          <w:sz w:val="28"/>
          <w:szCs w:val="28"/>
        </w:rPr>
        <w:t xml:space="preserve"> по корректировки. </w:t>
      </w:r>
    </w:p>
    <w:p w14:paraId="33B8FF30" w14:textId="77777777" w:rsidR="009E7B14" w:rsidRPr="006F2472" w:rsidRDefault="009E7B14" w:rsidP="006F2472">
      <w:pPr>
        <w:spacing w:after="0" w:line="360" w:lineRule="auto"/>
        <w:ind w:firstLine="708"/>
        <w:jc w:val="both"/>
        <w:rPr>
          <w:rFonts w:ascii="Times New Roman" w:hAnsi="Times New Roman" w:cs="Times New Roman"/>
          <w:sz w:val="28"/>
          <w:szCs w:val="28"/>
        </w:rPr>
      </w:pPr>
      <w:r w:rsidRPr="006F2472">
        <w:rPr>
          <w:rFonts w:ascii="Times New Roman" w:hAnsi="Times New Roman" w:cs="Times New Roman"/>
          <w:sz w:val="28"/>
          <w:szCs w:val="28"/>
        </w:rPr>
        <w:t>Таблица 2 – План работы ISSB</w:t>
      </w:r>
    </w:p>
    <w:tbl>
      <w:tblPr>
        <w:tblStyle w:val="a8"/>
        <w:tblW w:w="0" w:type="auto"/>
        <w:tblLook w:val="04A0" w:firstRow="1" w:lastRow="0" w:firstColumn="1" w:lastColumn="0" w:noHBand="0" w:noVBand="1"/>
      </w:tblPr>
      <w:tblGrid>
        <w:gridCol w:w="2407"/>
        <w:gridCol w:w="2407"/>
        <w:gridCol w:w="2407"/>
        <w:gridCol w:w="2407"/>
      </w:tblGrid>
      <w:tr w:rsidR="00473904" w:rsidRPr="00A5444B" w14:paraId="2D035F83" w14:textId="77777777" w:rsidTr="00C649E3">
        <w:tc>
          <w:tcPr>
            <w:tcW w:w="2407" w:type="dxa"/>
          </w:tcPr>
          <w:p w14:paraId="5B229A58"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Тип проекта</w:t>
            </w:r>
          </w:p>
        </w:tc>
        <w:tc>
          <w:tcPr>
            <w:tcW w:w="2407" w:type="dxa"/>
          </w:tcPr>
          <w:p w14:paraId="59880DDD"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Название проекта</w:t>
            </w:r>
          </w:p>
        </w:tc>
        <w:tc>
          <w:tcPr>
            <w:tcW w:w="2407" w:type="dxa"/>
          </w:tcPr>
          <w:p w14:paraId="5388C6B4"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Суть проекта</w:t>
            </w:r>
          </w:p>
        </w:tc>
        <w:tc>
          <w:tcPr>
            <w:tcW w:w="2407" w:type="dxa"/>
          </w:tcPr>
          <w:p w14:paraId="413BC50D" w14:textId="77777777" w:rsidR="00473904" w:rsidRPr="000E4D98" w:rsidRDefault="00473904" w:rsidP="00C649E3">
            <w:pPr>
              <w:jc w:val="both"/>
              <w:rPr>
                <w:rFonts w:ascii="Times New Roman" w:hAnsi="Times New Roman" w:cs="Times New Roman"/>
                <w:sz w:val="24"/>
                <w:szCs w:val="24"/>
                <w:lang w:val="en-US"/>
              </w:rPr>
            </w:pPr>
            <w:r w:rsidRPr="000E4D98">
              <w:rPr>
                <w:rFonts w:ascii="Times New Roman" w:hAnsi="Times New Roman" w:cs="Times New Roman"/>
                <w:sz w:val="24"/>
                <w:szCs w:val="24"/>
              </w:rPr>
              <w:t>Ожидаемая дата</w:t>
            </w:r>
          </w:p>
        </w:tc>
      </w:tr>
      <w:tr w:rsidR="00473904" w:rsidRPr="00A5444B" w14:paraId="72BB68A5" w14:textId="77777777" w:rsidTr="00C649E3">
        <w:tc>
          <w:tcPr>
            <w:tcW w:w="2407" w:type="dxa"/>
          </w:tcPr>
          <w:p w14:paraId="7573EB9E"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Проект в области устойчивого развития</w:t>
            </w:r>
          </w:p>
        </w:tc>
        <w:tc>
          <w:tcPr>
            <w:tcW w:w="2407" w:type="dxa"/>
          </w:tcPr>
          <w:p w14:paraId="7B231417" w14:textId="77777777" w:rsidR="00473904" w:rsidRPr="000E4D98" w:rsidRDefault="006C0C83" w:rsidP="00C649E3">
            <w:pPr>
              <w:jc w:val="both"/>
              <w:rPr>
                <w:rFonts w:ascii="Times New Roman" w:hAnsi="Times New Roman" w:cs="Times New Roman"/>
                <w:sz w:val="24"/>
                <w:szCs w:val="24"/>
              </w:rPr>
            </w:pPr>
            <w:hyperlink r:id="rId12" w:history="1">
              <w:proofErr w:type="spellStart"/>
              <w:r w:rsidR="00473904" w:rsidRPr="000E4D98">
                <w:rPr>
                  <w:rFonts w:ascii="Times New Roman" w:hAnsi="Times New Roman" w:cs="Times New Roman"/>
                  <w:sz w:val="24"/>
                  <w:szCs w:val="24"/>
                </w:rPr>
                <w:t>Climate-related</w:t>
              </w:r>
              <w:proofErr w:type="spellEnd"/>
              <w:r w:rsidR="00473904" w:rsidRPr="000E4D98">
                <w:rPr>
                  <w:rFonts w:ascii="Times New Roman" w:hAnsi="Times New Roman" w:cs="Times New Roman"/>
                  <w:sz w:val="24"/>
                  <w:szCs w:val="24"/>
                </w:rPr>
                <w:t xml:space="preserve"> </w:t>
              </w:r>
              <w:proofErr w:type="spellStart"/>
              <w:r w:rsidR="00473904" w:rsidRPr="000E4D98">
                <w:rPr>
                  <w:rFonts w:ascii="Times New Roman" w:hAnsi="Times New Roman" w:cs="Times New Roman"/>
                  <w:sz w:val="24"/>
                  <w:szCs w:val="24"/>
                </w:rPr>
                <w:t>Disclosures</w:t>
              </w:r>
              <w:proofErr w:type="spellEnd"/>
            </w:hyperlink>
          </w:p>
        </w:tc>
        <w:tc>
          <w:tcPr>
            <w:tcW w:w="2407" w:type="dxa"/>
          </w:tcPr>
          <w:p w14:paraId="0BC6B4C3"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Стандарт раскрытия информации об устойчивости МСФО</w:t>
            </w:r>
          </w:p>
        </w:tc>
        <w:tc>
          <w:tcPr>
            <w:tcW w:w="2407" w:type="dxa"/>
          </w:tcPr>
          <w:p w14:paraId="611160CC"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w:t>
            </w:r>
          </w:p>
        </w:tc>
      </w:tr>
      <w:tr w:rsidR="00473904" w:rsidRPr="00A5444B" w14:paraId="46FC2257" w14:textId="77777777" w:rsidTr="00C649E3">
        <w:tc>
          <w:tcPr>
            <w:tcW w:w="2407" w:type="dxa"/>
          </w:tcPr>
          <w:p w14:paraId="1AAA696C"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Проект в области устойчивого развития</w:t>
            </w:r>
          </w:p>
        </w:tc>
        <w:tc>
          <w:tcPr>
            <w:tcW w:w="2407" w:type="dxa"/>
          </w:tcPr>
          <w:p w14:paraId="169B01DE" w14:textId="77777777" w:rsidR="00473904" w:rsidRPr="000E4D98" w:rsidRDefault="006C0C83" w:rsidP="00C649E3">
            <w:pPr>
              <w:jc w:val="both"/>
              <w:rPr>
                <w:rFonts w:ascii="Times New Roman" w:hAnsi="Times New Roman" w:cs="Times New Roman"/>
                <w:sz w:val="24"/>
                <w:szCs w:val="24"/>
              </w:rPr>
            </w:pPr>
            <w:hyperlink r:id="rId13" w:history="1">
              <w:proofErr w:type="spellStart"/>
              <w:r w:rsidR="00473904" w:rsidRPr="000E4D98">
                <w:rPr>
                  <w:rFonts w:ascii="Times New Roman" w:hAnsi="Times New Roman" w:cs="Times New Roman"/>
                  <w:sz w:val="24"/>
                  <w:szCs w:val="24"/>
                </w:rPr>
                <w:t>General</w:t>
              </w:r>
              <w:proofErr w:type="spellEnd"/>
              <w:r w:rsidR="00473904" w:rsidRPr="000E4D98">
                <w:rPr>
                  <w:rFonts w:ascii="Times New Roman" w:hAnsi="Times New Roman" w:cs="Times New Roman"/>
                  <w:sz w:val="24"/>
                  <w:szCs w:val="24"/>
                </w:rPr>
                <w:t xml:space="preserve"> </w:t>
              </w:r>
              <w:proofErr w:type="spellStart"/>
              <w:r w:rsidR="00473904" w:rsidRPr="000E4D98">
                <w:rPr>
                  <w:rFonts w:ascii="Times New Roman" w:hAnsi="Times New Roman" w:cs="Times New Roman"/>
                  <w:sz w:val="24"/>
                  <w:szCs w:val="24"/>
                </w:rPr>
                <w:t>Sustainability-related</w:t>
              </w:r>
              <w:proofErr w:type="spellEnd"/>
              <w:r w:rsidR="00473904" w:rsidRPr="000E4D98">
                <w:rPr>
                  <w:rFonts w:ascii="Times New Roman" w:hAnsi="Times New Roman" w:cs="Times New Roman"/>
                  <w:sz w:val="24"/>
                  <w:szCs w:val="24"/>
                </w:rPr>
                <w:t xml:space="preserve"> </w:t>
              </w:r>
              <w:proofErr w:type="spellStart"/>
              <w:r w:rsidR="00473904" w:rsidRPr="000E4D98">
                <w:rPr>
                  <w:rFonts w:ascii="Times New Roman" w:hAnsi="Times New Roman" w:cs="Times New Roman"/>
                  <w:sz w:val="24"/>
                  <w:szCs w:val="24"/>
                </w:rPr>
                <w:t>Disclosures</w:t>
              </w:r>
              <w:proofErr w:type="spellEnd"/>
            </w:hyperlink>
          </w:p>
        </w:tc>
        <w:tc>
          <w:tcPr>
            <w:tcW w:w="2407" w:type="dxa"/>
          </w:tcPr>
          <w:p w14:paraId="53A36CE0"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Стандарт раскрытия информации об устойчивости МСФО</w:t>
            </w:r>
          </w:p>
        </w:tc>
        <w:tc>
          <w:tcPr>
            <w:tcW w:w="2407" w:type="dxa"/>
          </w:tcPr>
          <w:p w14:paraId="3F94B54D"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w:t>
            </w:r>
          </w:p>
        </w:tc>
      </w:tr>
      <w:tr w:rsidR="00473904" w:rsidRPr="00A5444B" w14:paraId="400429A8" w14:textId="77777777" w:rsidTr="00C649E3">
        <w:tc>
          <w:tcPr>
            <w:tcW w:w="2407" w:type="dxa"/>
          </w:tcPr>
          <w:p w14:paraId="51BE3580" w14:textId="77777777" w:rsidR="00473904" w:rsidRPr="000E4D98" w:rsidRDefault="00473904" w:rsidP="00134566">
            <w:pPr>
              <w:jc w:val="both"/>
              <w:rPr>
                <w:rFonts w:ascii="Times New Roman" w:hAnsi="Times New Roman" w:cs="Times New Roman"/>
                <w:sz w:val="24"/>
                <w:szCs w:val="24"/>
              </w:rPr>
            </w:pPr>
            <w:r w:rsidRPr="000E4D98">
              <w:rPr>
                <w:rFonts w:ascii="Times New Roman" w:hAnsi="Times New Roman" w:cs="Times New Roman"/>
                <w:sz w:val="24"/>
                <w:szCs w:val="24"/>
              </w:rPr>
              <w:t xml:space="preserve">Проект по </w:t>
            </w:r>
            <w:r w:rsidR="00134566" w:rsidRPr="000E4D98">
              <w:rPr>
                <w:rFonts w:ascii="Times New Roman" w:hAnsi="Times New Roman" w:cs="Times New Roman"/>
                <w:sz w:val="24"/>
                <w:szCs w:val="24"/>
              </w:rPr>
              <w:t>таксономии</w:t>
            </w:r>
          </w:p>
        </w:tc>
        <w:tc>
          <w:tcPr>
            <w:tcW w:w="2407" w:type="dxa"/>
          </w:tcPr>
          <w:p w14:paraId="09175DCC" w14:textId="77777777" w:rsidR="00473904" w:rsidRPr="000E4D98" w:rsidRDefault="006C0C83" w:rsidP="00C649E3">
            <w:pPr>
              <w:jc w:val="both"/>
              <w:rPr>
                <w:rFonts w:ascii="Times New Roman" w:hAnsi="Times New Roman" w:cs="Times New Roman"/>
                <w:sz w:val="24"/>
                <w:szCs w:val="24"/>
              </w:rPr>
            </w:pPr>
            <w:hyperlink r:id="rId14" w:history="1">
              <w:r w:rsidR="00473904" w:rsidRPr="000E4D98">
                <w:rPr>
                  <w:rFonts w:ascii="Times New Roman" w:hAnsi="Times New Roman" w:cs="Times New Roman"/>
                  <w:sz w:val="24"/>
                  <w:szCs w:val="24"/>
                </w:rPr>
                <w:t xml:space="preserve">IFRS </w:t>
              </w:r>
              <w:proofErr w:type="spellStart"/>
              <w:r w:rsidR="00473904" w:rsidRPr="000E4D98">
                <w:rPr>
                  <w:rFonts w:ascii="Times New Roman" w:hAnsi="Times New Roman" w:cs="Times New Roman"/>
                  <w:sz w:val="24"/>
                  <w:szCs w:val="24"/>
                </w:rPr>
                <w:t>Sustainability</w:t>
              </w:r>
              <w:proofErr w:type="spellEnd"/>
              <w:r w:rsidR="00473904" w:rsidRPr="000E4D98">
                <w:rPr>
                  <w:rFonts w:ascii="Times New Roman" w:hAnsi="Times New Roman" w:cs="Times New Roman"/>
                  <w:sz w:val="24"/>
                  <w:szCs w:val="24"/>
                </w:rPr>
                <w:t xml:space="preserve"> </w:t>
              </w:r>
              <w:proofErr w:type="spellStart"/>
              <w:r w:rsidR="00473904" w:rsidRPr="000E4D98">
                <w:rPr>
                  <w:rFonts w:ascii="Times New Roman" w:hAnsi="Times New Roman" w:cs="Times New Roman"/>
                  <w:sz w:val="24"/>
                  <w:szCs w:val="24"/>
                </w:rPr>
                <w:t>Disclosure</w:t>
              </w:r>
              <w:proofErr w:type="spellEnd"/>
              <w:r w:rsidR="00473904" w:rsidRPr="000E4D98">
                <w:rPr>
                  <w:rFonts w:ascii="Times New Roman" w:hAnsi="Times New Roman" w:cs="Times New Roman"/>
                  <w:sz w:val="24"/>
                  <w:szCs w:val="24"/>
                </w:rPr>
                <w:t xml:space="preserve"> </w:t>
              </w:r>
              <w:proofErr w:type="spellStart"/>
              <w:r w:rsidR="00473904" w:rsidRPr="000E4D98">
                <w:rPr>
                  <w:rFonts w:ascii="Times New Roman" w:hAnsi="Times New Roman" w:cs="Times New Roman"/>
                  <w:sz w:val="24"/>
                  <w:szCs w:val="24"/>
                </w:rPr>
                <w:t>Taxonomy</w:t>
              </w:r>
              <w:proofErr w:type="spellEnd"/>
            </w:hyperlink>
          </w:p>
        </w:tc>
        <w:tc>
          <w:tcPr>
            <w:tcW w:w="2407" w:type="dxa"/>
          </w:tcPr>
          <w:p w14:paraId="60761CF8"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Обратная связь по запросу персонала на обратную связь</w:t>
            </w:r>
          </w:p>
        </w:tc>
        <w:tc>
          <w:tcPr>
            <w:tcW w:w="2407" w:type="dxa"/>
          </w:tcPr>
          <w:p w14:paraId="2E424956"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Ноябрь 2022</w:t>
            </w:r>
          </w:p>
        </w:tc>
      </w:tr>
      <w:tr w:rsidR="00473904" w:rsidRPr="00A5444B" w14:paraId="3D27C4D6" w14:textId="77777777" w:rsidTr="00C649E3">
        <w:tc>
          <w:tcPr>
            <w:tcW w:w="2407" w:type="dxa"/>
          </w:tcPr>
          <w:p w14:paraId="7ABEDB75"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Проект стратегического управления</w:t>
            </w:r>
          </w:p>
        </w:tc>
        <w:tc>
          <w:tcPr>
            <w:tcW w:w="2407" w:type="dxa"/>
          </w:tcPr>
          <w:p w14:paraId="06F61802" w14:textId="588C32AE" w:rsidR="00473904" w:rsidRPr="000E4D98" w:rsidRDefault="006C0C83" w:rsidP="00C649E3">
            <w:pPr>
              <w:jc w:val="both"/>
              <w:rPr>
                <w:rFonts w:ascii="Times New Roman" w:hAnsi="Times New Roman" w:cs="Times New Roman"/>
                <w:sz w:val="24"/>
                <w:szCs w:val="24"/>
                <w:lang w:val="en-US"/>
              </w:rPr>
            </w:pPr>
            <w:hyperlink r:id="rId15" w:history="1">
              <w:r w:rsidR="00B10B9D" w:rsidRPr="00C9641F">
                <w:rPr>
                  <w:rFonts w:ascii="Times New Roman" w:hAnsi="Times New Roman" w:cs="Times New Roman"/>
                  <w:sz w:val="24"/>
                  <w:szCs w:val="24"/>
                  <w:lang w:val="en-US"/>
                </w:rPr>
                <w:t>ISSB Consultation on Agenda Priorities</w:t>
              </w:r>
            </w:hyperlink>
          </w:p>
        </w:tc>
        <w:tc>
          <w:tcPr>
            <w:tcW w:w="2407" w:type="dxa"/>
          </w:tcPr>
          <w:p w14:paraId="2A03CBFC"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Запрос информации</w:t>
            </w:r>
          </w:p>
        </w:tc>
        <w:tc>
          <w:tcPr>
            <w:tcW w:w="2407" w:type="dxa"/>
          </w:tcPr>
          <w:p w14:paraId="6EB5526B" w14:textId="77777777" w:rsidR="00473904" w:rsidRPr="000E4D98" w:rsidRDefault="00473904" w:rsidP="00C649E3">
            <w:pPr>
              <w:jc w:val="both"/>
              <w:rPr>
                <w:rFonts w:ascii="Times New Roman" w:hAnsi="Times New Roman" w:cs="Times New Roman"/>
                <w:sz w:val="24"/>
                <w:szCs w:val="24"/>
              </w:rPr>
            </w:pPr>
            <w:r w:rsidRPr="000E4D98">
              <w:rPr>
                <w:rFonts w:ascii="Times New Roman" w:hAnsi="Times New Roman" w:cs="Times New Roman"/>
                <w:sz w:val="24"/>
                <w:szCs w:val="24"/>
              </w:rPr>
              <w:t>Декабрь 2022</w:t>
            </w:r>
          </w:p>
        </w:tc>
      </w:tr>
    </w:tbl>
    <w:p w14:paraId="39B72A39" w14:textId="561A9E34" w:rsidR="00473904" w:rsidRPr="002D2A3F" w:rsidRDefault="007204D1" w:rsidP="009E7B14">
      <w:pPr>
        <w:spacing w:line="240" w:lineRule="auto"/>
        <w:jc w:val="both"/>
        <w:rPr>
          <w:rFonts w:ascii="Times New Roman" w:hAnsi="Times New Roman" w:cs="Times New Roman"/>
          <w:sz w:val="24"/>
          <w:szCs w:val="28"/>
        </w:rPr>
      </w:pPr>
      <w:r w:rsidRPr="000A2124">
        <w:rPr>
          <w:rFonts w:ascii="Times New Roman" w:hAnsi="Times New Roman" w:cs="Times New Roman"/>
          <w:sz w:val="24"/>
          <w:szCs w:val="28"/>
        </w:rPr>
        <w:t xml:space="preserve">Источник: </w:t>
      </w:r>
      <w:r w:rsidR="00F40A82">
        <w:rPr>
          <w:rFonts w:ascii="Times New Roman" w:hAnsi="Times New Roman" w:cs="Times New Roman"/>
          <w:sz w:val="24"/>
          <w:szCs w:val="28"/>
        </w:rPr>
        <w:t>[24</w:t>
      </w:r>
      <w:r w:rsidR="00AB1778" w:rsidRPr="002D2A3F">
        <w:rPr>
          <w:rFonts w:ascii="Times New Roman" w:hAnsi="Times New Roman" w:cs="Times New Roman"/>
          <w:sz w:val="24"/>
          <w:szCs w:val="28"/>
        </w:rPr>
        <w:t>]</w:t>
      </w:r>
    </w:p>
    <w:p w14:paraId="42DB9670" w14:textId="77777777" w:rsidR="00B973DD" w:rsidRPr="00BD3F35" w:rsidRDefault="00BB0409" w:rsidP="00F83306">
      <w:pPr>
        <w:spacing w:after="0" w:line="360" w:lineRule="auto"/>
        <w:ind w:firstLine="708"/>
        <w:jc w:val="both"/>
        <w:rPr>
          <w:rFonts w:ascii="Times New Roman" w:hAnsi="Times New Roman" w:cs="Times New Roman"/>
          <w:sz w:val="28"/>
          <w:szCs w:val="28"/>
        </w:rPr>
      </w:pPr>
      <w:r w:rsidRPr="00BD3F35">
        <w:rPr>
          <w:rFonts w:ascii="Times New Roman" w:hAnsi="Times New Roman" w:cs="Times New Roman"/>
          <w:sz w:val="28"/>
          <w:szCs w:val="28"/>
        </w:rPr>
        <w:t xml:space="preserve">За время до начала активной работы ISSB Попечителями Фонда МСФО была создана Рабочая группа по технической готовности (TRWG), в которую вошли ключевые организации и инициативы, направленные на устойчивое развитие и </w:t>
      </w:r>
      <w:r w:rsidR="00424005" w:rsidRPr="00BD3F35">
        <w:rPr>
          <w:rFonts w:ascii="Times New Roman" w:hAnsi="Times New Roman" w:cs="Times New Roman"/>
          <w:sz w:val="28"/>
          <w:szCs w:val="28"/>
        </w:rPr>
        <w:t>создание интегрированной отчетности</w:t>
      </w:r>
      <w:r w:rsidRPr="00BD3F35">
        <w:rPr>
          <w:rFonts w:ascii="Times New Roman" w:hAnsi="Times New Roman" w:cs="Times New Roman"/>
          <w:sz w:val="28"/>
          <w:szCs w:val="28"/>
        </w:rPr>
        <w:t xml:space="preserve"> для инвесторов. TRWG </w:t>
      </w:r>
      <w:r w:rsidRPr="00BD3F35">
        <w:rPr>
          <w:rFonts w:ascii="Times New Roman" w:hAnsi="Times New Roman" w:cs="Times New Roman"/>
          <w:sz w:val="28"/>
          <w:szCs w:val="28"/>
        </w:rPr>
        <w:lastRenderedPageBreak/>
        <w:t>создала рекомендации для ISSB, содержащие информацию для разработки унифицированных прототипов</w:t>
      </w:r>
      <w:r w:rsidR="00424005" w:rsidRPr="00BD3F35">
        <w:rPr>
          <w:rFonts w:ascii="Times New Roman" w:hAnsi="Times New Roman" w:cs="Times New Roman"/>
          <w:sz w:val="28"/>
          <w:szCs w:val="28"/>
        </w:rPr>
        <w:t>,</w:t>
      </w:r>
      <w:r w:rsidRPr="00BD3F35">
        <w:rPr>
          <w:rFonts w:ascii="Times New Roman" w:hAnsi="Times New Roman" w:cs="Times New Roman"/>
          <w:sz w:val="28"/>
          <w:szCs w:val="28"/>
        </w:rPr>
        <w:t xml:space="preserve"> для помощи в создании стандартов S1 и S2. </w:t>
      </w:r>
      <w:r w:rsidR="00424005" w:rsidRPr="00BD3F35">
        <w:rPr>
          <w:rFonts w:ascii="Times New Roman" w:hAnsi="Times New Roman" w:cs="Times New Roman"/>
          <w:sz w:val="28"/>
          <w:szCs w:val="28"/>
        </w:rPr>
        <w:t xml:space="preserve"> </w:t>
      </w:r>
    </w:p>
    <w:p w14:paraId="0302A517" w14:textId="215433F9" w:rsidR="002B7FCC" w:rsidRPr="002B7FCC" w:rsidRDefault="002B7FCC" w:rsidP="002B7FCC">
      <w:pPr>
        <w:spacing w:after="0" w:line="360" w:lineRule="auto"/>
        <w:ind w:firstLine="708"/>
        <w:jc w:val="both"/>
        <w:rPr>
          <w:rFonts w:ascii="Times New Roman" w:hAnsi="Times New Roman" w:cs="Times New Roman"/>
          <w:sz w:val="28"/>
          <w:szCs w:val="28"/>
        </w:rPr>
      </w:pPr>
      <w:r w:rsidRPr="002B7FCC">
        <w:rPr>
          <w:rFonts w:ascii="Times New Roman" w:hAnsi="Times New Roman" w:cs="Times New Roman"/>
          <w:sz w:val="28"/>
          <w:szCs w:val="28"/>
        </w:rPr>
        <w:t>К настоящему времени Совет выпустил проекты 2 документов:</w:t>
      </w:r>
      <w:r w:rsidR="0048679E" w:rsidRPr="002B7FCC">
        <w:rPr>
          <w:rFonts w:ascii="Times New Roman" w:hAnsi="Times New Roman" w:cs="Times New Roman"/>
          <w:sz w:val="28"/>
          <w:szCs w:val="28"/>
        </w:rPr>
        <w:t xml:space="preserve"> </w:t>
      </w:r>
    </w:p>
    <w:p w14:paraId="3E8CDC29" w14:textId="2B5FC8B7" w:rsidR="002B7FCC" w:rsidRDefault="009E7B14" w:rsidP="002B7FCC">
      <w:pPr>
        <w:pStyle w:val="a6"/>
        <w:numPr>
          <w:ilvl w:val="0"/>
          <w:numId w:val="10"/>
        </w:numPr>
        <w:spacing w:after="0" w:line="360" w:lineRule="auto"/>
        <w:jc w:val="both"/>
        <w:rPr>
          <w:rFonts w:ascii="Times New Roman" w:hAnsi="Times New Roman" w:cs="Times New Roman"/>
          <w:sz w:val="28"/>
          <w:szCs w:val="28"/>
        </w:rPr>
      </w:pPr>
      <w:r w:rsidRPr="002B7FCC">
        <w:rPr>
          <w:rFonts w:ascii="Times New Roman" w:hAnsi="Times New Roman" w:cs="Times New Roman"/>
          <w:sz w:val="28"/>
          <w:szCs w:val="28"/>
        </w:rPr>
        <w:t>IFRS</w:t>
      </w:r>
      <w:r w:rsidR="00985B11" w:rsidRPr="002B7FCC">
        <w:rPr>
          <w:rFonts w:ascii="Times New Roman" w:hAnsi="Times New Roman" w:cs="Times New Roman"/>
          <w:sz w:val="28"/>
          <w:szCs w:val="28"/>
        </w:rPr>
        <w:t xml:space="preserve"> S1 «Общие требования к раскрытию финансовой информации, связанной с устойчивым развитием»</w:t>
      </w:r>
      <w:r w:rsidR="00F40A82">
        <w:rPr>
          <w:rFonts w:ascii="Times New Roman" w:hAnsi="Times New Roman" w:cs="Times New Roman"/>
          <w:sz w:val="28"/>
          <w:szCs w:val="28"/>
        </w:rPr>
        <w:t xml:space="preserve"> [25</w:t>
      </w:r>
      <w:r w:rsidR="003B272F" w:rsidRPr="002B7FCC">
        <w:rPr>
          <w:rFonts w:ascii="Times New Roman" w:hAnsi="Times New Roman" w:cs="Times New Roman"/>
          <w:sz w:val="28"/>
          <w:szCs w:val="28"/>
        </w:rPr>
        <w:t>]</w:t>
      </w:r>
      <w:r w:rsidR="002D2A3F">
        <w:rPr>
          <w:rFonts w:ascii="Times New Roman" w:hAnsi="Times New Roman" w:cs="Times New Roman"/>
          <w:sz w:val="28"/>
          <w:szCs w:val="28"/>
        </w:rPr>
        <w:t>;</w:t>
      </w:r>
    </w:p>
    <w:p w14:paraId="7D271655" w14:textId="2C624F97" w:rsidR="0048679E" w:rsidRDefault="009E7B14" w:rsidP="002B7FCC">
      <w:pPr>
        <w:pStyle w:val="a6"/>
        <w:numPr>
          <w:ilvl w:val="0"/>
          <w:numId w:val="10"/>
        </w:numPr>
        <w:spacing w:after="0" w:line="360" w:lineRule="auto"/>
        <w:jc w:val="both"/>
        <w:rPr>
          <w:rFonts w:ascii="Times New Roman" w:hAnsi="Times New Roman" w:cs="Times New Roman"/>
          <w:sz w:val="28"/>
          <w:szCs w:val="28"/>
        </w:rPr>
      </w:pPr>
      <w:r w:rsidRPr="002B7FCC">
        <w:rPr>
          <w:rFonts w:ascii="Times New Roman" w:hAnsi="Times New Roman" w:cs="Times New Roman"/>
          <w:sz w:val="28"/>
          <w:szCs w:val="28"/>
        </w:rPr>
        <w:t>IFRS</w:t>
      </w:r>
      <w:r w:rsidR="00985B11" w:rsidRPr="002B7FCC">
        <w:rPr>
          <w:rFonts w:ascii="Times New Roman" w:hAnsi="Times New Roman" w:cs="Times New Roman"/>
          <w:sz w:val="28"/>
          <w:szCs w:val="28"/>
        </w:rPr>
        <w:t xml:space="preserve"> S2 «Раскрытие информации,</w:t>
      </w:r>
      <w:r w:rsidR="00BD3F35" w:rsidRPr="002B7FCC">
        <w:rPr>
          <w:rFonts w:ascii="Times New Roman" w:hAnsi="Times New Roman" w:cs="Times New Roman"/>
          <w:sz w:val="28"/>
          <w:szCs w:val="28"/>
        </w:rPr>
        <w:t> </w:t>
      </w:r>
      <w:r w:rsidR="00985B11" w:rsidRPr="002B7FCC">
        <w:rPr>
          <w:rFonts w:ascii="Times New Roman" w:hAnsi="Times New Roman" w:cs="Times New Roman"/>
          <w:sz w:val="28"/>
          <w:szCs w:val="28"/>
        </w:rPr>
        <w:t>связанной</w:t>
      </w:r>
      <w:r w:rsidR="00BD3F35" w:rsidRPr="002B7FCC">
        <w:rPr>
          <w:rFonts w:ascii="Times New Roman" w:hAnsi="Times New Roman" w:cs="Times New Roman"/>
          <w:sz w:val="28"/>
          <w:szCs w:val="28"/>
        </w:rPr>
        <w:t> </w:t>
      </w:r>
      <w:r w:rsidR="00985B11" w:rsidRPr="002B7FCC">
        <w:rPr>
          <w:rFonts w:ascii="Times New Roman" w:hAnsi="Times New Roman" w:cs="Times New Roman"/>
          <w:sz w:val="28"/>
          <w:szCs w:val="28"/>
        </w:rPr>
        <w:t>с</w:t>
      </w:r>
      <w:r w:rsidR="00BD3F35" w:rsidRPr="002B7FCC">
        <w:rPr>
          <w:rFonts w:ascii="Times New Roman" w:hAnsi="Times New Roman" w:cs="Times New Roman"/>
          <w:sz w:val="28"/>
          <w:szCs w:val="28"/>
        </w:rPr>
        <w:t> </w:t>
      </w:r>
      <w:r w:rsidR="00985B11" w:rsidRPr="002B7FCC">
        <w:rPr>
          <w:rFonts w:ascii="Times New Roman" w:hAnsi="Times New Roman" w:cs="Times New Roman"/>
          <w:sz w:val="28"/>
          <w:szCs w:val="28"/>
        </w:rPr>
        <w:t>климатом»</w:t>
      </w:r>
      <w:r w:rsidR="00F40A82">
        <w:rPr>
          <w:rFonts w:ascii="Times New Roman" w:hAnsi="Times New Roman" w:cs="Times New Roman"/>
          <w:sz w:val="28"/>
          <w:szCs w:val="28"/>
        </w:rPr>
        <w:t xml:space="preserve"> [26</w:t>
      </w:r>
      <w:r w:rsidR="003B272F" w:rsidRPr="002B7FCC">
        <w:rPr>
          <w:rFonts w:ascii="Times New Roman" w:hAnsi="Times New Roman" w:cs="Times New Roman"/>
          <w:sz w:val="28"/>
          <w:szCs w:val="28"/>
        </w:rPr>
        <w:t>]</w:t>
      </w:r>
      <w:r w:rsidR="00985B11" w:rsidRPr="002B7FCC">
        <w:rPr>
          <w:rFonts w:ascii="Times New Roman" w:hAnsi="Times New Roman" w:cs="Times New Roman"/>
          <w:sz w:val="28"/>
          <w:szCs w:val="28"/>
        </w:rPr>
        <w:t>.</w:t>
      </w:r>
      <w:r w:rsidR="003B272F" w:rsidRPr="002B7FCC">
        <w:rPr>
          <w:rFonts w:ascii="Times New Roman" w:hAnsi="Times New Roman" w:cs="Times New Roman"/>
          <w:sz w:val="28"/>
          <w:szCs w:val="28"/>
        </w:rPr>
        <w:t xml:space="preserve"> </w:t>
      </w:r>
    </w:p>
    <w:p w14:paraId="5F90BE4D" w14:textId="31A64BB9" w:rsidR="009E7B14" w:rsidRDefault="002D2A3F" w:rsidP="008B4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документе рассматриваются вопросы, связанные с раскрытием финансовой информации, связанной с устойчивым развитием, а также связанных с этим возникающими рисками и возможностями для компании – все это позволит получать рынку полный спектр информации в области устойчивого развития компании. </w:t>
      </w:r>
      <w:r w:rsidR="00D92FB3">
        <w:rPr>
          <w:rFonts w:ascii="Times New Roman" w:hAnsi="Times New Roman" w:cs="Times New Roman"/>
          <w:sz w:val="28"/>
          <w:szCs w:val="28"/>
        </w:rPr>
        <w:t>В данном документ</w:t>
      </w:r>
      <w:r w:rsidR="00661F25">
        <w:rPr>
          <w:rFonts w:ascii="Times New Roman" w:hAnsi="Times New Roman" w:cs="Times New Roman"/>
          <w:sz w:val="28"/>
          <w:szCs w:val="28"/>
        </w:rPr>
        <w:t xml:space="preserve"> н</w:t>
      </w:r>
      <w:r w:rsidR="00D92FB3">
        <w:rPr>
          <w:rFonts w:ascii="Times New Roman" w:hAnsi="Times New Roman" w:cs="Times New Roman"/>
          <w:sz w:val="28"/>
          <w:szCs w:val="28"/>
        </w:rPr>
        <w:t>ефинансовая отчетность и отчетность по устойчивому развитию будут представлять единый</w:t>
      </w:r>
      <w:r w:rsidR="008B4B43">
        <w:rPr>
          <w:rFonts w:ascii="Times New Roman" w:hAnsi="Times New Roman" w:cs="Times New Roman"/>
          <w:sz w:val="28"/>
          <w:szCs w:val="28"/>
        </w:rPr>
        <w:t xml:space="preserve"> набор</w:t>
      </w:r>
      <w:r w:rsidR="00D92FB3">
        <w:rPr>
          <w:rFonts w:ascii="Times New Roman" w:hAnsi="Times New Roman" w:cs="Times New Roman"/>
          <w:sz w:val="28"/>
          <w:szCs w:val="28"/>
        </w:rPr>
        <w:t xml:space="preserve"> документов</w:t>
      </w:r>
      <w:r w:rsidR="00F40A82">
        <w:rPr>
          <w:rFonts w:ascii="Times New Roman" w:hAnsi="Times New Roman" w:cs="Times New Roman"/>
          <w:sz w:val="28"/>
          <w:szCs w:val="28"/>
        </w:rPr>
        <w:t xml:space="preserve"> [27</w:t>
      </w:r>
      <w:r w:rsidR="008B4B43">
        <w:rPr>
          <w:rFonts w:ascii="Times New Roman" w:hAnsi="Times New Roman" w:cs="Times New Roman"/>
          <w:sz w:val="28"/>
          <w:szCs w:val="28"/>
        </w:rPr>
        <w:t>], но</w:t>
      </w:r>
      <w:r w:rsidR="00FC100C">
        <w:rPr>
          <w:rFonts w:ascii="Times New Roman" w:hAnsi="Times New Roman" w:cs="Times New Roman"/>
          <w:sz w:val="28"/>
          <w:szCs w:val="28"/>
        </w:rPr>
        <w:t xml:space="preserve"> в то же время </w:t>
      </w:r>
      <w:r w:rsidR="008B4B43">
        <w:rPr>
          <w:rFonts w:ascii="Times New Roman" w:hAnsi="Times New Roman" w:cs="Times New Roman"/>
          <w:sz w:val="28"/>
          <w:szCs w:val="28"/>
        </w:rPr>
        <w:t>вопрос публикации отчетов остается открытым, имея несколько путей развития: отчет об устойчивом развитии включается в финансовую отчетность или в нефинансовой отчетности отражается влияние на финансовые показатели. Но уже сейчас существуют проблемы, связанные с регламентацией проекта стандарта, и пути их решения [2</w:t>
      </w:r>
      <w:r w:rsidR="00F40A82" w:rsidRPr="00F40A82">
        <w:rPr>
          <w:rFonts w:ascii="Times New Roman" w:hAnsi="Times New Roman" w:cs="Times New Roman"/>
          <w:sz w:val="28"/>
          <w:szCs w:val="28"/>
        </w:rPr>
        <w:t>8</w:t>
      </w:r>
      <w:r w:rsidR="008B4B43">
        <w:rPr>
          <w:rFonts w:ascii="Times New Roman" w:hAnsi="Times New Roman" w:cs="Times New Roman"/>
          <w:sz w:val="28"/>
          <w:szCs w:val="28"/>
        </w:rPr>
        <w:t>]. Второй проект посвящен особенностям отражения информации компанией, связанным с ее подверженностью рискам и возможностям в связи с изменениями климата</w:t>
      </w:r>
      <w:r w:rsidR="007941F6" w:rsidRPr="00BD3F35">
        <w:rPr>
          <w:rFonts w:ascii="Times New Roman" w:hAnsi="Times New Roman" w:cs="Times New Roman"/>
          <w:sz w:val="28"/>
          <w:szCs w:val="28"/>
        </w:rPr>
        <w:t xml:space="preserve">. </w:t>
      </w:r>
    </w:p>
    <w:p w14:paraId="118268A3" w14:textId="648CB25F" w:rsidR="005B5A9F" w:rsidRPr="00A554D4" w:rsidRDefault="00EC0767" w:rsidP="008657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Важным аспектом является </w:t>
      </w:r>
      <w:r w:rsidR="0013669D">
        <w:rPr>
          <w:rFonts w:ascii="Times New Roman" w:hAnsi="Times New Roman" w:cs="Times New Roman"/>
          <w:sz w:val="28"/>
          <w:szCs w:val="28"/>
        </w:rPr>
        <w:t xml:space="preserve">взаимодействие </w:t>
      </w:r>
      <w:r w:rsidR="0013669D">
        <w:rPr>
          <w:rFonts w:ascii="Times New Roman" w:hAnsi="Times New Roman" w:cs="Times New Roman"/>
          <w:sz w:val="28"/>
          <w:szCs w:val="28"/>
          <w:lang w:val="en-US"/>
        </w:rPr>
        <w:t>ISSB</w:t>
      </w:r>
      <w:r>
        <w:rPr>
          <w:rFonts w:ascii="Times New Roman" w:hAnsi="Times New Roman" w:cs="Times New Roman"/>
          <w:sz w:val="28"/>
          <w:szCs w:val="28"/>
        </w:rPr>
        <w:t xml:space="preserve"> с </w:t>
      </w:r>
      <w:r w:rsidR="0013669D">
        <w:rPr>
          <w:rFonts w:ascii="Times New Roman" w:hAnsi="Times New Roman" w:cs="Times New Roman"/>
          <w:sz w:val="28"/>
          <w:szCs w:val="28"/>
        </w:rPr>
        <w:t>профессиональными</w:t>
      </w:r>
      <w:r>
        <w:rPr>
          <w:rFonts w:ascii="Times New Roman" w:hAnsi="Times New Roman" w:cs="Times New Roman"/>
          <w:sz w:val="28"/>
          <w:szCs w:val="28"/>
        </w:rPr>
        <w:t xml:space="preserve"> </w:t>
      </w:r>
      <w:r w:rsidR="0013669D">
        <w:rPr>
          <w:rFonts w:ascii="Times New Roman" w:hAnsi="Times New Roman" w:cs="Times New Roman"/>
          <w:sz w:val="28"/>
          <w:szCs w:val="28"/>
        </w:rPr>
        <w:t xml:space="preserve">сообществами, которые активно поддерживают созданный Совет и его деятельность, а также активно участвуют в обсуждениях </w:t>
      </w:r>
      <w:r w:rsidR="0086576A">
        <w:rPr>
          <w:rFonts w:ascii="Times New Roman" w:hAnsi="Times New Roman" w:cs="Times New Roman"/>
          <w:sz w:val="28"/>
          <w:szCs w:val="28"/>
        </w:rPr>
        <w:t>проектов</w:t>
      </w:r>
      <w:r w:rsidR="0086576A" w:rsidRPr="0086576A">
        <w:rPr>
          <w:rFonts w:ascii="Times New Roman" w:hAnsi="Times New Roman" w:cs="Times New Roman"/>
          <w:sz w:val="28"/>
          <w:szCs w:val="28"/>
        </w:rPr>
        <w:t xml:space="preserve"> [</w:t>
      </w:r>
      <w:r w:rsidR="00F40A82" w:rsidRPr="00F40A82">
        <w:rPr>
          <w:rFonts w:ascii="Times New Roman" w:hAnsi="Times New Roman" w:cs="Times New Roman"/>
          <w:sz w:val="28"/>
          <w:szCs w:val="28"/>
        </w:rPr>
        <w:t>30, 31, 32, 33</w:t>
      </w:r>
      <w:r w:rsidR="0086576A" w:rsidRPr="0086576A">
        <w:rPr>
          <w:rFonts w:ascii="Times New Roman" w:hAnsi="Times New Roman" w:cs="Times New Roman"/>
          <w:sz w:val="28"/>
          <w:szCs w:val="28"/>
        </w:rPr>
        <w:t>]</w:t>
      </w:r>
      <w:r w:rsidR="0086576A">
        <w:rPr>
          <w:rFonts w:ascii="Times New Roman" w:hAnsi="Times New Roman" w:cs="Times New Roman"/>
          <w:sz w:val="28"/>
          <w:szCs w:val="28"/>
        </w:rPr>
        <w:t xml:space="preserve">. Для аудиторских и консалтинговых компаний такое активное участие обусловлено высокой значимостью данных инициатив, в связи с их основной деятельностью по составлению и проверки отчетностей компаний.  </w:t>
      </w:r>
    </w:p>
    <w:p w14:paraId="52F50084" w14:textId="77777777" w:rsidR="00EA2526" w:rsidRPr="00157FBA" w:rsidRDefault="00EA2526" w:rsidP="002663FA">
      <w:pPr>
        <w:spacing w:line="240" w:lineRule="auto"/>
        <w:jc w:val="both"/>
        <w:rPr>
          <w:rFonts w:ascii="Times New Roman" w:hAnsi="Times New Roman" w:cs="Times New Roman"/>
          <w:b/>
          <w:sz w:val="28"/>
          <w:szCs w:val="24"/>
        </w:rPr>
      </w:pPr>
      <w:r w:rsidRPr="00157FBA">
        <w:rPr>
          <w:rFonts w:ascii="Times New Roman" w:hAnsi="Times New Roman" w:cs="Times New Roman"/>
          <w:b/>
          <w:sz w:val="28"/>
          <w:szCs w:val="24"/>
        </w:rPr>
        <w:t>Итоги</w:t>
      </w:r>
      <w:r w:rsidR="00BD3F35" w:rsidRPr="00157FBA">
        <w:rPr>
          <w:rFonts w:ascii="Times New Roman" w:hAnsi="Times New Roman" w:cs="Times New Roman"/>
          <w:b/>
          <w:sz w:val="28"/>
          <w:szCs w:val="24"/>
        </w:rPr>
        <w:tab/>
      </w:r>
    </w:p>
    <w:p w14:paraId="34A4D396" w14:textId="58A1039E" w:rsidR="0095766D" w:rsidRDefault="0095766D" w:rsidP="00F833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Шанс для гармоничного развития нефинансовой и финансовой отчетности есть, что подтверждается </w:t>
      </w:r>
      <w:r w:rsidR="00095487">
        <w:rPr>
          <w:rFonts w:ascii="Times New Roman" w:hAnsi="Times New Roman" w:cs="Times New Roman"/>
          <w:sz w:val="28"/>
          <w:szCs w:val="28"/>
        </w:rPr>
        <w:t xml:space="preserve">созданием Совета по стандартам устойчивого развития в структуре Фонда МСФО и его </w:t>
      </w:r>
      <w:r>
        <w:rPr>
          <w:rFonts w:ascii="Times New Roman" w:hAnsi="Times New Roman" w:cs="Times New Roman"/>
          <w:sz w:val="28"/>
          <w:szCs w:val="28"/>
        </w:rPr>
        <w:t xml:space="preserve">первыми проектами </w:t>
      </w:r>
      <w:r>
        <w:rPr>
          <w:rFonts w:ascii="Times New Roman" w:hAnsi="Times New Roman" w:cs="Times New Roman"/>
          <w:sz w:val="28"/>
          <w:szCs w:val="28"/>
        </w:rPr>
        <w:lastRenderedPageBreak/>
        <w:t xml:space="preserve">стандартов. Работа </w:t>
      </w:r>
      <w:r>
        <w:rPr>
          <w:rFonts w:ascii="Times New Roman" w:hAnsi="Times New Roman" w:cs="Times New Roman"/>
          <w:sz w:val="28"/>
          <w:szCs w:val="28"/>
          <w:lang w:val="en-US"/>
        </w:rPr>
        <w:t>ISSB</w:t>
      </w:r>
      <w:r>
        <w:rPr>
          <w:rFonts w:ascii="Times New Roman" w:hAnsi="Times New Roman" w:cs="Times New Roman"/>
          <w:sz w:val="28"/>
          <w:szCs w:val="28"/>
        </w:rPr>
        <w:t xml:space="preserve"> в сотрудничестве с</w:t>
      </w:r>
      <w:r w:rsidRPr="0095766D">
        <w:rPr>
          <w:rFonts w:ascii="Times New Roman" w:hAnsi="Times New Roman" w:cs="Times New Roman"/>
          <w:sz w:val="28"/>
          <w:szCs w:val="28"/>
        </w:rPr>
        <w:t xml:space="preserve"> </w:t>
      </w:r>
      <w:r>
        <w:rPr>
          <w:rFonts w:ascii="Times New Roman" w:hAnsi="Times New Roman" w:cs="Times New Roman"/>
          <w:sz w:val="28"/>
          <w:szCs w:val="28"/>
          <w:lang w:val="en-US"/>
        </w:rPr>
        <w:t>IASB</w:t>
      </w:r>
      <w:r>
        <w:rPr>
          <w:rFonts w:ascii="Times New Roman" w:hAnsi="Times New Roman" w:cs="Times New Roman"/>
          <w:sz w:val="28"/>
          <w:szCs w:val="28"/>
        </w:rPr>
        <w:t xml:space="preserve"> позволяет говорить о существовании будущей связи между финансовой и нефинансовой отчетностями, данных которых могут быть получены на основе интегрированной базы. При это финансовая отчетность сохранит свою востребованность среди </w:t>
      </w:r>
      <w:proofErr w:type="spellStart"/>
      <w:r>
        <w:rPr>
          <w:rFonts w:ascii="Times New Roman" w:hAnsi="Times New Roman" w:cs="Times New Roman"/>
          <w:sz w:val="28"/>
          <w:szCs w:val="28"/>
        </w:rPr>
        <w:t>стейкхолдеров</w:t>
      </w:r>
      <w:proofErr w:type="spellEnd"/>
      <w:r>
        <w:rPr>
          <w:rFonts w:ascii="Times New Roman" w:hAnsi="Times New Roman" w:cs="Times New Roman"/>
          <w:sz w:val="28"/>
          <w:szCs w:val="28"/>
        </w:rPr>
        <w:t xml:space="preserve"> и будет дополнена показателями, связанными с рисками и возможностями компании в области устойчивого развития.</w:t>
      </w:r>
    </w:p>
    <w:p w14:paraId="2651058B" w14:textId="1D00029C" w:rsidR="003A020B" w:rsidRPr="00296788" w:rsidRDefault="0095766D" w:rsidP="002967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95487">
        <w:rPr>
          <w:rFonts w:ascii="Times New Roman" w:hAnsi="Times New Roman" w:cs="Times New Roman"/>
          <w:sz w:val="28"/>
          <w:szCs w:val="28"/>
        </w:rPr>
        <w:t xml:space="preserve">Шаги, которые уже были осуществлены в этом направлении, помогут преодолеть проблемы, с которыми сталкиваются различные заинтересованные стороны. В частности, в части пользователей будут структурированы и понятны нефинансовые отчетности при выборе и изучении состояния компании, легче будет происходить процесс их сравнения, а также динамики их развития. Компании смогут оптимизировать свои временные и денежные затраты на составление и публикацию нефинансовых отчетностей и рассматривать их влияние на финансовую составляющую. А регуляторы получат единую базу для дальнейшего контроля и </w:t>
      </w:r>
      <w:r w:rsidR="00296788">
        <w:rPr>
          <w:rFonts w:ascii="Times New Roman" w:hAnsi="Times New Roman" w:cs="Times New Roman"/>
          <w:sz w:val="28"/>
          <w:szCs w:val="28"/>
        </w:rPr>
        <w:t>мониторинга выполнения</w:t>
      </w:r>
      <w:r w:rsidR="00095487">
        <w:rPr>
          <w:rFonts w:ascii="Times New Roman" w:hAnsi="Times New Roman" w:cs="Times New Roman"/>
          <w:sz w:val="28"/>
          <w:szCs w:val="28"/>
        </w:rPr>
        <w:t xml:space="preserve"> необходимых требований</w:t>
      </w:r>
      <w:r w:rsidR="00296788">
        <w:rPr>
          <w:rFonts w:ascii="Times New Roman" w:hAnsi="Times New Roman" w:cs="Times New Roman"/>
          <w:sz w:val="28"/>
          <w:szCs w:val="28"/>
        </w:rPr>
        <w:t>, а также вариант дальнейшего развития через сотрудничество и совместную работу между собой.</w:t>
      </w:r>
    </w:p>
    <w:p w14:paraId="0D4E7932" w14:textId="77777777" w:rsidR="00657FCA" w:rsidRPr="00F83306" w:rsidRDefault="00657FCA" w:rsidP="00657FCA">
      <w:pPr>
        <w:tabs>
          <w:tab w:val="left" w:pos="5256"/>
        </w:tabs>
        <w:spacing w:after="0" w:line="240" w:lineRule="auto"/>
        <w:jc w:val="center"/>
        <w:rPr>
          <w:rFonts w:ascii="Times New Roman" w:hAnsi="Times New Roman" w:cs="Times New Roman"/>
          <w:color w:val="000000"/>
          <w:sz w:val="24"/>
          <w:szCs w:val="24"/>
          <w:shd w:val="clear" w:color="auto" w:fill="FFFFFF"/>
        </w:rPr>
      </w:pPr>
      <w:r w:rsidRPr="00F83306">
        <w:rPr>
          <w:rFonts w:ascii="Times New Roman" w:hAnsi="Times New Roman" w:cs="Times New Roman"/>
          <w:color w:val="000000"/>
          <w:sz w:val="24"/>
          <w:szCs w:val="24"/>
          <w:shd w:val="clear" w:color="auto" w:fill="FFFFFF"/>
        </w:rPr>
        <w:t>Список литературы:</w:t>
      </w:r>
    </w:p>
    <w:p w14:paraId="168C2286" w14:textId="77777777" w:rsidR="00657FCA" w:rsidRPr="00F83306" w:rsidRDefault="00657FCA" w:rsidP="00657FCA">
      <w:pPr>
        <w:tabs>
          <w:tab w:val="left" w:pos="5256"/>
        </w:tabs>
        <w:spacing w:after="0" w:line="240" w:lineRule="auto"/>
        <w:jc w:val="both"/>
        <w:rPr>
          <w:rFonts w:ascii="Times New Roman" w:hAnsi="Times New Roman" w:cs="Times New Roman"/>
          <w:sz w:val="24"/>
          <w:szCs w:val="24"/>
        </w:rPr>
      </w:pPr>
    </w:p>
    <w:p w14:paraId="7DE398BD"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Does ESG really matter – and why? // McKinsey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mckinsey</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com</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capabilities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our</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insights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does</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esg</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really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matter</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and</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why</w:t>
      </w:r>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615395D7" w14:textId="77777777" w:rsidR="00F1017A"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2021 Sustainability reporting in focus S&amp;P 500+Russell 1000 // G&amp;A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ga</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institute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com</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research</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ga</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research</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directory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reporting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trends</w:t>
      </w:r>
      <w:r w:rsidRPr="00F83306">
        <w:rPr>
          <w:rFonts w:ascii="Times New Roman" w:eastAsia="Times New Roman" w:hAnsi="Times New Roman" w:cs="Times New Roman"/>
          <w:bCs/>
          <w:color w:val="000000" w:themeColor="text1"/>
          <w:kern w:val="36"/>
          <w:sz w:val="24"/>
          <w:szCs w:val="24"/>
          <w:lang w:eastAsia="ru-RU"/>
        </w:rPr>
        <w:t>/2021-</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reporting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in</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focus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html</w:t>
      </w:r>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2DB8E54C"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Report</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downloads</w:t>
      </w:r>
      <w:r w:rsidRPr="00F83306">
        <w:rPr>
          <w:rFonts w:ascii="Times New Roman" w:eastAsia="Times New Roman" w:hAnsi="Times New Roman" w:cs="Times New Roman"/>
          <w:bCs/>
          <w:color w:val="000000" w:themeColor="text1"/>
          <w:kern w:val="36"/>
          <w:sz w:val="24"/>
          <w:szCs w:val="24"/>
          <w:lang w:eastAsia="ru-RU"/>
        </w:rPr>
        <w:t xml:space="preserve"> // </w:t>
      </w:r>
      <w:r w:rsidRPr="00F83306">
        <w:rPr>
          <w:rFonts w:ascii="Times New Roman" w:eastAsia="Times New Roman" w:hAnsi="Times New Roman" w:cs="Times New Roman"/>
          <w:bCs/>
          <w:color w:val="000000" w:themeColor="text1"/>
          <w:kern w:val="36"/>
          <w:sz w:val="24"/>
          <w:szCs w:val="24"/>
          <w:lang w:val="en-US" w:eastAsia="ru-RU"/>
        </w:rPr>
        <w:t>PepsiCo</w:t>
      </w:r>
      <w:r w:rsidRPr="00F83306">
        <w:rPr>
          <w:rFonts w:ascii="Times New Roman" w:eastAsia="Times New Roman" w:hAnsi="Times New Roman" w:cs="Times New Roman"/>
          <w:bCs/>
          <w:color w:val="000000" w:themeColor="text1"/>
          <w:kern w:val="36"/>
          <w:sz w:val="24"/>
          <w:szCs w:val="24"/>
          <w:lang w:eastAsia="ru-RU"/>
        </w:rPr>
        <w:t xml:space="preserve"> [Электронный ресурс]. </w:t>
      </w:r>
      <w:r w:rsidRPr="00F83306">
        <w:rPr>
          <w:rFonts w:ascii="Times New Roman" w:eastAsia="Times New Roman" w:hAnsi="Times New Roman" w:cs="Times New Roman"/>
          <w:bCs/>
          <w:color w:val="000000" w:themeColor="text1"/>
          <w:kern w:val="36"/>
          <w:sz w:val="24"/>
          <w:szCs w:val="24"/>
          <w:lang w:val="en-US" w:eastAsia="ru-RU"/>
        </w:rPr>
        <w:t>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pepsico</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com</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our</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impact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report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downloads</w:t>
      </w:r>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13A4BFD6"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eastAsia="ru-RU"/>
        </w:rPr>
        <w:t xml:space="preserve">Отчетность об устойчивом развитии // Газпром [Электронный ресурс]. </w:t>
      </w:r>
      <w:r w:rsidRPr="00F83306">
        <w:rPr>
          <w:rFonts w:ascii="Times New Roman" w:eastAsia="Times New Roman" w:hAnsi="Times New Roman" w:cs="Times New Roman"/>
          <w:bCs/>
          <w:color w:val="000000" w:themeColor="text1"/>
          <w:kern w:val="36"/>
          <w:sz w:val="24"/>
          <w:szCs w:val="24"/>
          <w:lang w:val="en-US" w:eastAsia="ru-RU"/>
        </w:rPr>
        <w:t>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gazprom</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ru</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management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reports</w:t>
      </w:r>
      <w:r w:rsidRPr="00F83306">
        <w:rPr>
          <w:rFonts w:ascii="Times New Roman" w:eastAsia="Times New Roman" w:hAnsi="Times New Roman" w:cs="Times New Roman"/>
          <w:bCs/>
          <w:color w:val="000000" w:themeColor="text1"/>
          <w:kern w:val="36"/>
          <w:sz w:val="24"/>
          <w:szCs w:val="24"/>
          <w:lang w:eastAsia="ru-RU"/>
        </w:rPr>
        <w:t>/ (дата обращения: 02.10.2022).</w:t>
      </w:r>
    </w:p>
    <w:p w14:paraId="64082E47" w14:textId="77777777" w:rsidR="00F1017A"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451864">
        <w:rPr>
          <w:rFonts w:ascii="Times New Roman" w:eastAsia="Times New Roman" w:hAnsi="Times New Roman" w:cs="Times New Roman"/>
          <w:bCs/>
          <w:color w:val="000000" w:themeColor="text1"/>
          <w:kern w:val="36"/>
          <w:sz w:val="24"/>
          <w:szCs w:val="24"/>
          <w:lang w:eastAsia="ru-RU"/>
        </w:rPr>
        <w:t>Влияние нефинансовой информации на основные показатели российских компаний / Е. А. Федорова, Д. О. Афанасьев, Р. Г. Нерсесян, С. В. Ледяева // Журнал Новой экономической ассоциации. – 2020. – № 2(46). – С. 73-96. – DOI 10.31737/2221-2264-2020-46-2-4. – EDN TZLGCA.</w:t>
      </w:r>
    </w:p>
    <w:p w14:paraId="222D86BF"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 xml:space="preserve">What Is All </w:t>
      </w:r>
      <w:proofErr w:type="gramStart"/>
      <w:r w:rsidRPr="00F83306">
        <w:rPr>
          <w:rFonts w:ascii="Times New Roman" w:eastAsia="Times New Roman" w:hAnsi="Times New Roman" w:cs="Times New Roman"/>
          <w:bCs/>
          <w:color w:val="000000" w:themeColor="text1"/>
          <w:kern w:val="36"/>
          <w:sz w:val="24"/>
          <w:szCs w:val="24"/>
          <w:lang w:val="en-US" w:eastAsia="ru-RU"/>
        </w:rPr>
        <w:t>The</w:t>
      </w:r>
      <w:proofErr w:type="gramEnd"/>
      <w:r w:rsidRPr="00F83306">
        <w:rPr>
          <w:rFonts w:ascii="Times New Roman" w:eastAsia="Times New Roman" w:hAnsi="Times New Roman" w:cs="Times New Roman"/>
          <w:bCs/>
          <w:color w:val="000000" w:themeColor="text1"/>
          <w:kern w:val="36"/>
          <w:sz w:val="24"/>
          <w:szCs w:val="24"/>
          <w:lang w:val="en-US" w:eastAsia="ru-RU"/>
        </w:rPr>
        <w:t xml:space="preserve"> Fuss About ESG Ratings? // Forbes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forbes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com</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sites</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hugheynewsome</w:t>
      </w:r>
      <w:proofErr w:type="spellEnd"/>
      <w:r w:rsidRPr="00F83306">
        <w:rPr>
          <w:rFonts w:ascii="Times New Roman" w:eastAsia="Times New Roman" w:hAnsi="Times New Roman" w:cs="Times New Roman"/>
          <w:bCs/>
          <w:color w:val="000000" w:themeColor="text1"/>
          <w:kern w:val="36"/>
          <w:sz w:val="24"/>
          <w:szCs w:val="24"/>
          <w:lang w:eastAsia="ru-RU"/>
        </w:rPr>
        <w:t>/2022/07/26/</w:t>
      </w:r>
      <w:r w:rsidRPr="00F83306">
        <w:rPr>
          <w:rFonts w:ascii="Times New Roman" w:eastAsia="Times New Roman" w:hAnsi="Times New Roman" w:cs="Times New Roman"/>
          <w:bCs/>
          <w:color w:val="000000" w:themeColor="text1"/>
          <w:kern w:val="36"/>
          <w:sz w:val="24"/>
          <w:szCs w:val="24"/>
          <w:lang w:val="en-US" w:eastAsia="ru-RU"/>
        </w:rPr>
        <w:t>what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all</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the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fuss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about</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esg</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sh</w:t>
      </w:r>
      <w:proofErr w:type="spellEnd"/>
      <w:r w:rsidRPr="00F83306">
        <w:rPr>
          <w:rFonts w:ascii="Times New Roman" w:eastAsia="Times New Roman" w:hAnsi="Times New Roman" w:cs="Times New Roman"/>
          <w:bCs/>
          <w:color w:val="000000" w:themeColor="text1"/>
          <w:kern w:val="36"/>
          <w:sz w:val="24"/>
          <w:szCs w:val="24"/>
          <w:lang w:eastAsia="ru-RU"/>
        </w:rPr>
        <w:t>=33</w:t>
      </w:r>
      <w:r w:rsidRPr="00F83306">
        <w:rPr>
          <w:rFonts w:ascii="Times New Roman" w:eastAsia="Times New Roman" w:hAnsi="Times New Roman" w:cs="Times New Roman"/>
          <w:bCs/>
          <w:color w:val="000000" w:themeColor="text1"/>
          <w:kern w:val="36"/>
          <w:sz w:val="24"/>
          <w:szCs w:val="24"/>
          <w:lang w:val="en-US" w:eastAsia="ru-RU"/>
        </w:rPr>
        <w:t>f</w:t>
      </w:r>
      <w:r w:rsidRPr="00F83306">
        <w:rPr>
          <w:rFonts w:ascii="Times New Roman" w:eastAsia="Times New Roman" w:hAnsi="Times New Roman" w:cs="Times New Roman"/>
          <w:bCs/>
          <w:color w:val="000000" w:themeColor="text1"/>
          <w:kern w:val="36"/>
          <w:sz w:val="24"/>
          <w:szCs w:val="24"/>
          <w:lang w:eastAsia="ru-RU"/>
        </w:rPr>
        <w:t>6778</w:t>
      </w:r>
      <w:r w:rsidRPr="00F83306">
        <w:rPr>
          <w:rFonts w:ascii="Times New Roman" w:eastAsia="Times New Roman" w:hAnsi="Times New Roman" w:cs="Times New Roman"/>
          <w:bCs/>
          <w:color w:val="000000" w:themeColor="text1"/>
          <w:kern w:val="36"/>
          <w:sz w:val="24"/>
          <w:szCs w:val="24"/>
          <w:lang w:val="en-US" w:eastAsia="ru-RU"/>
        </w:rPr>
        <w:t>a</w:t>
      </w:r>
      <w:r w:rsidRPr="00F83306">
        <w:rPr>
          <w:rFonts w:ascii="Times New Roman" w:eastAsia="Times New Roman" w:hAnsi="Times New Roman" w:cs="Times New Roman"/>
          <w:bCs/>
          <w:color w:val="000000" w:themeColor="text1"/>
          <w:kern w:val="36"/>
          <w:sz w:val="24"/>
          <w:szCs w:val="24"/>
          <w:lang w:eastAsia="ru-RU"/>
        </w:rPr>
        <w:t>38</w:t>
      </w:r>
      <w:r w:rsidRPr="00F83306">
        <w:rPr>
          <w:rFonts w:ascii="Times New Roman" w:eastAsia="Times New Roman" w:hAnsi="Times New Roman" w:cs="Times New Roman"/>
          <w:bCs/>
          <w:color w:val="000000" w:themeColor="text1"/>
          <w:kern w:val="36"/>
          <w:sz w:val="24"/>
          <w:szCs w:val="24"/>
          <w:lang w:val="en-US" w:eastAsia="ru-RU"/>
        </w:rPr>
        <w:t>b</w:t>
      </w:r>
      <w:r w:rsidRPr="00F83306">
        <w:rPr>
          <w:rFonts w:ascii="Times New Roman" w:eastAsia="Times New Roman" w:hAnsi="Times New Roman" w:cs="Times New Roman"/>
          <w:bCs/>
          <w:color w:val="000000" w:themeColor="text1"/>
          <w:kern w:val="36"/>
          <w:sz w:val="24"/>
          <w:szCs w:val="24"/>
          <w:lang w:eastAsia="ru-RU"/>
        </w:rPr>
        <w:t>0 (дата обращения: 02.10.2022).</w:t>
      </w:r>
    </w:p>
    <w:p w14:paraId="19151A5E" w14:textId="57D67A97" w:rsidR="001643C2" w:rsidRDefault="001643C2"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proofErr w:type="spellStart"/>
      <w:r w:rsidRPr="00F1017A">
        <w:rPr>
          <w:rFonts w:ascii="Times New Roman" w:eastAsia="Times New Roman" w:hAnsi="Times New Roman" w:cs="Times New Roman"/>
          <w:bCs/>
          <w:color w:val="000000" w:themeColor="text1"/>
          <w:kern w:val="36"/>
          <w:sz w:val="24"/>
          <w:szCs w:val="24"/>
          <w:lang w:eastAsia="ru-RU"/>
        </w:rPr>
        <w:lastRenderedPageBreak/>
        <w:t>Абдалова</w:t>
      </w:r>
      <w:proofErr w:type="spellEnd"/>
      <w:r w:rsidRPr="00F1017A">
        <w:rPr>
          <w:rFonts w:ascii="Times New Roman" w:eastAsia="Times New Roman" w:hAnsi="Times New Roman" w:cs="Times New Roman"/>
          <w:bCs/>
          <w:color w:val="000000" w:themeColor="text1"/>
          <w:kern w:val="36"/>
          <w:sz w:val="24"/>
          <w:szCs w:val="24"/>
          <w:lang w:eastAsia="ru-RU"/>
        </w:rPr>
        <w:t xml:space="preserve">, Е. Б. Глобальные тренды развития корпоративной отчетности / Е. Б. </w:t>
      </w:r>
      <w:proofErr w:type="spellStart"/>
      <w:r w:rsidRPr="00F1017A">
        <w:rPr>
          <w:rFonts w:ascii="Times New Roman" w:eastAsia="Times New Roman" w:hAnsi="Times New Roman" w:cs="Times New Roman"/>
          <w:bCs/>
          <w:color w:val="000000" w:themeColor="text1"/>
          <w:kern w:val="36"/>
          <w:sz w:val="24"/>
          <w:szCs w:val="24"/>
          <w:lang w:eastAsia="ru-RU"/>
        </w:rPr>
        <w:t>Абдалова</w:t>
      </w:r>
      <w:proofErr w:type="spellEnd"/>
      <w:r w:rsidRPr="00F1017A">
        <w:rPr>
          <w:rFonts w:ascii="Times New Roman" w:eastAsia="Times New Roman" w:hAnsi="Times New Roman" w:cs="Times New Roman"/>
          <w:bCs/>
          <w:color w:val="000000" w:themeColor="text1"/>
          <w:kern w:val="36"/>
          <w:sz w:val="24"/>
          <w:szCs w:val="24"/>
          <w:lang w:eastAsia="ru-RU"/>
        </w:rPr>
        <w:t xml:space="preserve">, С. Н. Карельская // Учет. Анализ. Аудит. – 2022. – Т. 9. – № 1. – С. 19-30. – </w:t>
      </w:r>
      <w:r w:rsidRPr="00F1017A">
        <w:rPr>
          <w:rFonts w:ascii="Times New Roman" w:eastAsia="Times New Roman" w:hAnsi="Times New Roman" w:cs="Times New Roman"/>
          <w:bCs/>
          <w:color w:val="000000" w:themeColor="text1"/>
          <w:kern w:val="36"/>
          <w:sz w:val="24"/>
          <w:szCs w:val="24"/>
          <w:lang w:val="en-US" w:eastAsia="ru-RU"/>
        </w:rPr>
        <w:t>DOI</w:t>
      </w:r>
      <w:r w:rsidRPr="00F1017A">
        <w:rPr>
          <w:rFonts w:ascii="Times New Roman" w:eastAsia="Times New Roman" w:hAnsi="Times New Roman" w:cs="Times New Roman"/>
          <w:bCs/>
          <w:color w:val="000000" w:themeColor="text1"/>
          <w:kern w:val="36"/>
          <w:sz w:val="24"/>
          <w:szCs w:val="24"/>
          <w:lang w:eastAsia="ru-RU"/>
        </w:rPr>
        <w:t xml:space="preserve"> 10.26794/2408-9303-2022-9-1-19-30. – </w:t>
      </w:r>
      <w:r w:rsidRPr="00F1017A">
        <w:rPr>
          <w:rFonts w:ascii="Times New Roman" w:eastAsia="Times New Roman" w:hAnsi="Times New Roman" w:cs="Times New Roman"/>
          <w:bCs/>
          <w:color w:val="000000" w:themeColor="text1"/>
          <w:kern w:val="36"/>
          <w:sz w:val="24"/>
          <w:szCs w:val="24"/>
          <w:lang w:val="en-US" w:eastAsia="ru-RU"/>
        </w:rPr>
        <w:t>EDN</w:t>
      </w:r>
      <w:r w:rsidRPr="00F1017A">
        <w:rPr>
          <w:rFonts w:ascii="Times New Roman" w:eastAsia="Times New Roman" w:hAnsi="Times New Roman" w:cs="Times New Roman"/>
          <w:bCs/>
          <w:color w:val="000000" w:themeColor="text1"/>
          <w:kern w:val="36"/>
          <w:sz w:val="24"/>
          <w:szCs w:val="24"/>
          <w:lang w:eastAsia="ru-RU"/>
        </w:rPr>
        <w:t xml:space="preserve"> </w:t>
      </w:r>
      <w:r w:rsidRPr="00F1017A">
        <w:rPr>
          <w:rFonts w:ascii="Times New Roman" w:eastAsia="Times New Roman" w:hAnsi="Times New Roman" w:cs="Times New Roman"/>
          <w:bCs/>
          <w:color w:val="000000" w:themeColor="text1"/>
          <w:kern w:val="36"/>
          <w:sz w:val="24"/>
          <w:szCs w:val="24"/>
          <w:lang w:val="en-US" w:eastAsia="ru-RU"/>
        </w:rPr>
        <w:t>UQZUMV</w:t>
      </w:r>
      <w:r w:rsidRPr="00F1017A">
        <w:rPr>
          <w:rFonts w:ascii="Times New Roman" w:eastAsia="Times New Roman" w:hAnsi="Times New Roman" w:cs="Times New Roman"/>
          <w:bCs/>
          <w:color w:val="000000" w:themeColor="text1"/>
          <w:kern w:val="36"/>
          <w:sz w:val="24"/>
          <w:szCs w:val="24"/>
          <w:lang w:eastAsia="ru-RU"/>
        </w:rPr>
        <w:t>.</w:t>
      </w:r>
    </w:p>
    <w:p w14:paraId="7FDD5E47"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How will convergence on global ESG reporting standards impact your organization? // Economist Impact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impact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economist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com</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net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zero</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and</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energy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big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question</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the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state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of</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esg</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reporting</w:t>
      </w:r>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31608DE1"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CDSB</w:t>
      </w:r>
      <w:r w:rsidRPr="00F83306">
        <w:rPr>
          <w:rFonts w:ascii="Times New Roman" w:eastAsia="Times New Roman" w:hAnsi="Times New Roman" w:cs="Times New Roman"/>
          <w:bCs/>
          <w:color w:val="000000" w:themeColor="text1"/>
          <w:kern w:val="36"/>
          <w:sz w:val="24"/>
          <w:szCs w:val="24"/>
          <w:lang w:eastAsia="ru-RU"/>
        </w:rPr>
        <w:t xml:space="preserve"> // </w:t>
      </w:r>
      <w:r w:rsidRPr="00F83306">
        <w:rPr>
          <w:rFonts w:ascii="Times New Roman" w:eastAsia="Times New Roman" w:hAnsi="Times New Roman" w:cs="Times New Roman"/>
          <w:bCs/>
          <w:color w:val="000000" w:themeColor="text1"/>
          <w:kern w:val="36"/>
          <w:sz w:val="24"/>
          <w:szCs w:val="24"/>
          <w:lang w:val="en-US" w:eastAsia="ru-RU"/>
        </w:rPr>
        <w:t>CDSB</w:t>
      </w:r>
      <w:r w:rsidRPr="00F83306">
        <w:rPr>
          <w:rFonts w:ascii="Times New Roman" w:eastAsia="Times New Roman" w:hAnsi="Times New Roman" w:cs="Times New Roman"/>
          <w:bCs/>
          <w:color w:val="000000" w:themeColor="text1"/>
          <w:kern w:val="36"/>
          <w:sz w:val="24"/>
          <w:szCs w:val="24"/>
          <w:lang w:eastAsia="ru-RU"/>
        </w:rPr>
        <w:t xml:space="preserve"> [Электронный ресурс]. </w:t>
      </w:r>
      <w:r w:rsidRPr="00F83306">
        <w:rPr>
          <w:rFonts w:ascii="Times New Roman" w:eastAsia="Times New Roman" w:hAnsi="Times New Roman" w:cs="Times New Roman"/>
          <w:bCs/>
          <w:color w:val="000000" w:themeColor="text1"/>
          <w:kern w:val="36"/>
          <w:sz w:val="24"/>
          <w:szCs w:val="24"/>
          <w:lang w:val="en-US" w:eastAsia="ru-RU"/>
        </w:rPr>
        <w:t>URL</w:t>
      </w:r>
      <w:r w:rsidRPr="00F83306">
        <w:rPr>
          <w:rFonts w:ascii="Times New Roman" w:eastAsia="Times New Roman" w:hAnsi="Times New Roman" w:cs="Times New Roman"/>
          <w:bCs/>
          <w:color w:val="000000" w:themeColor="text1"/>
          <w:kern w:val="36"/>
          <w:sz w:val="24"/>
          <w:szCs w:val="24"/>
          <w:lang w:eastAsia="ru-RU"/>
        </w:rPr>
        <w:t xml:space="preserve">: </w:t>
      </w:r>
      <w:hyperlink r:id="rId16" w:history="1">
        <w:r w:rsidRPr="00F83306">
          <w:rPr>
            <w:rFonts w:ascii="Times New Roman" w:eastAsia="Times New Roman" w:hAnsi="Times New Roman" w:cs="Times New Roman"/>
            <w:bCs/>
            <w:color w:val="000000" w:themeColor="text1"/>
            <w:kern w:val="36"/>
            <w:sz w:val="24"/>
            <w:szCs w:val="24"/>
            <w:lang w:eastAsia="ru-RU"/>
          </w:rPr>
          <w:t>https://www.cdsb.net/</w:t>
        </w:r>
      </w:hyperlink>
      <w:r w:rsidRPr="00F83306">
        <w:rPr>
          <w:rFonts w:ascii="Times New Roman" w:hAnsi="Times New Roman" w:cs="Times New Roman"/>
          <w:sz w:val="24"/>
          <w:szCs w:val="24"/>
        </w:rPr>
        <w:t xml:space="preserve"> </w:t>
      </w:r>
      <w:r w:rsidRPr="00F83306">
        <w:rPr>
          <w:rFonts w:ascii="Times New Roman" w:eastAsia="Times New Roman" w:hAnsi="Times New Roman" w:cs="Times New Roman"/>
          <w:bCs/>
          <w:color w:val="000000" w:themeColor="text1"/>
          <w:kern w:val="36"/>
          <w:sz w:val="24"/>
          <w:szCs w:val="24"/>
          <w:lang w:eastAsia="ru-RU"/>
        </w:rPr>
        <w:t xml:space="preserve">(дата обращения: 02.10.2022). </w:t>
      </w:r>
    </w:p>
    <w:p w14:paraId="2139C6F2"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eastAsia="ru-RU"/>
        </w:rPr>
        <w:t xml:space="preserve">Цели в области устойчивого развития ООН // ООН [Электронный ресурс]. </w:t>
      </w:r>
      <w:r w:rsidRPr="00F83306">
        <w:rPr>
          <w:rFonts w:ascii="Times New Roman" w:eastAsia="Times New Roman" w:hAnsi="Times New Roman" w:cs="Times New Roman"/>
          <w:bCs/>
          <w:color w:val="000000" w:themeColor="text1"/>
          <w:kern w:val="36"/>
          <w:sz w:val="24"/>
          <w:szCs w:val="24"/>
          <w:lang w:val="en-US" w:eastAsia="ru-RU"/>
        </w:rPr>
        <w:t>URL</w:t>
      </w:r>
      <w:r w:rsidRPr="00F83306">
        <w:rPr>
          <w:rFonts w:ascii="Times New Roman" w:eastAsia="Times New Roman" w:hAnsi="Times New Roman" w:cs="Times New Roman"/>
          <w:bCs/>
          <w:color w:val="000000" w:themeColor="text1"/>
          <w:kern w:val="36"/>
          <w:sz w:val="24"/>
          <w:szCs w:val="24"/>
          <w:lang w:eastAsia="ru-RU"/>
        </w:rPr>
        <w:t>: https://www.un.org/sustainabledevelopment/ru/sustainable-development-goals/</w:t>
      </w:r>
      <w:r w:rsidRPr="00F83306">
        <w:rPr>
          <w:rFonts w:ascii="Times New Roman" w:hAnsi="Times New Roman" w:cs="Times New Roman"/>
          <w:sz w:val="24"/>
          <w:szCs w:val="24"/>
        </w:rPr>
        <w:t xml:space="preserve"> </w:t>
      </w:r>
      <w:r w:rsidRPr="00F83306">
        <w:rPr>
          <w:rFonts w:ascii="Times New Roman" w:eastAsia="Times New Roman" w:hAnsi="Times New Roman" w:cs="Times New Roman"/>
          <w:bCs/>
          <w:color w:val="000000" w:themeColor="text1"/>
          <w:kern w:val="36"/>
          <w:sz w:val="24"/>
          <w:szCs w:val="24"/>
          <w:lang w:eastAsia="ru-RU"/>
        </w:rPr>
        <w:t>(дата обращения: 02.10.2022).</w:t>
      </w:r>
    </w:p>
    <w:p w14:paraId="03F58293"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ESG</w:t>
      </w:r>
      <w:r w:rsidRPr="00F83306">
        <w:rPr>
          <w:rFonts w:ascii="Times New Roman" w:eastAsia="Times New Roman" w:hAnsi="Times New Roman" w:cs="Times New Roman"/>
          <w:bCs/>
          <w:color w:val="000000" w:themeColor="text1"/>
          <w:kern w:val="36"/>
          <w:sz w:val="24"/>
          <w:szCs w:val="24"/>
          <w:lang w:eastAsia="ru-RU"/>
        </w:rPr>
        <w:t xml:space="preserve"> стандарты нефинансовой отчетности // </w:t>
      </w:r>
      <w:r w:rsidRPr="00F83306">
        <w:rPr>
          <w:rFonts w:ascii="Times New Roman" w:eastAsia="Times New Roman" w:hAnsi="Times New Roman" w:cs="Times New Roman"/>
          <w:bCs/>
          <w:color w:val="000000" w:themeColor="text1"/>
          <w:kern w:val="36"/>
          <w:sz w:val="24"/>
          <w:szCs w:val="24"/>
          <w:lang w:val="en-US" w:eastAsia="ru-RU"/>
        </w:rPr>
        <w:t>HPBS</w:t>
      </w:r>
      <w:r w:rsidRPr="00F83306">
        <w:rPr>
          <w:rFonts w:ascii="Times New Roman" w:eastAsia="Times New Roman" w:hAnsi="Times New Roman" w:cs="Times New Roman"/>
          <w:bCs/>
          <w:color w:val="000000" w:themeColor="text1"/>
          <w:kern w:val="36"/>
          <w:sz w:val="24"/>
          <w:szCs w:val="24"/>
          <w:lang w:eastAsia="ru-RU"/>
        </w:rPr>
        <w:t xml:space="preserve"> [Электронный ресурс]. </w:t>
      </w:r>
      <w:r w:rsidRPr="00F83306">
        <w:rPr>
          <w:rFonts w:ascii="Times New Roman" w:eastAsia="Times New Roman" w:hAnsi="Times New Roman" w:cs="Times New Roman"/>
          <w:bCs/>
          <w:color w:val="000000" w:themeColor="text1"/>
          <w:kern w:val="36"/>
          <w:sz w:val="24"/>
          <w:szCs w:val="24"/>
          <w:lang w:val="en-US" w:eastAsia="ru-RU"/>
        </w:rPr>
        <w:t>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hpb</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com</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news</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esg</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standarty</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nefinansovoj</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otchetnosti</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hAnsi="Times New Roman" w:cs="Times New Roman"/>
          <w:sz w:val="24"/>
          <w:szCs w:val="24"/>
        </w:rPr>
        <w:t xml:space="preserve"> </w:t>
      </w:r>
      <w:r w:rsidRPr="00F83306">
        <w:rPr>
          <w:rFonts w:ascii="Times New Roman" w:eastAsia="Times New Roman" w:hAnsi="Times New Roman" w:cs="Times New Roman"/>
          <w:bCs/>
          <w:color w:val="000000" w:themeColor="text1"/>
          <w:kern w:val="36"/>
          <w:sz w:val="24"/>
          <w:szCs w:val="24"/>
          <w:lang w:eastAsia="ru-RU"/>
        </w:rPr>
        <w:t>(дата обращения: 02.10.2022).</w:t>
      </w:r>
    </w:p>
    <w:p w14:paraId="39E46492" w14:textId="77777777" w:rsidR="00F1017A" w:rsidRPr="00F1017A"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eastAsia="ru-RU"/>
        </w:rPr>
        <w:t xml:space="preserve">Пятов М.Л., Соловей Т.Н., Сорокина А.С., </w:t>
      </w:r>
      <w:proofErr w:type="spellStart"/>
      <w:r w:rsidRPr="00F83306">
        <w:rPr>
          <w:rFonts w:ascii="Times New Roman" w:eastAsia="Times New Roman" w:hAnsi="Times New Roman" w:cs="Times New Roman"/>
          <w:bCs/>
          <w:color w:val="000000" w:themeColor="text1"/>
          <w:kern w:val="36"/>
          <w:sz w:val="24"/>
          <w:szCs w:val="24"/>
          <w:lang w:eastAsia="ru-RU"/>
        </w:rPr>
        <w:t>Гусниева</w:t>
      </w:r>
      <w:proofErr w:type="spellEnd"/>
      <w:r w:rsidRPr="00F83306">
        <w:rPr>
          <w:rFonts w:ascii="Times New Roman" w:eastAsia="Times New Roman" w:hAnsi="Times New Roman" w:cs="Times New Roman"/>
          <w:bCs/>
          <w:color w:val="000000" w:themeColor="text1"/>
          <w:kern w:val="36"/>
          <w:sz w:val="24"/>
          <w:szCs w:val="24"/>
          <w:lang w:eastAsia="ru-RU"/>
        </w:rPr>
        <w:t xml:space="preserve"> А.А. НЕФИНАНСОВАЯ ОТЧЕТНОСТЬ В ЭКОНОМИКЕ: ОПЫТ </w:t>
      </w:r>
      <w:r w:rsidRPr="00F83306">
        <w:rPr>
          <w:rFonts w:ascii="Times New Roman" w:eastAsia="Times New Roman" w:hAnsi="Times New Roman" w:cs="Times New Roman"/>
          <w:bCs/>
          <w:color w:val="000000" w:themeColor="text1"/>
          <w:kern w:val="36"/>
          <w:sz w:val="24"/>
          <w:szCs w:val="24"/>
          <w:lang w:val="en-US" w:eastAsia="ru-RU"/>
        </w:rPr>
        <w:t>XIX</w:t>
      </w:r>
      <w:r w:rsidRPr="00F83306">
        <w:rPr>
          <w:rFonts w:ascii="Times New Roman" w:eastAsia="Times New Roman" w:hAnsi="Times New Roman" w:cs="Times New Roman"/>
          <w:bCs/>
          <w:color w:val="000000" w:themeColor="text1"/>
          <w:kern w:val="36"/>
          <w:sz w:val="24"/>
          <w:szCs w:val="24"/>
          <w:lang w:eastAsia="ru-RU"/>
        </w:rPr>
        <w:t xml:space="preserve"> - НАЧАЛА </w:t>
      </w:r>
      <w:r w:rsidRPr="00F83306">
        <w:rPr>
          <w:rFonts w:ascii="Times New Roman" w:eastAsia="Times New Roman" w:hAnsi="Times New Roman" w:cs="Times New Roman"/>
          <w:bCs/>
          <w:color w:val="000000" w:themeColor="text1"/>
          <w:kern w:val="36"/>
          <w:sz w:val="24"/>
          <w:szCs w:val="24"/>
          <w:lang w:val="en-US" w:eastAsia="ru-RU"/>
        </w:rPr>
        <w:t>XXI</w:t>
      </w:r>
      <w:r w:rsidRPr="00F83306">
        <w:rPr>
          <w:rFonts w:ascii="Times New Roman" w:eastAsia="Times New Roman" w:hAnsi="Times New Roman" w:cs="Times New Roman"/>
          <w:bCs/>
          <w:color w:val="000000" w:themeColor="text1"/>
          <w:kern w:val="36"/>
          <w:sz w:val="24"/>
          <w:szCs w:val="24"/>
          <w:lang w:eastAsia="ru-RU"/>
        </w:rPr>
        <w:t xml:space="preserve"> Вестник Санкт-Петербургского университета. </w:t>
      </w:r>
      <w:r w:rsidRPr="00F1017A">
        <w:rPr>
          <w:rFonts w:ascii="Times New Roman" w:eastAsia="Times New Roman" w:hAnsi="Times New Roman" w:cs="Times New Roman"/>
          <w:bCs/>
          <w:color w:val="000000" w:themeColor="text1"/>
          <w:kern w:val="36"/>
          <w:sz w:val="24"/>
          <w:szCs w:val="24"/>
          <w:lang w:eastAsia="ru-RU"/>
        </w:rPr>
        <w:t>Экономика. 2018. Т. 34. № 3. С. 465-492.</w:t>
      </w:r>
    </w:p>
    <w:p w14:paraId="4ACE3396" w14:textId="77777777" w:rsidR="00F1017A" w:rsidRPr="00F83306"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val="en-US" w:eastAsia="ru-RU"/>
        </w:rPr>
      </w:pPr>
      <w:proofErr w:type="spellStart"/>
      <w:r w:rsidRPr="00F83306">
        <w:rPr>
          <w:rFonts w:ascii="Times New Roman" w:eastAsia="Times New Roman" w:hAnsi="Times New Roman" w:cs="Times New Roman"/>
          <w:bCs/>
          <w:color w:val="000000" w:themeColor="text1"/>
          <w:kern w:val="36"/>
          <w:sz w:val="24"/>
          <w:szCs w:val="24"/>
          <w:lang w:val="en-US" w:eastAsia="ru-RU"/>
        </w:rPr>
        <w:t>Bychkova</w:t>
      </w:r>
      <w:proofErr w:type="spellEnd"/>
      <w:r w:rsidRPr="00F1017A">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SM</w:t>
      </w:r>
      <w:r w:rsidRPr="00F1017A">
        <w:rPr>
          <w:rFonts w:ascii="Times New Roman" w:eastAsia="Times New Roman" w:hAnsi="Times New Roman" w:cs="Times New Roman"/>
          <w:bCs/>
          <w:color w:val="000000" w:themeColor="text1"/>
          <w:kern w:val="36"/>
          <w:sz w:val="24"/>
          <w:szCs w:val="24"/>
          <w:lang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Karelskaia</w:t>
      </w:r>
      <w:proofErr w:type="spellEnd"/>
      <w:r w:rsidRPr="00F1017A">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SN</w:t>
      </w:r>
      <w:r w:rsidRPr="00F1017A">
        <w:rPr>
          <w:rFonts w:ascii="Times New Roman" w:eastAsia="Times New Roman" w:hAnsi="Times New Roman" w:cs="Times New Roman"/>
          <w:bCs/>
          <w:color w:val="000000" w:themeColor="text1"/>
          <w:kern w:val="36"/>
          <w:sz w:val="24"/>
          <w:szCs w:val="24"/>
          <w:lang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Abdalova</w:t>
      </w:r>
      <w:proofErr w:type="spellEnd"/>
      <w:r w:rsidRPr="00F1017A">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EB</w:t>
      </w:r>
      <w:r w:rsidRPr="00F1017A">
        <w:rPr>
          <w:rFonts w:ascii="Times New Roman" w:eastAsia="Times New Roman" w:hAnsi="Times New Roman" w:cs="Times New Roman"/>
          <w:bCs/>
          <w:color w:val="000000" w:themeColor="text1"/>
          <w:kern w:val="36"/>
          <w:sz w:val="24"/>
          <w:szCs w:val="24"/>
          <w:lang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Zhidkova</w:t>
      </w:r>
      <w:proofErr w:type="spellEnd"/>
      <w:r w:rsidRPr="00F1017A">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EA</w:t>
      </w:r>
      <w:r w:rsidRPr="00F1017A">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 xml:space="preserve">Social responsibility as the dominant driver of the evolution of reporting from financial to non-financial: theory and methodology. Foods and Raw Materials. 2021;9(1): 135–145. </w:t>
      </w:r>
      <w:hyperlink r:id="rId17" w:history="1">
        <w:r w:rsidRPr="00F83306">
          <w:rPr>
            <w:rFonts w:ascii="Times New Roman" w:eastAsia="Times New Roman" w:hAnsi="Times New Roman" w:cs="Times New Roman"/>
            <w:bCs/>
            <w:color w:val="000000" w:themeColor="text1"/>
            <w:kern w:val="36"/>
            <w:sz w:val="24"/>
            <w:szCs w:val="24"/>
            <w:lang w:val="en-US" w:eastAsia="ru-RU"/>
          </w:rPr>
          <w:t>https://doi.org/10.21603/2308-4057-2021-1-135-145</w:t>
        </w:r>
      </w:hyperlink>
      <w:r w:rsidRPr="00F83306">
        <w:rPr>
          <w:rFonts w:ascii="Times New Roman" w:eastAsia="Times New Roman" w:hAnsi="Times New Roman" w:cs="Times New Roman"/>
          <w:bCs/>
          <w:color w:val="000000" w:themeColor="text1"/>
          <w:kern w:val="36"/>
          <w:sz w:val="24"/>
          <w:szCs w:val="24"/>
          <w:lang w:val="en-US" w:eastAsia="ru-RU"/>
        </w:rPr>
        <w:t>.</w:t>
      </w:r>
    </w:p>
    <w:p w14:paraId="31EB31E7" w14:textId="77777777" w:rsidR="00F1017A"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D10C6E">
        <w:rPr>
          <w:rFonts w:ascii="Times New Roman" w:eastAsia="Times New Roman" w:hAnsi="Times New Roman" w:cs="Times New Roman"/>
          <w:bCs/>
          <w:color w:val="000000" w:themeColor="text1"/>
          <w:kern w:val="36"/>
          <w:sz w:val="24"/>
          <w:szCs w:val="24"/>
          <w:lang w:eastAsia="ru-RU"/>
        </w:rPr>
        <w:t xml:space="preserve">Вахрушина, М. А. Корпоративная отчетность как результат эволюции отчетной информации компании / М. А. Вахрушина, А. А. </w:t>
      </w:r>
      <w:proofErr w:type="spellStart"/>
      <w:r w:rsidRPr="00D10C6E">
        <w:rPr>
          <w:rFonts w:ascii="Times New Roman" w:eastAsia="Times New Roman" w:hAnsi="Times New Roman" w:cs="Times New Roman"/>
          <w:bCs/>
          <w:color w:val="000000" w:themeColor="text1"/>
          <w:kern w:val="36"/>
          <w:sz w:val="24"/>
          <w:szCs w:val="24"/>
          <w:lang w:eastAsia="ru-RU"/>
        </w:rPr>
        <w:t>Толчеева</w:t>
      </w:r>
      <w:proofErr w:type="spellEnd"/>
      <w:r w:rsidRPr="00D10C6E">
        <w:rPr>
          <w:rFonts w:ascii="Times New Roman" w:eastAsia="Times New Roman" w:hAnsi="Times New Roman" w:cs="Times New Roman"/>
          <w:bCs/>
          <w:color w:val="000000" w:themeColor="text1"/>
          <w:kern w:val="36"/>
          <w:sz w:val="24"/>
          <w:szCs w:val="24"/>
          <w:lang w:eastAsia="ru-RU"/>
        </w:rPr>
        <w:t xml:space="preserve"> // Вестник Пермского университета. Серия: Экономика. – 2017. – Т. 12. – № 2. – С. 297-310. – DOI 10.17072/1994-9960-2017-2-297-310. – EDN YTOMMX.</w:t>
      </w:r>
    </w:p>
    <w:p w14:paraId="26E63420" w14:textId="77777777" w:rsidR="00F1017A"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D10C6E">
        <w:rPr>
          <w:rFonts w:ascii="Times New Roman" w:eastAsia="Times New Roman" w:hAnsi="Times New Roman" w:cs="Times New Roman"/>
          <w:bCs/>
          <w:color w:val="000000" w:themeColor="text1"/>
          <w:kern w:val="36"/>
          <w:sz w:val="24"/>
          <w:szCs w:val="24"/>
          <w:lang w:eastAsia="ru-RU"/>
        </w:rPr>
        <w:t>Ефимова О.В., Рожнова О.В. Стратегия гармонизации финансовой и нефинансовой отчетности в области раскрытия климатических рисков. Часть 1. Учет. Анализ. Аудит. 2020;7(3):18-25. </w:t>
      </w:r>
      <w:hyperlink r:id="rId18" w:tgtFrame="_blank" w:history="1">
        <w:r w:rsidRPr="00D10C6E">
          <w:rPr>
            <w:rFonts w:ascii="Times New Roman" w:eastAsia="Times New Roman" w:hAnsi="Times New Roman" w:cs="Times New Roman"/>
            <w:bCs/>
            <w:color w:val="000000" w:themeColor="text1"/>
            <w:kern w:val="36"/>
            <w:sz w:val="24"/>
            <w:szCs w:val="24"/>
            <w:lang w:eastAsia="ru-RU"/>
          </w:rPr>
          <w:t>https://doi.org/10.26794/2408-9303-2020-7-3-18-25</w:t>
        </w:r>
      </w:hyperlink>
    </w:p>
    <w:p w14:paraId="686A74DB" w14:textId="77777777" w:rsidR="00F1017A"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proofErr w:type="spellStart"/>
      <w:r w:rsidRPr="00D10C6E">
        <w:rPr>
          <w:rFonts w:ascii="Times New Roman" w:eastAsia="Times New Roman" w:hAnsi="Times New Roman" w:cs="Times New Roman"/>
          <w:bCs/>
          <w:color w:val="000000" w:themeColor="text1"/>
          <w:kern w:val="36"/>
          <w:sz w:val="24"/>
          <w:szCs w:val="24"/>
          <w:lang w:eastAsia="ru-RU"/>
        </w:rPr>
        <w:t>Когденко</w:t>
      </w:r>
      <w:proofErr w:type="spellEnd"/>
      <w:r w:rsidRPr="00D10C6E">
        <w:rPr>
          <w:rFonts w:ascii="Times New Roman" w:eastAsia="Times New Roman" w:hAnsi="Times New Roman" w:cs="Times New Roman"/>
          <w:bCs/>
          <w:color w:val="000000" w:themeColor="text1"/>
          <w:kern w:val="36"/>
          <w:sz w:val="24"/>
          <w:szCs w:val="24"/>
          <w:lang w:eastAsia="ru-RU"/>
        </w:rPr>
        <w:t xml:space="preserve">, В. Г. Интегрированная отчетность: вопросы формирования и анализа / В. Г. </w:t>
      </w:r>
      <w:proofErr w:type="spellStart"/>
      <w:r w:rsidRPr="00D10C6E">
        <w:rPr>
          <w:rFonts w:ascii="Times New Roman" w:eastAsia="Times New Roman" w:hAnsi="Times New Roman" w:cs="Times New Roman"/>
          <w:bCs/>
          <w:color w:val="000000" w:themeColor="text1"/>
          <w:kern w:val="36"/>
          <w:sz w:val="24"/>
          <w:szCs w:val="24"/>
          <w:lang w:eastAsia="ru-RU"/>
        </w:rPr>
        <w:t>Когденко</w:t>
      </w:r>
      <w:proofErr w:type="spellEnd"/>
      <w:r w:rsidRPr="00D10C6E">
        <w:rPr>
          <w:rFonts w:ascii="Times New Roman" w:eastAsia="Times New Roman" w:hAnsi="Times New Roman" w:cs="Times New Roman"/>
          <w:bCs/>
          <w:color w:val="000000" w:themeColor="text1"/>
          <w:kern w:val="36"/>
          <w:sz w:val="24"/>
          <w:szCs w:val="24"/>
          <w:lang w:eastAsia="ru-RU"/>
        </w:rPr>
        <w:t>, М. В. Мельник // Международный бухгалтерский учет. – 2014. – № 10(304). – С. 2-15. – EDN RWFFWD.</w:t>
      </w:r>
    </w:p>
    <w:p w14:paraId="04CAB666" w14:textId="77777777" w:rsidR="00F1017A" w:rsidRPr="00F1017A" w:rsidRDefault="00F1017A"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eastAsia="ru-RU"/>
        </w:rPr>
        <w:t xml:space="preserve">Ефимова О.В. Климатические риски и вопросы их отражения в отчетности организаций. </w:t>
      </w:r>
      <w:r w:rsidRPr="00F1017A">
        <w:rPr>
          <w:rFonts w:ascii="Times New Roman" w:eastAsia="Times New Roman" w:hAnsi="Times New Roman" w:cs="Times New Roman"/>
          <w:bCs/>
          <w:color w:val="000000" w:themeColor="text1"/>
          <w:kern w:val="36"/>
          <w:sz w:val="24"/>
          <w:szCs w:val="24"/>
          <w:lang w:eastAsia="ru-RU"/>
        </w:rPr>
        <w:t>Аудит. 2022. № 3. С. 23-28.</w:t>
      </w:r>
    </w:p>
    <w:p w14:paraId="6FC41A74" w14:textId="77777777" w:rsidR="00F1017A" w:rsidRPr="00F83306" w:rsidRDefault="006C0C83"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hyperlink r:id="rId19" w:history="1">
        <w:r w:rsidR="00F1017A" w:rsidRPr="00F83306">
          <w:rPr>
            <w:rFonts w:ascii="Times New Roman" w:eastAsia="Times New Roman" w:hAnsi="Times New Roman" w:cs="Times New Roman"/>
            <w:bCs/>
            <w:color w:val="000000" w:themeColor="text1"/>
            <w:kern w:val="36"/>
            <w:sz w:val="24"/>
            <w:szCs w:val="24"/>
            <w:lang w:eastAsia="ru-RU"/>
          </w:rPr>
          <w:t>Ефимова О. В.</w:t>
        </w:r>
      </w:hyperlink>
      <w:r w:rsidR="00F1017A" w:rsidRPr="00F83306">
        <w:rPr>
          <w:rFonts w:ascii="Times New Roman" w:eastAsia="Times New Roman" w:hAnsi="Times New Roman" w:cs="Times New Roman"/>
          <w:bCs/>
          <w:color w:val="000000" w:themeColor="text1"/>
          <w:kern w:val="36"/>
          <w:sz w:val="24"/>
          <w:szCs w:val="24"/>
          <w:lang w:eastAsia="ru-RU"/>
        </w:rPr>
        <w:t>,</w:t>
      </w:r>
      <w:r w:rsidR="00F1017A" w:rsidRPr="00F83306">
        <w:rPr>
          <w:rFonts w:ascii="Times New Roman" w:eastAsia="Times New Roman" w:hAnsi="Times New Roman" w:cs="Times New Roman"/>
          <w:bCs/>
          <w:color w:val="000000" w:themeColor="text1"/>
          <w:kern w:val="36"/>
          <w:sz w:val="24"/>
          <w:szCs w:val="24"/>
          <w:lang w:val="en-US" w:eastAsia="ru-RU"/>
        </w:rPr>
        <w:t> </w:t>
      </w:r>
      <w:hyperlink r:id="rId20" w:history="1">
        <w:r w:rsidR="00F1017A" w:rsidRPr="00F83306">
          <w:rPr>
            <w:rFonts w:ascii="Times New Roman" w:eastAsia="Times New Roman" w:hAnsi="Times New Roman" w:cs="Times New Roman"/>
            <w:bCs/>
            <w:color w:val="000000" w:themeColor="text1"/>
            <w:kern w:val="36"/>
            <w:sz w:val="24"/>
            <w:szCs w:val="24"/>
            <w:lang w:eastAsia="ru-RU"/>
          </w:rPr>
          <w:t>Рожнова О. В.</w:t>
        </w:r>
      </w:hyperlink>
      <w:r w:rsidR="00F1017A" w:rsidRPr="00F83306">
        <w:rPr>
          <w:rFonts w:ascii="Times New Roman" w:eastAsia="Times New Roman" w:hAnsi="Times New Roman" w:cs="Times New Roman"/>
          <w:bCs/>
          <w:color w:val="000000" w:themeColor="text1"/>
          <w:kern w:val="36"/>
          <w:sz w:val="24"/>
          <w:szCs w:val="24"/>
          <w:lang w:val="en-US" w:eastAsia="ru-RU"/>
        </w:rPr>
        <w:t> </w:t>
      </w:r>
      <w:r w:rsidR="00F1017A" w:rsidRPr="00F83306">
        <w:rPr>
          <w:rFonts w:ascii="Times New Roman" w:eastAsia="Times New Roman" w:hAnsi="Times New Roman" w:cs="Times New Roman"/>
          <w:bCs/>
          <w:color w:val="000000" w:themeColor="text1"/>
          <w:kern w:val="36"/>
          <w:sz w:val="24"/>
          <w:szCs w:val="24"/>
          <w:lang w:eastAsia="ru-RU"/>
        </w:rPr>
        <w:t>Стратегия гармонизации финансовой и нефинансовой отчетности в области раскрытий климатических рисков. Часть 1. Учет. Анализ. Аудит. - 2020. - № 7(3). - С. 18-25.</w:t>
      </w:r>
    </w:p>
    <w:p w14:paraId="6ED9217B" w14:textId="77777777" w:rsidR="00F40A82" w:rsidRPr="00F83306"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International Sustainability Standards Board // IFRS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org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groups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international</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standards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board</w:t>
      </w:r>
      <w:r w:rsidRPr="00F83306">
        <w:rPr>
          <w:rFonts w:ascii="Times New Roman" w:eastAsia="Times New Roman" w:hAnsi="Times New Roman" w:cs="Times New Roman"/>
          <w:bCs/>
          <w:color w:val="000000" w:themeColor="text1"/>
          <w:kern w:val="36"/>
          <w:sz w:val="24"/>
          <w:szCs w:val="24"/>
          <w:lang w:eastAsia="ru-RU"/>
        </w:rPr>
        <w:t>/ (дата обращения: 02.10.2022).</w:t>
      </w:r>
    </w:p>
    <w:p w14:paraId="53A6A873" w14:textId="77777777" w:rsidR="00F40A82" w:rsidRPr="00F83306"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eastAsia="ru-RU"/>
        </w:rPr>
        <w:t xml:space="preserve">На </w:t>
      </w:r>
      <w:r w:rsidRPr="00F83306">
        <w:rPr>
          <w:rFonts w:ascii="Times New Roman" w:eastAsia="Times New Roman" w:hAnsi="Times New Roman" w:cs="Times New Roman"/>
          <w:bCs/>
          <w:color w:val="000000" w:themeColor="text1"/>
          <w:kern w:val="36"/>
          <w:sz w:val="24"/>
          <w:szCs w:val="24"/>
          <w:lang w:val="en-US" w:eastAsia="ru-RU"/>
        </w:rPr>
        <w:t>COP</w:t>
      </w:r>
      <w:r w:rsidRPr="00F83306">
        <w:rPr>
          <w:rFonts w:ascii="Times New Roman" w:eastAsia="Times New Roman" w:hAnsi="Times New Roman" w:cs="Times New Roman"/>
          <w:bCs/>
          <w:color w:val="000000" w:themeColor="text1"/>
          <w:kern w:val="36"/>
          <w:sz w:val="24"/>
          <w:szCs w:val="24"/>
          <w:lang w:eastAsia="ru-RU"/>
        </w:rPr>
        <w:t xml:space="preserve">26 объявили о масштабной инициативе финансовых компаний по защите климата // </w:t>
      </w:r>
      <w:proofErr w:type="spellStart"/>
      <w:r w:rsidRPr="00F83306">
        <w:rPr>
          <w:rFonts w:ascii="Times New Roman" w:eastAsia="Times New Roman" w:hAnsi="Times New Roman" w:cs="Times New Roman"/>
          <w:bCs/>
          <w:color w:val="000000" w:themeColor="text1"/>
          <w:kern w:val="36"/>
          <w:sz w:val="24"/>
          <w:szCs w:val="24"/>
          <w:lang w:val="en-US" w:eastAsia="ru-RU"/>
        </w:rPr>
        <w:t>Tass</w:t>
      </w:r>
      <w:proofErr w:type="spellEnd"/>
      <w:r w:rsidRPr="00F83306">
        <w:rPr>
          <w:rFonts w:ascii="Times New Roman" w:eastAsia="Times New Roman" w:hAnsi="Times New Roman" w:cs="Times New Roman"/>
          <w:bCs/>
          <w:color w:val="000000" w:themeColor="text1"/>
          <w:kern w:val="36"/>
          <w:sz w:val="24"/>
          <w:szCs w:val="24"/>
          <w:lang w:eastAsia="ru-RU"/>
        </w:rPr>
        <w:t xml:space="preserve"> [Электронный ресурс]. </w:t>
      </w:r>
      <w:r w:rsidRPr="00F83306">
        <w:rPr>
          <w:rFonts w:ascii="Times New Roman" w:eastAsia="Times New Roman" w:hAnsi="Times New Roman" w:cs="Times New Roman"/>
          <w:bCs/>
          <w:color w:val="000000" w:themeColor="text1"/>
          <w:kern w:val="36"/>
          <w:sz w:val="24"/>
          <w:szCs w:val="24"/>
          <w:lang w:val="en-US" w:eastAsia="ru-RU"/>
        </w:rPr>
        <w:t>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tass</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ru</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ekonomika</w:t>
      </w:r>
      <w:proofErr w:type="spellEnd"/>
      <w:r w:rsidRPr="00F83306">
        <w:rPr>
          <w:rFonts w:ascii="Times New Roman" w:eastAsia="Times New Roman" w:hAnsi="Times New Roman" w:cs="Times New Roman"/>
          <w:bCs/>
          <w:color w:val="000000" w:themeColor="text1"/>
          <w:kern w:val="36"/>
          <w:sz w:val="24"/>
          <w:szCs w:val="24"/>
          <w:lang w:eastAsia="ru-RU"/>
        </w:rPr>
        <w:t>/12835817 (дата обращения: 02.10.2022).</w:t>
      </w:r>
    </w:p>
    <w:p w14:paraId="5B782603" w14:textId="77777777" w:rsidR="00F40A82" w:rsidRPr="00F83306"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val="en-US" w:eastAsia="ru-RU"/>
        </w:rPr>
      </w:pPr>
      <w:r w:rsidRPr="00F83306">
        <w:rPr>
          <w:rFonts w:ascii="Times New Roman" w:eastAsia="Times New Roman" w:hAnsi="Times New Roman" w:cs="Times New Roman"/>
          <w:bCs/>
          <w:color w:val="000000" w:themeColor="text1"/>
          <w:kern w:val="36"/>
          <w:sz w:val="24"/>
          <w:szCs w:val="24"/>
          <w:lang w:val="en-US" w:eastAsia="ru-RU"/>
        </w:rPr>
        <w:t>Business Leaders Call for a Common Standard on ‘Onerous ESG Frameworks’ // World Economic Forum URL: https://www.weforum.org/press/2022/05/business-leaders-call-for-a-common-standard-on-onerous-esg-frameworks/ (</w:t>
      </w:r>
      <w:proofErr w:type="spellStart"/>
      <w:r w:rsidRPr="00F83306">
        <w:rPr>
          <w:rFonts w:ascii="Times New Roman" w:eastAsia="Times New Roman" w:hAnsi="Times New Roman" w:cs="Times New Roman"/>
          <w:bCs/>
          <w:color w:val="000000" w:themeColor="text1"/>
          <w:kern w:val="36"/>
          <w:sz w:val="24"/>
          <w:szCs w:val="24"/>
          <w:lang w:val="en-US" w:eastAsia="ru-RU"/>
        </w:rPr>
        <w:t>дата</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обращения</w:t>
      </w:r>
      <w:proofErr w:type="spellEnd"/>
      <w:r w:rsidRPr="00F83306">
        <w:rPr>
          <w:rFonts w:ascii="Times New Roman" w:eastAsia="Times New Roman" w:hAnsi="Times New Roman" w:cs="Times New Roman"/>
          <w:bCs/>
          <w:color w:val="000000" w:themeColor="text1"/>
          <w:kern w:val="36"/>
          <w:sz w:val="24"/>
          <w:szCs w:val="24"/>
          <w:lang w:val="en-US" w:eastAsia="ru-RU"/>
        </w:rPr>
        <w:t>: 02.10.2022).</w:t>
      </w:r>
    </w:p>
    <w:p w14:paraId="0BBC6A3B" w14:textId="77777777" w:rsidR="00F40A82" w:rsidRPr="00F83306"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ISSB: Frequently Asked Questions // IFRS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org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groups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international</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standards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board</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issb</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frequently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asked</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questions</w:t>
      </w:r>
      <w:r w:rsidRPr="00F83306">
        <w:rPr>
          <w:rFonts w:ascii="Times New Roman" w:eastAsia="Times New Roman" w:hAnsi="Times New Roman" w:cs="Times New Roman"/>
          <w:bCs/>
          <w:color w:val="000000" w:themeColor="text1"/>
          <w:kern w:val="36"/>
          <w:sz w:val="24"/>
          <w:szCs w:val="24"/>
          <w:lang w:eastAsia="ru-RU"/>
        </w:rPr>
        <w:t>/ (дата обращения: 02.10.2022).</w:t>
      </w:r>
    </w:p>
    <w:p w14:paraId="5A29DEC0" w14:textId="11A4A701" w:rsidR="00F1017A" w:rsidRDefault="00F40A82" w:rsidP="00F101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International Sustainability Standards Board (ISSB) // Deloitte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iasplus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com</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en</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resources</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ifrsf</w:t>
      </w:r>
      <w:proofErr w:type="spellEnd"/>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issb</w:t>
      </w:r>
      <w:proofErr w:type="spellEnd"/>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79CFDE9C" w14:textId="77777777" w:rsidR="00F40A82" w:rsidRPr="00F83306"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lastRenderedPageBreak/>
        <w:t>IFRS Foundation work plan// IFRS [</w:t>
      </w:r>
      <w:r w:rsidRPr="00F83306">
        <w:rPr>
          <w:rFonts w:ascii="Times New Roman" w:eastAsia="Times New Roman" w:hAnsi="Times New Roman" w:cs="Times New Roman"/>
          <w:bCs/>
          <w:color w:val="000000" w:themeColor="text1"/>
          <w:kern w:val="36"/>
          <w:sz w:val="24"/>
          <w:szCs w:val="24"/>
          <w:lang w:eastAsia="ru-RU"/>
        </w:rPr>
        <w:t>Электронный</w:t>
      </w:r>
      <w:r w:rsidRPr="00F83306">
        <w:rPr>
          <w:rFonts w:ascii="Times New Roman" w:eastAsia="Times New Roman" w:hAnsi="Times New Roman" w:cs="Times New Roman"/>
          <w:bCs/>
          <w:color w:val="000000" w:themeColor="text1"/>
          <w:kern w:val="36"/>
          <w:sz w:val="24"/>
          <w:szCs w:val="24"/>
          <w:lang w:val="en-US" w:eastAsia="ru-RU"/>
        </w:rPr>
        <w:t xml:space="preserve"> </w:t>
      </w:r>
      <w:r w:rsidRPr="00F83306">
        <w:rPr>
          <w:rFonts w:ascii="Times New Roman" w:eastAsia="Times New Roman" w:hAnsi="Times New Roman" w:cs="Times New Roman"/>
          <w:bCs/>
          <w:color w:val="000000" w:themeColor="text1"/>
          <w:kern w:val="36"/>
          <w:sz w:val="24"/>
          <w:szCs w:val="24"/>
          <w:lang w:eastAsia="ru-RU"/>
        </w:rPr>
        <w:t>ресурс</w:t>
      </w:r>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org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projects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work</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plan</w:t>
      </w:r>
      <w:r w:rsidRPr="00F83306">
        <w:rPr>
          <w:rFonts w:ascii="Times New Roman" w:eastAsia="Times New Roman" w:hAnsi="Times New Roman" w:cs="Times New Roman"/>
          <w:bCs/>
          <w:color w:val="000000" w:themeColor="text1"/>
          <w:kern w:val="36"/>
          <w:sz w:val="24"/>
          <w:szCs w:val="24"/>
          <w:lang w:eastAsia="ru-RU"/>
        </w:rPr>
        <w:t>/ (дата обращения: 02.10.2022).</w:t>
      </w:r>
    </w:p>
    <w:p w14:paraId="1E4065A8" w14:textId="77777777" w:rsidR="00F40A82" w:rsidRPr="00F83306"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IFRS S1 General Requirements for Disclosure of Sustainability-related Financial Information // IFRS Sustainability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org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content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dam</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project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general</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related</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disclosures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exposure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draft</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w:t>
      </w:r>
      <w:r w:rsidRPr="00F83306">
        <w:rPr>
          <w:rFonts w:ascii="Times New Roman" w:eastAsia="Times New Roman" w:hAnsi="Times New Roman" w:cs="Times New Roman"/>
          <w:bCs/>
          <w:color w:val="000000" w:themeColor="text1"/>
          <w:kern w:val="36"/>
          <w:sz w:val="24"/>
          <w:szCs w:val="24"/>
          <w:lang w:eastAsia="ru-RU"/>
        </w:rPr>
        <w:t>1-</w:t>
      </w:r>
      <w:r w:rsidRPr="00F83306">
        <w:rPr>
          <w:rFonts w:ascii="Times New Roman" w:eastAsia="Times New Roman" w:hAnsi="Times New Roman" w:cs="Times New Roman"/>
          <w:bCs/>
          <w:color w:val="000000" w:themeColor="text1"/>
          <w:kern w:val="36"/>
          <w:sz w:val="24"/>
          <w:szCs w:val="24"/>
          <w:lang w:val="en-US" w:eastAsia="ru-RU"/>
        </w:rPr>
        <w:t>general</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requirements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for</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disclosure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of</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related</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financial</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information</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pdf</w:t>
      </w:r>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27889FD2" w14:textId="77777777" w:rsidR="00F40A82" w:rsidRPr="00F83306"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IFRS S2 Climate-related Disclosures // IFRS Sustainability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org</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content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dam</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project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climate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related</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disclosures</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issb</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exposure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draft</w:t>
      </w:r>
      <w:r w:rsidRPr="00F83306">
        <w:rPr>
          <w:rFonts w:ascii="Times New Roman" w:eastAsia="Times New Roman" w:hAnsi="Times New Roman" w:cs="Times New Roman"/>
          <w:bCs/>
          <w:color w:val="000000" w:themeColor="text1"/>
          <w:kern w:val="36"/>
          <w:sz w:val="24"/>
          <w:szCs w:val="24"/>
          <w:lang w:eastAsia="ru-RU"/>
        </w:rPr>
        <w:t>-2022-2-</w:t>
      </w:r>
      <w:r w:rsidRPr="00F83306">
        <w:rPr>
          <w:rFonts w:ascii="Times New Roman" w:eastAsia="Times New Roman" w:hAnsi="Times New Roman" w:cs="Times New Roman"/>
          <w:bCs/>
          <w:color w:val="000000" w:themeColor="text1"/>
          <w:kern w:val="36"/>
          <w:sz w:val="24"/>
          <w:szCs w:val="24"/>
          <w:lang w:val="en-US" w:eastAsia="ru-RU"/>
        </w:rPr>
        <w:t>climate</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related</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disclosures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pdf</w:t>
      </w:r>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74A77E8B" w14:textId="72FEBD05" w:rsidR="00F40A82" w:rsidRPr="00F40A82"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Maria Silvia </w:t>
      </w:r>
      <w:proofErr w:type="spellStart"/>
      <w:r w:rsidRPr="00F83306">
        <w:rPr>
          <w:rFonts w:ascii="Times New Roman" w:eastAsia="Times New Roman" w:hAnsi="Times New Roman" w:cs="Times New Roman"/>
          <w:bCs/>
          <w:color w:val="000000" w:themeColor="text1"/>
          <w:kern w:val="36"/>
          <w:sz w:val="24"/>
          <w:szCs w:val="24"/>
          <w:lang w:val="en-US" w:eastAsia="ru-RU"/>
        </w:rPr>
        <w:t>Avi</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The relationship between financial reporting and sustainability report. The Exposure Draft: IFRS S1 General Requirement for Disclosure of Sustainability-Related Financial Information (From International Sustainability Standard Board) Overcomes the Duality of External Corporate Disclosure // </w:t>
      </w:r>
      <w:proofErr w:type="spellStart"/>
      <w:r w:rsidRPr="00F83306">
        <w:rPr>
          <w:rFonts w:ascii="Times New Roman" w:eastAsia="Times New Roman" w:hAnsi="Times New Roman" w:cs="Times New Roman"/>
          <w:bCs/>
          <w:color w:val="000000" w:themeColor="text1"/>
          <w:kern w:val="36"/>
          <w:sz w:val="24"/>
          <w:szCs w:val="24"/>
          <w:lang w:val="en-US" w:eastAsia="ru-RU"/>
        </w:rPr>
        <w:t>ResearchGate</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r w:rsidRPr="00F83306">
        <w:rPr>
          <w:rFonts w:ascii="Times New Roman" w:eastAsia="Times New Roman" w:hAnsi="Times New Roman" w:cs="Times New Roman"/>
          <w:bCs/>
          <w:color w:val="000000" w:themeColor="text1"/>
          <w:kern w:val="36"/>
          <w:sz w:val="24"/>
          <w:szCs w:val="24"/>
          <w:lang w:eastAsia="ru-RU"/>
        </w:rPr>
        <w:t>Электронный</w:t>
      </w:r>
      <w:r w:rsidRPr="00F83306">
        <w:rPr>
          <w:rFonts w:ascii="Times New Roman" w:eastAsia="Times New Roman" w:hAnsi="Times New Roman" w:cs="Times New Roman"/>
          <w:bCs/>
          <w:color w:val="000000" w:themeColor="text1"/>
          <w:kern w:val="36"/>
          <w:sz w:val="24"/>
          <w:szCs w:val="24"/>
          <w:lang w:val="en-US" w:eastAsia="ru-RU"/>
        </w:rPr>
        <w:t xml:space="preserve"> </w:t>
      </w:r>
      <w:r w:rsidRPr="00F83306">
        <w:rPr>
          <w:rFonts w:ascii="Times New Roman" w:eastAsia="Times New Roman" w:hAnsi="Times New Roman" w:cs="Times New Roman"/>
          <w:bCs/>
          <w:color w:val="000000" w:themeColor="text1"/>
          <w:kern w:val="36"/>
          <w:sz w:val="24"/>
          <w:szCs w:val="24"/>
          <w:lang w:eastAsia="ru-RU"/>
        </w:rPr>
        <w:t>ресурс</w:t>
      </w:r>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www</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researchgate</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net</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publication</w:t>
      </w:r>
      <w:r w:rsidRPr="00F83306">
        <w:rPr>
          <w:rFonts w:ascii="Times New Roman" w:eastAsia="Times New Roman" w:hAnsi="Times New Roman" w:cs="Times New Roman"/>
          <w:bCs/>
          <w:color w:val="000000" w:themeColor="text1"/>
          <w:kern w:val="36"/>
          <w:sz w:val="24"/>
          <w:szCs w:val="24"/>
          <w:lang w:eastAsia="ru-RU"/>
        </w:rPr>
        <w:t>/359797407_</w:t>
      </w:r>
      <w:r w:rsidRPr="00F83306">
        <w:rPr>
          <w:rFonts w:ascii="Times New Roman" w:eastAsia="Times New Roman" w:hAnsi="Times New Roman" w:cs="Times New Roman"/>
          <w:bCs/>
          <w:color w:val="000000" w:themeColor="text1"/>
          <w:kern w:val="36"/>
          <w:sz w:val="24"/>
          <w:szCs w:val="24"/>
          <w:lang w:val="en-US" w:eastAsia="ru-RU"/>
        </w:rPr>
        <w:t>The</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Relationship</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Between</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Financial</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Reporting</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and</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Report</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The</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Exposure</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Draft</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IFRS</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S</w:t>
      </w:r>
      <w:r w:rsidRPr="00F83306">
        <w:rPr>
          <w:rFonts w:ascii="Times New Roman" w:eastAsia="Times New Roman" w:hAnsi="Times New Roman" w:cs="Times New Roman"/>
          <w:bCs/>
          <w:color w:val="000000" w:themeColor="text1"/>
          <w:kern w:val="36"/>
          <w:sz w:val="24"/>
          <w:szCs w:val="24"/>
          <w:lang w:eastAsia="ru-RU"/>
        </w:rPr>
        <w:t>1_</w:t>
      </w:r>
      <w:r w:rsidRPr="00F83306">
        <w:rPr>
          <w:rFonts w:ascii="Times New Roman" w:eastAsia="Times New Roman" w:hAnsi="Times New Roman" w:cs="Times New Roman"/>
          <w:bCs/>
          <w:color w:val="000000" w:themeColor="text1"/>
          <w:kern w:val="36"/>
          <w:sz w:val="24"/>
          <w:szCs w:val="24"/>
          <w:lang w:val="en-US" w:eastAsia="ru-RU"/>
        </w:rPr>
        <w:t>General</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Requirement</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for</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Disclosure</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of</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Sustainability</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Related</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Financial</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Information</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From</w:t>
      </w:r>
      <w:r w:rsidRPr="00F83306">
        <w:rPr>
          <w:rFonts w:ascii="Times New Roman" w:eastAsia="Times New Roman" w:hAnsi="Times New Roman" w:cs="Times New Roman"/>
          <w:bCs/>
          <w:color w:val="000000" w:themeColor="text1"/>
          <w:kern w:val="36"/>
          <w:sz w:val="24"/>
          <w:szCs w:val="24"/>
          <w:lang w:eastAsia="ru-RU"/>
        </w:rPr>
        <w:t>_</w:t>
      </w:r>
      <w:r w:rsidRPr="00F83306">
        <w:rPr>
          <w:rFonts w:ascii="Times New Roman" w:eastAsia="Times New Roman" w:hAnsi="Times New Roman" w:cs="Times New Roman"/>
          <w:bCs/>
          <w:color w:val="000000" w:themeColor="text1"/>
          <w:kern w:val="36"/>
          <w:sz w:val="24"/>
          <w:szCs w:val="24"/>
          <w:lang w:val="en-US" w:eastAsia="ru-RU"/>
        </w:rPr>
        <w:t>International</w:t>
      </w:r>
      <w:r w:rsidRPr="00F83306">
        <w:rPr>
          <w:rFonts w:ascii="Times New Roman" w:eastAsia="Times New Roman" w:hAnsi="Times New Roman" w:cs="Times New Roman"/>
          <w:bCs/>
          <w:color w:val="000000" w:themeColor="text1"/>
          <w:kern w:val="36"/>
          <w:sz w:val="24"/>
          <w:szCs w:val="24"/>
          <w:lang w:eastAsia="ru-RU"/>
        </w:rPr>
        <w:t>_ (дата обращения: 02.10.2022).</w:t>
      </w:r>
    </w:p>
    <w:p w14:paraId="59A137A7" w14:textId="77777777" w:rsidR="003A020B" w:rsidRPr="00F83306" w:rsidRDefault="003A020B" w:rsidP="003A020B">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proofErr w:type="spellStart"/>
      <w:r w:rsidRPr="00F83306">
        <w:rPr>
          <w:rFonts w:ascii="Times New Roman" w:eastAsia="Times New Roman" w:hAnsi="Times New Roman" w:cs="Times New Roman"/>
          <w:bCs/>
          <w:color w:val="000000" w:themeColor="text1"/>
          <w:kern w:val="36"/>
          <w:sz w:val="24"/>
          <w:szCs w:val="24"/>
          <w:lang w:eastAsia="ru-RU"/>
        </w:rPr>
        <w:t>Дружиловская</w:t>
      </w:r>
      <w:proofErr w:type="spellEnd"/>
      <w:r w:rsidRPr="00F83306">
        <w:rPr>
          <w:rFonts w:ascii="Times New Roman" w:eastAsia="Times New Roman" w:hAnsi="Times New Roman" w:cs="Times New Roman"/>
          <w:bCs/>
          <w:color w:val="000000" w:themeColor="text1"/>
          <w:kern w:val="36"/>
          <w:sz w:val="24"/>
          <w:szCs w:val="24"/>
          <w:lang w:eastAsia="ru-RU"/>
        </w:rPr>
        <w:t xml:space="preserve">, Э. С. Представление связанной с устойчивым развитием информации об управлении и стратегии пользователям финансовой отчетности / Э. С. </w:t>
      </w:r>
      <w:proofErr w:type="spellStart"/>
      <w:r w:rsidRPr="00F83306">
        <w:rPr>
          <w:rFonts w:ascii="Times New Roman" w:eastAsia="Times New Roman" w:hAnsi="Times New Roman" w:cs="Times New Roman"/>
          <w:bCs/>
          <w:color w:val="000000" w:themeColor="text1"/>
          <w:kern w:val="36"/>
          <w:sz w:val="24"/>
          <w:szCs w:val="24"/>
          <w:lang w:eastAsia="ru-RU"/>
        </w:rPr>
        <w:t>Дружиловская</w:t>
      </w:r>
      <w:proofErr w:type="spellEnd"/>
      <w:r w:rsidRPr="00F83306">
        <w:rPr>
          <w:rFonts w:ascii="Times New Roman" w:eastAsia="Times New Roman" w:hAnsi="Times New Roman" w:cs="Times New Roman"/>
          <w:bCs/>
          <w:color w:val="000000" w:themeColor="text1"/>
          <w:kern w:val="36"/>
          <w:sz w:val="24"/>
          <w:szCs w:val="24"/>
          <w:lang w:eastAsia="ru-RU"/>
        </w:rPr>
        <w:t xml:space="preserve"> // Бухучет в здравоохранении. – 2022. – № 7. – С. 5-13. – DOI 10.33920/med-17-2207-01. – EDN QHBKFT.</w:t>
      </w:r>
    </w:p>
    <w:p w14:paraId="0D0DBD51" w14:textId="77777777" w:rsidR="00EE6191" w:rsidRPr="00F83306" w:rsidRDefault="00EE6191" w:rsidP="00EE6191">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F83306">
        <w:rPr>
          <w:rFonts w:ascii="Times New Roman" w:eastAsia="Times New Roman" w:hAnsi="Times New Roman" w:cs="Times New Roman"/>
          <w:bCs/>
          <w:color w:val="000000" w:themeColor="text1"/>
          <w:kern w:val="36"/>
          <w:sz w:val="24"/>
          <w:szCs w:val="24"/>
          <w:lang w:val="en-US" w:eastAsia="ru-RU"/>
        </w:rPr>
        <w:t>ESG, the SEC, and the IFRS Foundation // KPMG [</w:t>
      </w:r>
      <w:proofErr w:type="spellStart"/>
      <w:r w:rsidRPr="00F83306">
        <w:rPr>
          <w:rFonts w:ascii="Times New Roman" w:eastAsia="Times New Roman" w:hAnsi="Times New Roman" w:cs="Times New Roman"/>
          <w:bCs/>
          <w:color w:val="000000" w:themeColor="text1"/>
          <w:kern w:val="36"/>
          <w:sz w:val="24"/>
          <w:szCs w:val="24"/>
          <w:lang w:val="en-US" w:eastAsia="ru-RU"/>
        </w:rPr>
        <w:t>Электронный</w:t>
      </w:r>
      <w:proofErr w:type="spellEnd"/>
      <w:r w:rsidRPr="00F83306">
        <w:rPr>
          <w:rFonts w:ascii="Times New Roman" w:eastAsia="Times New Roman" w:hAnsi="Times New Roman" w:cs="Times New Roman"/>
          <w:bCs/>
          <w:color w:val="000000" w:themeColor="text1"/>
          <w:kern w:val="36"/>
          <w:sz w:val="24"/>
          <w:szCs w:val="24"/>
          <w:lang w:val="en-US" w:eastAsia="ru-RU"/>
        </w:rPr>
        <w:t xml:space="preserve"> </w:t>
      </w:r>
      <w:proofErr w:type="spellStart"/>
      <w:r w:rsidRPr="00F83306">
        <w:rPr>
          <w:rFonts w:ascii="Times New Roman" w:eastAsia="Times New Roman" w:hAnsi="Times New Roman" w:cs="Times New Roman"/>
          <w:bCs/>
          <w:color w:val="000000" w:themeColor="text1"/>
          <w:kern w:val="36"/>
          <w:sz w:val="24"/>
          <w:szCs w:val="24"/>
          <w:lang w:val="en-US" w:eastAsia="ru-RU"/>
        </w:rPr>
        <w:t>ресурс</w:t>
      </w:r>
      <w:proofErr w:type="spellEnd"/>
      <w:r w:rsidRPr="00F83306">
        <w:rPr>
          <w:rFonts w:ascii="Times New Roman" w:eastAsia="Times New Roman" w:hAnsi="Times New Roman" w:cs="Times New Roman"/>
          <w:bCs/>
          <w:color w:val="000000" w:themeColor="text1"/>
          <w:kern w:val="36"/>
          <w:sz w:val="24"/>
          <w:szCs w:val="24"/>
          <w:lang w:val="en-US" w:eastAsia="ru-RU"/>
        </w:rPr>
        <w:t>]. URL</w:t>
      </w:r>
      <w:r w:rsidRPr="00F83306">
        <w:rPr>
          <w:rFonts w:ascii="Times New Roman" w:eastAsia="Times New Roman" w:hAnsi="Times New Roman" w:cs="Times New Roman"/>
          <w:bCs/>
          <w:color w:val="000000" w:themeColor="text1"/>
          <w:kern w:val="36"/>
          <w:sz w:val="24"/>
          <w:szCs w:val="24"/>
          <w:lang w:eastAsia="ru-RU"/>
        </w:rPr>
        <w:t xml:space="preserve">: </w:t>
      </w:r>
      <w:r w:rsidRPr="00F83306">
        <w:rPr>
          <w:rFonts w:ascii="Times New Roman" w:eastAsia="Times New Roman" w:hAnsi="Times New Roman" w:cs="Times New Roman"/>
          <w:bCs/>
          <w:color w:val="000000" w:themeColor="text1"/>
          <w:kern w:val="36"/>
          <w:sz w:val="24"/>
          <w:szCs w:val="24"/>
          <w:lang w:val="en-US" w:eastAsia="ru-RU"/>
        </w:rPr>
        <w:t>https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advisory</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kpmg</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us</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articles</w:t>
      </w:r>
      <w:r w:rsidRPr="00F83306">
        <w:rPr>
          <w:rFonts w:ascii="Times New Roman" w:eastAsia="Times New Roman" w:hAnsi="Times New Roman" w:cs="Times New Roman"/>
          <w:bCs/>
          <w:color w:val="000000" w:themeColor="text1"/>
          <w:kern w:val="36"/>
          <w:sz w:val="24"/>
          <w:szCs w:val="24"/>
          <w:lang w:eastAsia="ru-RU"/>
        </w:rPr>
        <w:t>/2021/</w:t>
      </w:r>
      <w:proofErr w:type="spellStart"/>
      <w:r w:rsidRPr="00F83306">
        <w:rPr>
          <w:rFonts w:ascii="Times New Roman" w:eastAsia="Times New Roman" w:hAnsi="Times New Roman" w:cs="Times New Roman"/>
          <w:bCs/>
          <w:color w:val="000000" w:themeColor="text1"/>
          <w:kern w:val="36"/>
          <w:sz w:val="24"/>
          <w:szCs w:val="24"/>
          <w:lang w:val="en-US" w:eastAsia="ru-RU"/>
        </w:rPr>
        <w:t>esg</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sec</w:t>
      </w:r>
      <w:r w:rsidRPr="00F83306">
        <w:rPr>
          <w:rFonts w:ascii="Times New Roman" w:eastAsia="Times New Roman" w:hAnsi="Times New Roman" w:cs="Times New Roman"/>
          <w:bCs/>
          <w:color w:val="000000" w:themeColor="text1"/>
          <w:kern w:val="36"/>
          <w:sz w:val="24"/>
          <w:szCs w:val="24"/>
          <w:lang w:eastAsia="ru-RU"/>
        </w:rPr>
        <w:t>-</w:t>
      </w:r>
      <w:proofErr w:type="spellStart"/>
      <w:r w:rsidRPr="00F83306">
        <w:rPr>
          <w:rFonts w:ascii="Times New Roman" w:eastAsia="Times New Roman" w:hAnsi="Times New Roman" w:cs="Times New Roman"/>
          <w:bCs/>
          <w:color w:val="000000" w:themeColor="text1"/>
          <w:kern w:val="36"/>
          <w:sz w:val="24"/>
          <w:szCs w:val="24"/>
          <w:lang w:val="en-US" w:eastAsia="ru-RU"/>
        </w:rPr>
        <w:t>ifrs</w:t>
      </w:r>
      <w:proofErr w:type="spellEnd"/>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foundation</w:t>
      </w:r>
      <w:r w:rsidRPr="00F83306">
        <w:rPr>
          <w:rFonts w:ascii="Times New Roman" w:eastAsia="Times New Roman" w:hAnsi="Times New Roman" w:cs="Times New Roman"/>
          <w:bCs/>
          <w:color w:val="000000" w:themeColor="text1"/>
          <w:kern w:val="36"/>
          <w:sz w:val="24"/>
          <w:szCs w:val="24"/>
          <w:lang w:eastAsia="ru-RU"/>
        </w:rPr>
        <w:t>.</w:t>
      </w:r>
      <w:r w:rsidRPr="00F83306">
        <w:rPr>
          <w:rFonts w:ascii="Times New Roman" w:eastAsia="Times New Roman" w:hAnsi="Times New Roman" w:cs="Times New Roman"/>
          <w:bCs/>
          <w:color w:val="000000" w:themeColor="text1"/>
          <w:kern w:val="36"/>
          <w:sz w:val="24"/>
          <w:szCs w:val="24"/>
          <w:lang w:val="en-US" w:eastAsia="ru-RU"/>
        </w:rPr>
        <w:t>html</w:t>
      </w:r>
      <w:r w:rsidRPr="00F83306">
        <w:rPr>
          <w:rFonts w:ascii="Times New Roman" w:eastAsia="Times New Roman" w:hAnsi="Times New Roman" w:cs="Times New Roman"/>
          <w:bCs/>
          <w:color w:val="000000" w:themeColor="text1"/>
          <w:kern w:val="36"/>
          <w:sz w:val="24"/>
          <w:szCs w:val="24"/>
          <w:lang w:eastAsia="ru-RU"/>
        </w:rPr>
        <w:t xml:space="preserve"> (дата обращения: 02.10.2022).</w:t>
      </w:r>
    </w:p>
    <w:p w14:paraId="3E1F2B90" w14:textId="77777777" w:rsidR="00F40A82" w:rsidRPr="00F1017A"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val="en-US" w:eastAsia="ru-RU"/>
        </w:rPr>
      </w:pPr>
      <w:r w:rsidRPr="00F1017A">
        <w:rPr>
          <w:rFonts w:ascii="Times New Roman" w:eastAsia="Times New Roman" w:hAnsi="Times New Roman" w:cs="Times New Roman"/>
          <w:bCs/>
          <w:color w:val="000000" w:themeColor="text1"/>
          <w:kern w:val="36"/>
          <w:sz w:val="24"/>
          <w:szCs w:val="24"/>
          <w:lang w:val="en-US" w:eastAsia="ru-RU"/>
        </w:rPr>
        <w:t>Globally Consistent ESG Reporting // Deloitte URL: https://www.deloitte.com/global/en/about/people/social-responsibility/globally-consistent-esg-reporting.html (</w:t>
      </w:r>
      <w:r w:rsidRPr="008F367A">
        <w:rPr>
          <w:rFonts w:ascii="Times New Roman" w:eastAsia="Times New Roman" w:hAnsi="Times New Roman" w:cs="Times New Roman"/>
          <w:bCs/>
          <w:color w:val="000000" w:themeColor="text1"/>
          <w:kern w:val="36"/>
          <w:sz w:val="24"/>
          <w:szCs w:val="24"/>
          <w:lang w:eastAsia="ru-RU"/>
        </w:rPr>
        <w:t>дата</w:t>
      </w:r>
      <w:r w:rsidRPr="00F1017A">
        <w:rPr>
          <w:rFonts w:ascii="Times New Roman" w:eastAsia="Times New Roman" w:hAnsi="Times New Roman" w:cs="Times New Roman"/>
          <w:bCs/>
          <w:color w:val="000000" w:themeColor="text1"/>
          <w:kern w:val="36"/>
          <w:sz w:val="24"/>
          <w:szCs w:val="24"/>
          <w:lang w:val="en-US" w:eastAsia="ru-RU"/>
        </w:rPr>
        <w:t xml:space="preserve"> </w:t>
      </w:r>
      <w:r w:rsidRPr="008F367A">
        <w:rPr>
          <w:rFonts w:ascii="Times New Roman" w:eastAsia="Times New Roman" w:hAnsi="Times New Roman" w:cs="Times New Roman"/>
          <w:bCs/>
          <w:color w:val="000000" w:themeColor="text1"/>
          <w:kern w:val="36"/>
          <w:sz w:val="24"/>
          <w:szCs w:val="24"/>
          <w:lang w:eastAsia="ru-RU"/>
        </w:rPr>
        <w:t>обращения</w:t>
      </w:r>
      <w:r w:rsidRPr="00F1017A">
        <w:rPr>
          <w:rFonts w:ascii="Times New Roman" w:eastAsia="Times New Roman" w:hAnsi="Times New Roman" w:cs="Times New Roman"/>
          <w:bCs/>
          <w:color w:val="000000" w:themeColor="text1"/>
          <w:kern w:val="36"/>
          <w:sz w:val="24"/>
          <w:szCs w:val="24"/>
          <w:lang w:val="en-US" w:eastAsia="ru-RU"/>
        </w:rPr>
        <w:t>: 02.10.2022).</w:t>
      </w:r>
    </w:p>
    <w:p w14:paraId="4CD6FCE4" w14:textId="77777777" w:rsidR="00F40A82" w:rsidRPr="00F1017A"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val="en-US" w:eastAsia="ru-RU"/>
        </w:rPr>
      </w:pPr>
      <w:r w:rsidRPr="00F1017A">
        <w:rPr>
          <w:rFonts w:ascii="Times New Roman" w:eastAsia="Times New Roman" w:hAnsi="Times New Roman" w:cs="Times New Roman"/>
          <w:bCs/>
          <w:color w:val="000000" w:themeColor="text1"/>
          <w:kern w:val="36"/>
          <w:sz w:val="24"/>
          <w:szCs w:val="24"/>
          <w:lang w:val="en-US" w:eastAsia="ru-RU"/>
        </w:rPr>
        <w:t>Inflection point: a critical moment for sustainability reporting has arrived // PWC URL: https://www.pwc.com/gx/en/services/audit-assurance/corporate-reporting/esg-sustainability-reporting.html (</w:t>
      </w:r>
      <w:r w:rsidRPr="008F367A">
        <w:rPr>
          <w:rFonts w:ascii="Times New Roman" w:eastAsia="Times New Roman" w:hAnsi="Times New Roman" w:cs="Times New Roman"/>
          <w:bCs/>
          <w:color w:val="000000" w:themeColor="text1"/>
          <w:kern w:val="36"/>
          <w:sz w:val="24"/>
          <w:szCs w:val="24"/>
          <w:lang w:eastAsia="ru-RU"/>
        </w:rPr>
        <w:t>дата</w:t>
      </w:r>
      <w:r w:rsidRPr="00F1017A">
        <w:rPr>
          <w:rFonts w:ascii="Times New Roman" w:eastAsia="Times New Roman" w:hAnsi="Times New Roman" w:cs="Times New Roman"/>
          <w:bCs/>
          <w:color w:val="000000" w:themeColor="text1"/>
          <w:kern w:val="36"/>
          <w:sz w:val="24"/>
          <w:szCs w:val="24"/>
          <w:lang w:val="en-US" w:eastAsia="ru-RU"/>
        </w:rPr>
        <w:t xml:space="preserve"> </w:t>
      </w:r>
      <w:r w:rsidRPr="008F367A">
        <w:rPr>
          <w:rFonts w:ascii="Times New Roman" w:eastAsia="Times New Roman" w:hAnsi="Times New Roman" w:cs="Times New Roman"/>
          <w:bCs/>
          <w:color w:val="000000" w:themeColor="text1"/>
          <w:kern w:val="36"/>
          <w:sz w:val="24"/>
          <w:szCs w:val="24"/>
          <w:lang w:eastAsia="ru-RU"/>
        </w:rPr>
        <w:t>обращения</w:t>
      </w:r>
      <w:r w:rsidRPr="00F1017A">
        <w:rPr>
          <w:rFonts w:ascii="Times New Roman" w:eastAsia="Times New Roman" w:hAnsi="Times New Roman" w:cs="Times New Roman"/>
          <w:bCs/>
          <w:color w:val="000000" w:themeColor="text1"/>
          <w:kern w:val="36"/>
          <w:sz w:val="24"/>
          <w:szCs w:val="24"/>
          <w:lang w:val="en-US" w:eastAsia="ru-RU"/>
        </w:rPr>
        <w:t>: 02.10.2022).</w:t>
      </w:r>
    </w:p>
    <w:p w14:paraId="6EB09EE7" w14:textId="77777777" w:rsidR="00F40A82" w:rsidRPr="00F1017A"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val="en-US" w:eastAsia="ru-RU"/>
        </w:rPr>
      </w:pPr>
      <w:r w:rsidRPr="00F1017A">
        <w:rPr>
          <w:rFonts w:ascii="Times New Roman" w:eastAsia="Times New Roman" w:hAnsi="Times New Roman" w:cs="Times New Roman"/>
          <w:bCs/>
          <w:color w:val="000000" w:themeColor="text1"/>
          <w:kern w:val="36"/>
          <w:sz w:val="24"/>
          <w:szCs w:val="24"/>
          <w:lang w:val="en-US" w:eastAsia="ru-RU"/>
        </w:rPr>
        <w:t>ESG, the SEC, and the IFRS Foundation // KPMG URL: https://advisory.kpmg.us/articles/2021/esg-sec-ifrs-foundation.html (</w:t>
      </w:r>
      <w:r w:rsidRPr="008F367A">
        <w:rPr>
          <w:rFonts w:ascii="Times New Roman" w:eastAsia="Times New Roman" w:hAnsi="Times New Roman" w:cs="Times New Roman"/>
          <w:bCs/>
          <w:color w:val="000000" w:themeColor="text1"/>
          <w:kern w:val="36"/>
          <w:sz w:val="24"/>
          <w:szCs w:val="24"/>
          <w:lang w:eastAsia="ru-RU"/>
        </w:rPr>
        <w:t>дата</w:t>
      </w:r>
      <w:r w:rsidRPr="00F1017A">
        <w:rPr>
          <w:rFonts w:ascii="Times New Roman" w:eastAsia="Times New Roman" w:hAnsi="Times New Roman" w:cs="Times New Roman"/>
          <w:bCs/>
          <w:color w:val="000000" w:themeColor="text1"/>
          <w:kern w:val="36"/>
          <w:sz w:val="24"/>
          <w:szCs w:val="24"/>
          <w:lang w:val="en-US" w:eastAsia="ru-RU"/>
        </w:rPr>
        <w:t xml:space="preserve"> </w:t>
      </w:r>
      <w:r w:rsidRPr="008F367A">
        <w:rPr>
          <w:rFonts w:ascii="Times New Roman" w:eastAsia="Times New Roman" w:hAnsi="Times New Roman" w:cs="Times New Roman"/>
          <w:bCs/>
          <w:color w:val="000000" w:themeColor="text1"/>
          <w:kern w:val="36"/>
          <w:sz w:val="24"/>
          <w:szCs w:val="24"/>
          <w:lang w:eastAsia="ru-RU"/>
        </w:rPr>
        <w:t>обращения</w:t>
      </w:r>
      <w:r w:rsidRPr="00F1017A">
        <w:rPr>
          <w:rFonts w:ascii="Times New Roman" w:eastAsia="Times New Roman" w:hAnsi="Times New Roman" w:cs="Times New Roman"/>
          <w:bCs/>
          <w:color w:val="000000" w:themeColor="text1"/>
          <w:kern w:val="36"/>
          <w:sz w:val="24"/>
          <w:szCs w:val="24"/>
          <w:lang w:val="en-US" w:eastAsia="ru-RU"/>
        </w:rPr>
        <w:t>: 02.10.2022).</w:t>
      </w:r>
    </w:p>
    <w:p w14:paraId="6B513332" w14:textId="7B1EFC35" w:rsidR="00EE6191" w:rsidRPr="00F40A82" w:rsidRDefault="00F40A82" w:rsidP="00F40A82">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val="en-US" w:eastAsia="ru-RU"/>
        </w:rPr>
      </w:pPr>
      <w:r w:rsidRPr="00F1017A">
        <w:rPr>
          <w:rFonts w:ascii="Times New Roman" w:eastAsia="Times New Roman" w:hAnsi="Times New Roman" w:cs="Times New Roman"/>
          <w:bCs/>
          <w:color w:val="000000" w:themeColor="text1"/>
          <w:kern w:val="36"/>
          <w:sz w:val="24"/>
          <w:szCs w:val="24"/>
          <w:lang w:val="en-US" w:eastAsia="ru-RU"/>
        </w:rPr>
        <w:t>What to watch as global ESG reporting standards take shape // EY URL: https://www.ey.com/en_lb/public-policy/what-to-watch-as-global-esg-reporting-standards-take-shape (</w:t>
      </w:r>
      <w:r w:rsidRPr="008F367A">
        <w:rPr>
          <w:rFonts w:ascii="Times New Roman" w:eastAsia="Times New Roman" w:hAnsi="Times New Roman" w:cs="Times New Roman"/>
          <w:bCs/>
          <w:color w:val="000000" w:themeColor="text1"/>
          <w:kern w:val="36"/>
          <w:sz w:val="24"/>
          <w:szCs w:val="24"/>
          <w:lang w:eastAsia="ru-RU"/>
        </w:rPr>
        <w:t>дата</w:t>
      </w:r>
      <w:r w:rsidRPr="00F1017A">
        <w:rPr>
          <w:rFonts w:ascii="Times New Roman" w:eastAsia="Times New Roman" w:hAnsi="Times New Roman" w:cs="Times New Roman"/>
          <w:bCs/>
          <w:color w:val="000000" w:themeColor="text1"/>
          <w:kern w:val="36"/>
          <w:sz w:val="24"/>
          <w:szCs w:val="24"/>
          <w:lang w:val="en-US" w:eastAsia="ru-RU"/>
        </w:rPr>
        <w:t xml:space="preserve"> </w:t>
      </w:r>
      <w:r w:rsidRPr="008F367A">
        <w:rPr>
          <w:rFonts w:ascii="Times New Roman" w:eastAsia="Times New Roman" w:hAnsi="Times New Roman" w:cs="Times New Roman"/>
          <w:bCs/>
          <w:color w:val="000000" w:themeColor="text1"/>
          <w:kern w:val="36"/>
          <w:sz w:val="24"/>
          <w:szCs w:val="24"/>
          <w:lang w:eastAsia="ru-RU"/>
        </w:rPr>
        <w:t>обращения</w:t>
      </w:r>
      <w:r w:rsidRPr="00F1017A">
        <w:rPr>
          <w:rFonts w:ascii="Times New Roman" w:eastAsia="Times New Roman" w:hAnsi="Times New Roman" w:cs="Times New Roman"/>
          <w:bCs/>
          <w:color w:val="000000" w:themeColor="text1"/>
          <w:kern w:val="36"/>
          <w:sz w:val="24"/>
          <w:szCs w:val="24"/>
          <w:lang w:val="en-US" w:eastAsia="ru-RU"/>
        </w:rPr>
        <w:t>: 02.10.2022).</w:t>
      </w:r>
    </w:p>
    <w:p w14:paraId="6CFD8803" w14:textId="77777777" w:rsidR="001E4FDA" w:rsidRPr="008F367A" w:rsidRDefault="001E4FDA" w:rsidP="008F367A">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8F367A">
        <w:rPr>
          <w:rFonts w:ascii="Times New Roman" w:eastAsia="Times New Roman" w:hAnsi="Times New Roman" w:cs="Times New Roman"/>
          <w:bCs/>
          <w:color w:val="000000" w:themeColor="text1"/>
          <w:kern w:val="36"/>
          <w:sz w:val="24"/>
          <w:szCs w:val="24"/>
          <w:lang w:eastAsia="ru-RU"/>
        </w:rPr>
        <w:t>Ефимова, О. В. Нефинансовая отчетность в России: возможности и перспективы развития / О. В. Ефимова // Аудиторские ведомости. – 2017. – № 9. – С. 30-39. – EDN YNHAML.</w:t>
      </w:r>
    </w:p>
    <w:p w14:paraId="36029EE5" w14:textId="4A23ADA1" w:rsidR="00C9641F" w:rsidRDefault="000A44EE" w:rsidP="008B306D">
      <w:pPr>
        <w:pStyle w:val="a6"/>
        <w:numPr>
          <w:ilvl w:val="0"/>
          <w:numId w:val="4"/>
        </w:numPr>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sidRPr="008F367A">
        <w:rPr>
          <w:rFonts w:ascii="Times New Roman" w:eastAsia="Times New Roman" w:hAnsi="Times New Roman" w:cs="Times New Roman"/>
          <w:bCs/>
          <w:color w:val="000000" w:themeColor="text1"/>
          <w:kern w:val="36"/>
          <w:sz w:val="24"/>
          <w:szCs w:val="24"/>
          <w:lang w:eastAsia="ru-RU"/>
        </w:rPr>
        <w:t xml:space="preserve">Соловей, Т. Н. Практика нефинансовой отчетности: возможные пути развития / Т. Н. Соловей, В. А. </w:t>
      </w:r>
      <w:proofErr w:type="spellStart"/>
      <w:r w:rsidRPr="008F367A">
        <w:rPr>
          <w:rFonts w:ascii="Times New Roman" w:eastAsia="Times New Roman" w:hAnsi="Times New Roman" w:cs="Times New Roman"/>
          <w:bCs/>
          <w:color w:val="000000" w:themeColor="text1"/>
          <w:kern w:val="36"/>
          <w:sz w:val="24"/>
          <w:szCs w:val="24"/>
          <w:lang w:eastAsia="ru-RU"/>
        </w:rPr>
        <w:t>Пучкова</w:t>
      </w:r>
      <w:proofErr w:type="spellEnd"/>
      <w:r w:rsidRPr="008F367A">
        <w:rPr>
          <w:rFonts w:ascii="Times New Roman" w:eastAsia="Times New Roman" w:hAnsi="Times New Roman" w:cs="Times New Roman"/>
          <w:bCs/>
          <w:color w:val="000000" w:themeColor="text1"/>
          <w:kern w:val="36"/>
          <w:sz w:val="24"/>
          <w:szCs w:val="24"/>
          <w:lang w:eastAsia="ru-RU"/>
        </w:rPr>
        <w:t xml:space="preserve"> // Международный бухгалтерский учет. – 2021. – Т. 24. – № 7(481). – С. 781-803. – DOI 10.24891/ia.24.7.781. – EDN TRCATW. </w:t>
      </w:r>
    </w:p>
    <w:p w14:paraId="55C8D427" w14:textId="77777777" w:rsidR="00C9641F" w:rsidRDefault="00C9641F">
      <w:pPr>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bCs/>
          <w:color w:val="000000" w:themeColor="text1"/>
          <w:kern w:val="36"/>
          <w:sz w:val="24"/>
          <w:szCs w:val="24"/>
          <w:lang w:eastAsia="ru-RU"/>
        </w:rPr>
        <w:br w:type="page"/>
      </w:r>
    </w:p>
    <w:p w14:paraId="63E10257" w14:textId="2D2B1F2A" w:rsidR="000A44EE" w:rsidRPr="00B83AA2" w:rsidRDefault="00B83AA2" w:rsidP="00C9641F">
      <w:pPr>
        <w:pStyle w:val="a6"/>
        <w:tabs>
          <w:tab w:val="left" w:pos="5256"/>
        </w:tabs>
        <w:spacing w:after="0" w:line="240" w:lineRule="auto"/>
        <w:jc w:val="both"/>
        <w:rPr>
          <w:rFonts w:ascii="Times New Roman" w:eastAsia="Times New Roman" w:hAnsi="Times New Roman" w:cs="Times New Roman"/>
          <w:b/>
          <w:bCs/>
          <w:color w:val="000000" w:themeColor="text1"/>
          <w:kern w:val="36"/>
          <w:sz w:val="24"/>
          <w:szCs w:val="24"/>
          <w:lang w:eastAsia="ru-RU"/>
        </w:rPr>
      </w:pPr>
      <w:r w:rsidRPr="00B83AA2">
        <w:rPr>
          <w:rFonts w:ascii="Times New Roman" w:eastAsia="Times New Roman" w:hAnsi="Times New Roman" w:cs="Times New Roman"/>
          <w:b/>
          <w:bCs/>
          <w:color w:val="000000" w:themeColor="text1"/>
          <w:kern w:val="36"/>
          <w:sz w:val="24"/>
          <w:szCs w:val="24"/>
          <w:lang w:eastAsia="ru-RU"/>
        </w:rPr>
        <w:lastRenderedPageBreak/>
        <w:t>При</w:t>
      </w:r>
      <w:bookmarkStart w:id="0" w:name="_GoBack"/>
      <w:bookmarkEnd w:id="0"/>
      <w:r w:rsidRPr="00B83AA2">
        <w:rPr>
          <w:rFonts w:ascii="Times New Roman" w:eastAsia="Times New Roman" w:hAnsi="Times New Roman" w:cs="Times New Roman"/>
          <w:b/>
          <w:bCs/>
          <w:color w:val="000000" w:themeColor="text1"/>
          <w:kern w:val="36"/>
          <w:sz w:val="24"/>
          <w:szCs w:val="24"/>
          <w:lang w:eastAsia="ru-RU"/>
        </w:rPr>
        <w:t>ложение (схема на английском)</w:t>
      </w:r>
    </w:p>
    <w:p w14:paraId="11E28B7D" w14:textId="3B0DED49" w:rsidR="00B83AA2" w:rsidRDefault="00B83AA2" w:rsidP="00C9641F">
      <w:pPr>
        <w:pStyle w:val="a6"/>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p>
    <w:p w14:paraId="2C14E8E6" w14:textId="25124004" w:rsidR="00B83AA2" w:rsidRPr="00B83AA2" w:rsidRDefault="00B83AA2" w:rsidP="00C9641F">
      <w:pPr>
        <w:pStyle w:val="a6"/>
        <w:tabs>
          <w:tab w:val="left" w:pos="5256"/>
        </w:tabs>
        <w:spacing w:after="0" w:line="240" w:lineRule="auto"/>
        <w:jc w:val="both"/>
        <w:rPr>
          <w:rFonts w:ascii="Times New Roman" w:eastAsia="Times New Roman" w:hAnsi="Times New Roman" w:cs="Times New Roman"/>
          <w:bCs/>
          <w:color w:val="000000" w:themeColor="text1"/>
          <w:kern w:val="36"/>
          <w:sz w:val="24"/>
          <w:szCs w:val="24"/>
          <w:lang w:eastAsia="ru-RU"/>
        </w:rPr>
      </w:pPr>
      <w:r>
        <w:rPr>
          <w:noProof/>
          <w:lang w:eastAsia="ru-RU"/>
        </w:rPr>
        <mc:AlternateContent>
          <mc:Choice Requires="wpg">
            <w:drawing>
              <wp:anchor distT="0" distB="0" distL="114300" distR="114300" simplePos="0" relativeHeight="251661312" behindDoc="0" locked="0" layoutInCell="1" allowOverlap="1" wp14:anchorId="482EACD9" wp14:editId="41A9E10A">
                <wp:simplePos x="0" y="0"/>
                <wp:positionH relativeFrom="column">
                  <wp:posOffset>0</wp:posOffset>
                </wp:positionH>
                <wp:positionV relativeFrom="paragraph">
                  <wp:posOffset>-635</wp:posOffset>
                </wp:positionV>
                <wp:extent cx="5877560" cy="2933700"/>
                <wp:effectExtent l="0" t="0" r="27940" b="19050"/>
                <wp:wrapNone/>
                <wp:docPr id="3" name="Группа 3"/>
                <wp:cNvGraphicFramePr/>
                <a:graphic xmlns:a="http://schemas.openxmlformats.org/drawingml/2006/main">
                  <a:graphicData uri="http://schemas.microsoft.com/office/word/2010/wordprocessingGroup">
                    <wpg:wgp>
                      <wpg:cNvGrpSpPr/>
                      <wpg:grpSpPr>
                        <a:xfrm>
                          <a:off x="0" y="0"/>
                          <a:ext cx="5877560" cy="2933700"/>
                          <a:chOff x="0" y="0"/>
                          <a:chExt cx="5877560" cy="2933700"/>
                        </a:xfrm>
                      </wpg:grpSpPr>
                      <wps:wsp>
                        <wps:cNvPr id="5" name="Прямоугольник 5"/>
                        <wps:cNvSpPr/>
                        <wps:spPr>
                          <a:xfrm>
                            <a:off x="0" y="0"/>
                            <a:ext cx="4714875" cy="5524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655320"/>
                            <a:ext cx="4714875" cy="619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93795CC" w14:textId="77777777" w:rsidR="00B83AA2" w:rsidRDefault="00B83AA2" w:rsidP="00B83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0" y="1371600"/>
                            <a:ext cx="4714875" cy="15621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4861560" y="297180"/>
                            <a:ext cx="1016000" cy="263652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Надпись 2"/>
                        <wps:cNvSpPr txBox="1">
                          <a:spLocks noChangeArrowheads="1"/>
                        </wps:cNvSpPr>
                        <wps:spPr bwMode="auto">
                          <a:xfrm>
                            <a:off x="1455420" y="106680"/>
                            <a:ext cx="3057525" cy="304800"/>
                          </a:xfrm>
                          <a:prstGeom prst="rect">
                            <a:avLst/>
                          </a:prstGeom>
                          <a:solidFill>
                            <a:srgbClr val="FFFFFF"/>
                          </a:solidFill>
                          <a:ln w="9525">
                            <a:solidFill>
                              <a:srgbClr val="000000"/>
                            </a:solidFill>
                            <a:miter lim="800000"/>
                            <a:headEnd/>
                            <a:tailEnd/>
                          </a:ln>
                        </wps:spPr>
                        <wps:txbx>
                          <w:txbxContent>
                            <w:p w14:paraId="0CE2B36D" w14:textId="77777777" w:rsidR="00B83AA2" w:rsidRPr="00B633B8" w:rsidRDefault="00B83AA2" w:rsidP="00B83AA2">
                              <w:pPr>
                                <w:jc w:val="center"/>
                                <w:rPr>
                                  <w:rFonts w:ascii="Times New Roman" w:hAnsi="Times New Roman" w:cs="Times New Roman"/>
                                  <w:sz w:val="28"/>
                                  <w:szCs w:val="28"/>
                                  <w:lang w:val="en-US"/>
                                </w:rPr>
                              </w:pPr>
                              <w:r>
                                <w:rPr>
                                  <w:rFonts w:ascii="Times New Roman" w:hAnsi="Times New Roman" w:cs="Times New Roman"/>
                                  <w:sz w:val="24"/>
                                  <w:szCs w:val="28"/>
                                  <w:lang w:val="en-US"/>
                                </w:rPr>
                                <w:t xml:space="preserve">IFRS Foundation Monitoring Board </w:t>
                              </w:r>
                            </w:p>
                          </w:txbxContent>
                        </wps:txbx>
                        <wps:bodyPr rot="0" vert="horz" wrap="square" lIns="91440" tIns="45720" rIns="91440" bIns="45720" anchor="t" anchorCtr="0">
                          <a:noAutofit/>
                        </wps:bodyPr>
                      </wps:wsp>
                      <wps:wsp>
                        <wps:cNvPr id="12" name="Надпись 2"/>
                        <wps:cNvSpPr txBox="1">
                          <a:spLocks noChangeArrowheads="1"/>
                        </wps:cNvSpPr>
                        <wps:spPr bwMode="auto">
                          <a:xfrm>
                            <a:off x="1455420" y="777240"/>
                            <a:ext cx="3057525" cy="304800"/>
                          </a:xfrm>
                          <a:prstGeom prst="rect">
                            <a:avLst/>
                          </a:prstGeom>
                          <a:solidFill>
                            <a:srgbClr val="FFFFFF"/>
                          </a:solidFill>
                          <a:ln w="9525">
                            <a:solidFill>
                              <a:srgbClr val="000000"/>
                            </a:solidFill>
                            <a:miter lim="800000"/>
                            <a:headEnd/>
                            <a:tailEnd/>
                          </a:ln>
                        </wps:spPr>
                        <wps:txbx>
                          <w:txbxContent>
                            <w:p w14:paraId="4E67CB71" w14:textId="77777777" w:rsidR="00B83AA2" w:rsidRPr="00ED7961" w:rsidRDefault="00B83AA2" w:rsidP="00B83AA2">
                              <w:pPr>
                                <w:jc w:val="center"/>
                                <w:rPr>
                                  <w:rFonts w:ascii="Times New Roman" w:hAnsi="Times New Roman" w:cs="Times New Roman"/>
                                  <w:sz w:val="24"/>
                                  <w:szCs w:val="28"/>
                                  <w:lang w:val="en-US"/>
                                </w:rPr>
                              </w:pPr>
                              <w:r>
                                <w:rPr>
                                  <w:rFonts w:ascii="Times New Roman" w:hAnsi="Times New Roman" w:cs="Times New Roman"/>
                                  <w:sz w:val="24"/>
                                  <w:szCs w:val="28"/>
                                  <w:lang w:val="en-US"/>
                                </w:rPr>
                                <w:t>IFRS Foundation Trustees</w:t>
                              </w:r>
                            </w:p>
                          </w:txbxContent>
                        </wps:txbx>
                        <wps:bodyPr rot="0" vert="horz" wrap="square" lIns="91440" tIns="45720" rIns="91440" bIns="45720" anchor="t" anchorCtr="0">
                          <a:noAutofit/>
                        </wps:bodyPr>
                      </wps:wsp>
                      <wps:wsp>
                        <wps:cNvPr id="16" name="Надпись 2"/>
                        <wps:cNvSpPr txBox="1">
                          <a:spLocks noChangeArrowheads="1"/>
                        </wps:cNvSpPr>
                        <wps:spPr bwMode="auto">
                          <a:xfrm>
                            <a:off x="121920" y="45720"/>
                            <a:ext cx="1264920" cy="466725"/>
                          </a:xfrm>
                          <a:prstGeom prst="rect">
                            <a:avLst/>
                          </a:prstGeom>
                          <a:ln>
                            <a:solidFill>
                              <a:schemeClr val="accent3">
                                <a:lumMod val="60000"/>
                                <a:lumOff val="4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14:paraId="087AEB92" w14:textId="77777777" w:rsidR="00B83AA2" w:rsidRPr="00504685" w:rsidRDefault="00B83AA2" w:rsidP="00B83AA2">
                              <w:pPr>
                                <w:jc w:val="center"/>
                                <w:rPr>
                                  <w:rFonts w:ascii="Times New Roman" w:hAnsi="Times New Roman" w:cs="Times New Roman"/>
                                  <w:b/>
                                  <w:sz w:val="24"/>
                                  <w:szCs w:val="24"/>
                                  <w:lang w:val="en-US"/>
                                </w:rPr>
                              </w:pPr>
                              <w:r>
                                <w:rPr>
                                  <w:rFonts w:ascii="Times New Roman" w:hAnsi="Times New Roman" w:cs="Times New Roman"/>
                                  <w:b/>
                                  <w:sz w:val="24"/>
                                  <w:szCs w:val="24"/>
                                </w:rPr>
                                <w:t xml:space="preserve">Public </w:t>
                              </w:r>
                              <w:proofErr w:type="spellStart"/>
                              <w:r>
                                <w:rPr>
                                  <w:rFonts w:ascii="Times New Roman" w:hAnsi="Times New Roman" w:cs="Times New Roman"/>
                                  <w:b/>
                                  <w:sz w:val="24"/>
                                  <w:szCs w:val="24"/>
                                </w:rPr>
                                <w:t>accountability</w:t>
                              </w:r>
                              <w:proofErr w:type="spellEnd"/>
                            </w:p>
                          </w:txbxContent>
                        </wps:txbx>
                        <wps:bodyPr rot="0" vert="horz" wrap="square" lIns="91440" tIns="45720" rIns="91440" bIns="45720" anchor="t" anchorCtr="0">
                          <a:noAutofit/>
                        </wps:bodyPr>
                      </wps:wsp>
                      <wps:wsp>
                        <wps:cNvPr id="17" name="Надпись 17"/>
                        <wps:cNvSpPr txBox="1"/>
                        <wps:spPr>
                          <a:xfrm>
                            <a:off x="121920" y="647700"/>
                            <a:ext cx="1143000" cy="619125"/>
                          </a:xfrm>
                          <a:prstGeom prst="rect">
                            <a:avLst/>
                          </a:prstGeom>
                          <a:ln>
                            <a:solidFill>
                              <a:schemeClr val="accent3">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14:paraId="54736E97" w14:textId="77777777" w:rsidR="00B83AA2" w:rsidRPr="00504685" w:rsidRDefault="00B83AA2" w:rsidP="00B83AA2">
                              <w:pPr>
                                <w:jc w:val="center"/>
                                <w:rPr>
                                  <w:rFonts w:ascii="Times New Roman" w:hAnsi="Times New Roman" w:cs="Times New Roman"/>
                                  <w:b/>
                                </w:rPr>
                              </w:pPr>
                              <w:r>
                                <w:rPr>
                                  <w:rFonts w:ascii="Times New Roman" w:hAnsi="Times New Roman" w:cs="Times New Roman"/>
                                  <w:b/>
                                  <w:lang w:val="en-US"/>
                                </w:rPr>
                                <w:t>Governance, strategy &amp;</w:t>
                              </w:r>
                              <w:r w:rsidRPr="00B633B8">
                                <w:rPr>
                                  <w:rFonts w:ascii="Times New Roman" w:hAnsi="Times New Roman" w:cs="Times New Roman"/>
                                  <w:b/>
                                  <w:lang w:val="en-US"/>
                                </w:rPr>
                                <w:t xml:space="preserve"> oversight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1264920" y="1447800"/>
                            <a:ext cx="1552575" cy="876300"/>
                          </a:xfrm>
                          <a:prstGeom prst="rect">
                            <a:avLst/>
                          </a:prstGeom>
                          <a:solidFill>
                            <a:srgbClr val="A50021"/>
                          </a:solidFill>
                          <a:ln w="6350">
                            <a:solidFill>
                              <a:srgbClr val="A50021"/>
                            </a:solidFill>
                          </a:ln>
                        </wps:spPr>
                        <wps:txbx>
                          <w:txbxContent>
                            <w:p w14:paraId="57680705" w14:textId="77777777" w:rsidR="00B83AA2" w:rsidRPr="00ED7961" w:rsidRDefault="00B83AA2" w:rsidP="00B83AA2">
                              <w:pPr>
                                <w:jc w:val="center"/>
                                <w:rPr>
                                  <w:rFonts w:ascii="Times New Roman" w:hAnsi="Times New Roman" w:cs="Times New Roman"/>
                                  <w:bCs/>
                                  <w:sz w:val="24"/>
                                  <w:szCs w:val="24"/>
                                  <w:lang w:val="en-US"/>
                                </w:rPr>
                              </w:pPr>
                              <w:r w:rsidRPr="00B83AA2">
                                <w:rPr>
                                  <w:rFonts w:ascii="Times New Roman" w:hAnsi="Times New Roman" w:cs="Times New Roman"/>
                                  <w:bCs/>
                                  <w:sz w:val="24"/>
                                  <w:szCs w:val="24"/>
                                  <w:lang w:val="en-US"/>
                                </w:rPr>
                                <w:t xml:space="preserve">International Accounting Standards Board </w:t>
                              </w:r>
                              <w:r w:rsidRPr="00ED7961">
                                <w:rPr>
                                  <w:rFonts w:ascii="Times New Roman" w:hAnsi="Times New Roman" w:cs="Times New Roman"/>
                                  <w:bCs/>
                                  <w:sz w:val="24"/>
                                  <w:szCs w:val="24"/>
                                  <w:lang w:val="en-US"/>
                                </w:rPr>
                                <w:t>(IASB)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Надпись 19"/>
                        <wps:cNvSpPr txBox="1"/>
                        <wps:spPr>
                          <a:xfrm>
                            <a:off x="2979420" y="1447800"/>
                            <a:ext cx="1638300" cy="876300"/>
                          </a:xfrm>
                          <a:prstGeom prst="rect">
                            <a:avLst/>
                          </a:prstGeom>
                          <a:solidFill>
                            <a:srgbClr val="A50021"/>
                          </a:solidFill>
                          <a:ln w="6350">
                            <a:solidFill>
                              <a:srgbClr val="C00000"/>
                            </a:solidFill>
                          </a:ln>
                        </wps:spPr>
                        <wps:txbx>
                          <w:txbxContent>
                            <w:p w14:paraId="1C937C76" w14:textId="77777777" w:rsidR="00B83AA2" w:rsidRPr="00ED7961" w:rsidRDefault="00B83AA2" w:rsidP="00B83AA2">
                              <w:pPr>
                                <w:jc w:val="center"/>
                                <w:rPr>
                                  <w:rFonts w:ascii="Times New Roman" w:hAnsi="Times New Roman" w:cs="Times New Roman"/>
                                  <w:sz w:val="28"/>
                                  <w:szCs w:val="28"/>
                                  <w:lang w:val="en-US"/>
                                </w:rPr>
                              </w:pPr>
                              <w:r w:rsidRPr="00B83AA2">
                                <w:rPr>
                                  <w:rFonts w:ascii="Times New Roman" w:hAnsi="Times New Roman" w:cs="Times New Roman"/>
                                  <w:bCs/>
                                  <w:sz w:val="24"/>
                                  <w:szCs w:val="24"/>
                                  <w:lang w:val="en-US"/>
                                </w:rPr>
                                <w:t>International Sustainability</w:t>
                              </w:r>
                              <w:r w:rsidRPr="00ED7961">
                                <w:rPr>
                                  <w:rFonts w:ascii="Arial" w:hAnsi="Arial" w:cs="Arial"/>
                                  <w:b/>
                                  <w:bCs/>
                                  <w:color w:val="333333"/>
                                  <w:sz w:val="42"/>
                                  <w:szCs w:val="42"/>
                                  <w:shd w:val="clear" w:color="auto" w:fill="FFFFFF"/>
                                  <w:lang w:val="en-US"/>
                                </w:rPr>
                                <w:t xml:space="preserve"> </w:t>
                              </w:r>
                              <w:r w:rsidRPr="00B83AA2">
                                <w:rPr>
                                  <w:rFonts w:ascii="Times New Roman" w:hAnsi="Times New Roman" w:cs="Times New Roman"/>
                                  <w:bCs/>
                                  <w:sz w:val="24"/>
                                  <w:szCs w:val="24"/>
                                  <w:lang w:val="en-US"/>
                                </w:rPr>
                                <w:t>Standards Board</w:t>
                              </w:r>
                              <w:r w:rsidRPr="00ED7961">
                                <w:rPr>
                                  <w:rFonts w:ascii="Times New Roman" w:hAnsi="Times New Roman" w:cs="Times New Roman"/>
                                  <w:sz w:val="28"/>
                                  <w:szCs w:val="28"/>
                                  <w:lang w:val="en-US"/>
                                </w:rPr>
                                <w:t xml:space="preserve"> (</w:t>
                              </w:r>
                              <w:r w:rsidRPr="00A653B4">
                                <w:rPr>
                                  <w:rFonts w:ascii="Times New Roman" w:hAnsi="Times New Roman" w:cs="Times New Roman"/>
                                  <w:sz w:val="28"/>
                                  <w:szCs w:val="28"/>
                                  <w:lang w:val="en-US"/>
                                </w:rPr>
                                <w:t>ISSB</w:t>
                              </w:r>
                              <w:r w:rsidRPr="00ED7961">
                                <w:rPr>
                                  <w:rFonts w:ascii="Times New Roman" w:hAnsi="Times New Roman" w:cs="Times New Roman"/>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60960" y="1615440"/>
                            <a:ext cx="1135380" cy="1104900"/>
                          </a:xfrm>
                          <a:prstGeom prst="rect">
                            <a:avLst/>
                          </a:prstGeom>
                          <a:ln>
                            <a:solidFill>
                              <a:schemeClr val="accent3">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14:paraId="50F915C2" w14:textId="77777777" w:rsidR="00B83AA2" w:rsidRPr="00B633B8" w:rsidRDefault="00B83AA2" w:rsidP="00B83AA2">
                              <w:pPr>
                                <w:jc w:val="center"/>
                                <w:rPr>
                                  <w:rFonts w:ascii="Times New Roman" w:hAnsi="Times New Roman" w:cs="Times New Roman"/>
                                  <w:b/>
                                  <w:sz w:val="28"/>
                                  <w:szCs w:val="24"/>
                                  <w:lang w:val="en-US"/>
                                </w:rPr>
                              </w:pPr>
                              <w:r>
                                <w:rPr>
                                  <w:rFonts w:ascii="Times New Roman" w:hAnsi="Times New Roman" w:cs="Times New Roman"/>
                                  <w:b/>
                                  <w:sz w:val="24"/>
                                  <w:lang w:val="en-US"/>
                                </w:rPr>
                                <w:t>Independent standard-setting &amp; related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1303020" y="2301240"/>
                            <a:ext cx="1440180" cy="495300"/>
                          </a:xfrm>
                          <a:prstGeom prst="rect">
                            <a:avLst/>
                          </a:prstGeom>
                          <a:solidFill>
                            <a:schemeClr val="lt1"/>
                          </a:solidFill>
                          <a:ln w="6350">
                            <a:solidFill>
                              <a:prstClr val="black"/>
                            </a:solidFill>
                          </a:ln>
                        </wps:spPr>
                        <wps:txbx>
                          <w:txbxContent>
                            <w:p w14:paraId="54883871" w14:textId="77777777" w:rsidR="00B83AA2" w:rsidRPr="00BC228E" w:rsidRDefault="00B83AA2" w:rsidP="00B83AA2">
                              <w:pPr>
                                <w:jc w:val="center"/>
                                <w:rPr>
                                  <w:rFonts w:ascii="Times New Roman" w:hAnsi="Times New Roman" w:cs="Times New Roman"/>
                                  <w:sz w:val="24"/>
                                  <w:lang w:val="en-US"/>
                                </w:rPr>
                              </w:pPr>
                              <w:r>
                                <w:rPr>
                                  <w:rFonts w:ascii="Times New Roman" w:hAnsi="Times New Roman" w:cs="Times New Roman"/>
                                  <w:lang w:val="en-US"/>
                                </w:rPr>
                                <w:t>IFRS Accounting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Надпись 22"/>
                        <wps:cNvSpPr txBox="1"/>
                        <wps:spPr>
                          <a:xfrm>
                            <a:off x="3048000" y="2301240"/>
                            <a:ext cx="1531620" cy="502920"/>
                          </a:xfrm>
                          <a:prstGeom prst="rect">
                            <a:avLst/>
                          </a:prstGeom>
                          <a:solidFill>
                            <a:schemeClr val="lt1"/>
                          </a:solidFill>
                          <a:ln w="6350">
                            <a:solidFill>
                              <a:prstClr val="black"/>
                            </a:solidFill>
                          </a:ln>
                        </wps:spPr>
                        <wps:txbx>
                          <w:txbxContent>
                            <w:p w14:paraId="1C5AF5B4" w14:textId="77777777" w:rsidR="00B83AA2" w:rsidRPr="00ED7961" w:rsidRDefault="00B83AA2" w:rsidP="00B83AA2">
                              <w:pPr>
                                <w:jc w:val="center"/>
                                <w:rPr>
                                  <w:rFonts w:ascii="Times New Roman" w:hAnsi="Times New Roman" w:cs="Times New Roman"/>
                                  <w:sz w:val="24"/>
                                  <w:lang w:val="en-US"/>
                                </w:rPr>
                              </w:pPr>
                              <w:r>
                                <w:rPr>
                                  <w:rFonts w:ascii="Times New Roman" w:hAnsi="Times New Roman" w:cs="Times New Roman"/>
                                  <w:lang w:val="en-US"/>
                                </w:rPr>
                                <w:t>IFRS Sustainability Disclosure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Надпись 23"/>
                        <wps:cNvSpPr txBox="1"/>
                        <wps:spPr>
                          <a:xfrm>
                            <a:off x="4861560" y="1272540"/>
                            <a:ext cx="1016000" cy="1447800"/>
                          </a:xfrm>
                          <a:prstGeom prst="rect">
                            <a:avLst/>
                          </a:prstGeom>
                          <a:solidFill>
                            <a:schemeClr val="accent2">
                              <a:lumMod val="75000"/>
                            </a:schemeClr>
                          </a:solidFill>
                          <a:ln w="6350">
                            <a:solidFill>
                              <a:schemeClr val="accent2">
                                <a:lumMod val="75000"/>
                              </a:schemeClr>
                            </a:solidFill>
                          </a:ln>
                        </wps:spPr>
                        <wps:txbx>
                          <w:txbxContent>
                            <w:p w14:paraId="15CBFCE3" w14:textId="77777777" w:rsidR="00B83AA2" w:rsidRPr="007D209C" w:rsidRDefault="00B83AA2" w:rsidP="00B83AA2">
                              <w:pPr>
                                <w:jc w:val="center"/>
                                <w:rPr>
                                  <w:rFonts w:ascii="Times New Roman" w:hAnsi="Times New Roman" w:cs="Times New Roman"/>
                                  <w:color w:val="FFFFFF" w:themeColor="background1"/>
                                  <w:sz w:val="28"/>
                                  <w:lang w:val="en-US"/>
                                </w:rPr>
                              </w:pPr>
                              <w:r>
                                <w:rPr>
                                  <w:rFonts w:ascii="Times New Roman" w:hAnsi="Times New Roman" w:cs="Times New Roman"/>
                                  <w:color w:val="FFFFFF" w:themeColor="background1"/>
                                  <w:sz w:val="28"/>
                                  <w:lang w:val="en-US"/>
                                </w:rPr>
                                <w:t>IFRS Advisory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2EACD9" id="Группа 3" o:spid="_x0000_s1041" style="position:absolute;left:0;text-align:left;margin-left:0;margin-top:-.05pt;width:462.8pt;height:231pt;z-index:251661312;mso-height-relative:margin" coordsize="58775,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">
                <v:rect id="Прямоугольник 5" o:spid="_x0000_s1042" style="position:absolute;width:4714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Прямоугольник 6" o:spid="_x0000_s1043" style="position:absolute;top:6553;width:4714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14:paraId="393795CC" w14:textId="77777777" w:rsidR="00B83AA2" w:rsidRDefault="00B83AA2" w:rsidP="00B83AA2">
                        <w:pPr>
                          <w:jc w:val="center"/>
                        </w:pPr>
                      </w:p>
                    </w:txbxContent>
                  </v:textbox>
                </v:rect>
                <v:rect id="Прямоугольник 7" o:spid="_x0000_s1044" style="position:absolute;top:13716;width:47148;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Прямоугольник 8" o:spid="_x0000_s1045" style="position:absolute;left:48615;top:2971;width:10160;height:26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" fillcolor="#c45911 [2405]" strokecolor="#1f4d78 [1604]" strokeweight="1pt"/>
                <v:shape id="Надпись 2" o:spid="_x0000_s1046" type="#_x0000_t202" style="position:absolute;left:14554;top:1066;width:305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CE2B36D" w14:textId="77777777" w:rsidR="00B83AA2" w:rsidRPr="00B633B8" w:rsidRDefault="00B83AA2" w:rsidP="00B83AA2">
                        <w:pPr>
                          <w:jc w:val="center"/>
                          <w:rPr>
                            <w:rFonts w:ascii="Times New Roman" w:hAnsi="Times New Roman" w:cs="Times New Roman"/>
                            <w:sz w:val="28"/>
                            <w:szCs w:val="28"/>
                            <w:lang w:val="en-US"/>
                          </w:rPr>
                        </w:pPr>
                        <w:r>
                          <w:rPr>
                            <w:rFonts w:ascii="Times New Roman" w:hAnsi="Times New Roman" w:cs="Times New Roman"/>
                            <w:sz w:val="24"/>
                            <w:szCs w:val="28"/>
                            <w:lang w:val="en-US"/>
                          </w:rPr>
                          <w:t xml:space="preserve">IFRS Foundation Monitoring Board </w:t>
                        </w:r>
                      </w:p>
                    </w:txbxContent>
                  </v:textbox>
                </v:shape>
                <v:shape id="Надпись 2" o:spid="_x0000_s1047" type="#_x0000_t202" style="position:absolute;left:14554;top:7772;width:305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E67CB71" w14:textId="77777777" w:rsidR="00B83AA2" w:rsidRPr="00ED7961" w:rsidRDefault="00B83AA2" w:rsidP="00B83AA2">
                        <w:pPr>
                          <w:jc w:val="center"/>
                          <w:rPr>
                            <w:rFonts w:ascii="Times New Roman" w:hAnsi="Times New Roman" w:cs="Times New Roman"/>
                            <w:sz w:val="24"/>
                            <w:szCs w:val="28"/>
                            <w:lang w:val="en-US"/>
                          </w:rPr>
                        </w:pPr>
                        <w:r>
                          <w:rPr>
                            <w:rFonts w:ascii="Times New Roman" w:hAnsi="Times New Roman" w:cs="Times New Roman"/>
                            <w:sz w:val="24"/>
                            <w:szCs w:val="28"/>
                            <w:lang w:val="en-US"/>
                          </w:rPr>
                          <w:t>IFRS Foundation Trustees</w:t>
                        </w:r>
                      </w:p>
                    </w:txbxContent>
                  </v:textbox>
                </v:shape>
                <v:shape id="Надпись 2" o:spid="_x0000_s1048" type="#_x0000_t202" style="position:absolute;left:1219;top:457;width:1264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" fillcolor="#c3c3c3 [2166]" strokecolor="#c9c9c9 [1942]" strokeweight=".5pt">
                  <v:fill color2="#b6b6b6 [2614]" rotate="t" colors="0 #d2d2d2;.5 #c8c8c8;1 silver" focus="100%" type="gradient">
                    <o:fill v:ext="view" type="gradientUnscaled"/>
                  </v:fill>
                  <v:textbox>
                    <w:txbxContent>
                      <w:p w14:paraId="087AEB92" w14:textId="77777777" w:rsidR="00B83AA2" w:rsidRPr="00504685" w:rsidRDefault="00B83AA2" w:rsidP="00B83AA2">
                        <w:pPr>
                          <w:jc w:val="center"/>
                          <w:rPr>
                            <w:rFonts w:ascii="Times New Roman" w:hAnsi="Times New Roman" w:cs="Times New Roman"/>
                            <w:b/>
                            <w:sz w:val="24"/>
                            <w:szCs w:val="24"/>
                            <w:lang w:val="en-US"/>
                          </w:rPr>
                        </w:pPr>
                        <w:r>
                          <w:rPr>
                            <w:rFonts w:ascii="Times New Roman" w:hAnsi="Times New Roman" w:cs="Times New Roman"/>
                            <w:b/>
                            <w:sz w:val="24"/>
                            <w:szCs w:val="24"/>
                          </w:rPr>
                          <w:t xml:space="preserve">Public </w:t>
                        </w:r>
                        <w:proofErr w:type="spellStart"/>
                        <w:r>
                          <w:rPr>
                            <w:rFonts w:ascii="Times New Roman" w:hAnsi="Times New Roman" w:cs="Times New Roman"/>
                            <w:b/>
                            <w:sz w:val="24"/>
                            <w:szCs w:val="24"/>
                          </w:rPr>
                          <w:t>accountability</w:t>
                        </w:r>
                        <w:proofErr w:type="spellEnd"/>
                      </w:p>
                    </w:txbxContent>
                  </v:textbox>
                </v:shape>
                <v:shape id="Надпись 17" o:spid="_x0000_s1049" type="#_x0000_t202" style="position:absolute;left:1219;top:6477;width:1143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" fillcolor="#c3c3c3 [2166]" strokecolor="#c9c9c9 [1942]" strokeweight=".5pt">
                  <v:fill color2="#b6b6b6 [2614]" rotate="t" colors="0 #d2d2d2;.5 #c8c8c8;1 silver" focus="100%" type="gradient">
                    <o:fill v:ext="view" type="gradientUnscaled"/>
                  </v:fill>
                  <v:textbox>
                    <w:txbxContent>
                      <w:p w14:paraId="54736E97" w14:textId="77777777" w:rsidR="00B83AA2" w:rsidRPr="00504685" w:rsidRDefault="00B83AA2" w:rsidP="00B83AA2">
                        <w:pPr>
                          <w:jc w:val="center"/>
                          <w:rPr>
                            <w:rFonts w:ascii="Times New Roman" w:hAnsi="Times New Roman" w:cs="Times New Roman"/>
                            <w:b/>
                          </w:rPr>
                        </w:pPr>
                        <w:r>
                          <w:rPr>
                            <w:rFonts w:ascii="Times New Roman" w:hAnsi="Times New Roman" w:cs="Times New Roman"/>
                            <w:b/>
                            <w:lang w:val="en-US"/>
                          </w:rPr>
                          <w:t>Governance, strategy &amp;</w:t>
                        </w:r>
                        <w:r w:rsidRPr="00B633B8">
                          <w:rPr>
                            <w:rFonts w:ascii="Times New Roman" w:hAnsi="Times New Roman" w:cs="Times New Roman"/>
                            <w:b/>
                            <w:lang w:val="en-US"/>
                          </w:rPr>
                          <w:t xml:space="preserve"> oversight</w:t>
                        </w:r>
                      </w:p>
                    </w:txbxContent>
                  </v:textbox>
                </v:shape>
                <v:shape id="Надпись 18" o:spid="_x0000_s1050" type="#_x0000_t202" style="position:absolute;left:12649;top:14478;width:15525;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" fillcolor="#a50021" strokecolor="#a50021" strokeweight=".5pt">
                  <v:textbox>
                    <w:txbxContent>
                      <w:p w14:paraId="57680705" w14:textId="77777777" w:rsidR="00B83AA2" w:rsidRPr="00ED7961" w:rsidRDefault="00B83AA2" w:rsidP="00B83AA2">
                        <w:pPr>
                          <w:jc w:val="center"/>
                          <w:rPr>
                            <w:rFonts w:ascii="Times New Roman" w:hAnsi="Times New Roman" w:cs="Times New Roman"/>
                            <w:bCs/>
                            <w:sz w:val="24"/>
                            <w:szCs w:val="24"/>
                            <w:lang w:val="en-US"/>
                          </w:rPr>
                        </w:pPr>
                        <w:r w:rsidRPr="00B83AA2">
                          <w:rPr>
                            <w:rFonts w:ascii="Times New Roman" w:hAnsi="Times New Roman" w:cs="Times New Roman"/>
                            <w:bCs/>
                            <w:sz w:val="24"/>
                            <w:szCs w:val="24"/>
                            <w:lang w:val="en-US"/>
                          </w:rPr>
                          <w:t xml:space="preserve">International Accounting Standards Board </w:t>
                        </w:r>
                        <w:r w:rsidRPr="00ED7961">
                          <w:rPr>
                            <w:rFonts w:ascii="Times New Roman" w:hAnsi="Times New Roman" w:cs="Times New Roman"/>
                            <w:bCs/>
                            <w:sz w:val="24"/>
                            <w:szCs w:val="24"/>
                            <w:lang w:val="en-US"/>
                          </w:rPr>
                          <w:t>(IASB)</w:t>
                        </w:r>
                      </w:p>
                    </w:txbxContent>
                  </v:textbox>
                </v:shape>
                <v:shape id="Надпись 19" o:spid="_x0000_s1051" type="#_x0000_t202" style="position:absolute;left:29794;top:14478;width:16383;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" fillcolor="#a50021" strokecolor="#c00000" strokeweight=".5pt">
                  <v:textbox>
                    <w:txbxContent>
                      <w:p w14:paraId="1C937C76" w14:textId="77777777" w:rsidR="00B83AA2" w:rsidRPr="00ED7961" w:rsidRDefault="00B83AA2" w:rsidP="00B83AA2">
                        <w:pPr>
                          <w:jc w:val="center"/>
                          <w:rPr>
                            <w:rFonts w:ascii="Times New Roman" w:hAnsi="Times New Roman" w:cs="Times New Roman"/>
                            <w:sz w:val="28"/>
                            <w:szCs w:val="28"/>
                            <w:lang w:val="en-US"/>
                          </w:rPr>
                        </w:pPr>
                        <w:r w:rsidRPr="00B83AA2">
                          <w:rPr>
                            <w:rFonts w:ascii="Times New Roman" w:hAnsi="Times New Roman" w:cs="Times New Roman"/>
                            <w:bCs/>
                            <w:sz w:val="24"/>
                            <w:szCs w:val="24"/>
                            <w:lang w:val="en-US"/>
                          </w:rPr>
                          <w:t>International Sustainability</w:t>
                        </w:r>
                        <w:r w:rsidRPr="00ED7961">
                          <w:rPr>
                            <w:rFonts w:ascii="Arial" w:hAnsi="Arial" w:cs="Arial"/>
                            <w:b/>
                            <w:bCs/>
                            <w:color w:val="333333"/>
                            <w:sz w:val="42"/>
                            <w:szCs w:val="42"/>
                            <w:shd w:val="clear" w:color="auto" w:fill="FFFFFF"/>
                            <w:lang w:val="en-US"/>
                          </w:rPr>
                          <w:t xml:space="preserve"> </w:t>
                        </w:r>
                        <w:r w:rsidRPr="00B83AA2">
                          <w:rPr>
                            <w:rFonts w:ascii="Times New Roman" w:hAnsi="Times New Roman" w:cs="Times New Roman"/>
                            <w:bCs/>
                            <w:sz w:val="24"/>
                            <w:szCs w:val="24"/>
                            <w:lang w:val="en-US"/>
                          </w:rPr>
                          <w:t>Standards Board</w:t>
                        </w:r>
                        <w:r w:rsidRPr="00ED7961">
                          <w:rPr>
                            <w:rFonts w:ascii="Times New Roman" w:hAnsi="Times New Roman" w:cs="Times New Roman"/>
                            <w:sz w:val="28"/>
                            <w:szCs w:val="28"/>
                            <w:lang w:val="en-US"/>
                          </w:rPr>
                          <w:t xml:space="preserve"> (</w:t>
                        </w:r>
                        <w:r w:rsidRPr="00A653B4">
                          <w:rPr>
                            <w:rFonts w:ascii="Times New Roman" w:hAnsi="Times New Roman" w:cs="Times New Roman"/>
                            <w:sz w:val="28"/>
                            <w:szCs w:val="28"/>
                            <w:lang w:val="en-US"/>
                          </w:rPr>
                          <w:t>ISSB</w:t>
                        </w:r>
                        <w:r w:rsidRPr="00ED7961">
                          <w:rPr>
                            <w:rFonts w:ascii="Times New Roman" w:hAnsi="Times New Roman" w:cs="Times New Roman"/>
                            <w:sz w:val="28"/>
                            <w:szCs w:val="28"/>
                            <w:lang w:val="en-US"/>
                          </w:rPr>
                          <w:t>)</w:t>
                        </w:r>
                      </w:p>
                    </w:txbxContent>
                  </v:textbox>
                </v:shape>
                <v:shape id="Надпись 20" o:spid="_x0000_s1052" type="#_x0000_t202" style="position:absolute;left:609;top:16154;width:11354;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" fillcolor="#c3c3c3 [2166]" strokecolor="#c9c9c9 [1942]" strokeweight=".5pt">
                  <v:fill color2="#b6b6b6 [2614]" rotate="t" colors="0 #d2d2d2;.5 #c8c8c8;1 silver" focus="100%" type="gradient">
                    <o:fill v:ext="view" type="gradientUnscaled"/>
                  </v:fill>
                  <v:textbox>
                    <w:txbxContent>
                      <w:p w14:paraId="50F915C2" w14:textId="77777777" w:rsidR="00B83AA2" w:rsidRPr="00B633B8" w:rsidRDefault="00B83AA2" w:rsidP="00B83AA2">
                        <w:pPr>
                          <w:jc w:val="center"/>
                          <w:rPr>
                            <w:rFonts w:ascii="Times New Roman" w:hAnsi="Times New Roman" w:cs="Times New Roman"/>
                            <w:b/>
                            <w:sz w:val="28"/>
                            <w:szCs w:val="24"/>
                            <w:lang w:val="en-US"/>
                          </w:rPr>
                        </w:pPr>
                        <w:r>
                          <w:rPr>
                            <w:rFonts w:ascii="Times New Roman" w:hAnsi="Times New Roman" w:cs="Times New Roman"/>
                            <w:b/>
                            <w:sz w:val="24"/>
                            <w:lang w:val="en-US"/>
                          </w:rPr>
                          <w:t>Independent standard-setting &amp; related activity</w:t>
                        </w:r>
                      </w:p>
                    </w:txbxContent>
                  </v:textbox>
                </v:shape>
                <v:shape id="Надпись 21" o:spid="_x0000_s1053" type="#_x0000_t202" style="position:absolute;left:13030;top:23012;width:1440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54883871" w14:textId="77777777" w:rsidR="00B83AA2" w:rsidRPr="00BC228E" w:rsidRDefault="00B83AA2" w:rsidP="00B83AA2">
                        <w:pPr>
                          <w:jc w:val="center"/>
                          <w:rPr>
                            <w:rFonts w:ascii="Times New Roman" w:hAnsi="Times New Roman" w:cs="Times New Roman"/>
                            <w:sz w:val="24"/>
                            <w:lang w:val="en-US"/>
                          </w:rPr>
                        </w:pPr>
                        <w:r>
                          <w:rPr>
                            <w:rFonts w:ascii="Times New Roman" w:hAnsi="Times New Roman" w:cs="Times New Roman"/>
                            <w:lang w:val="en-US"/>
                          </w:rPr>
                          <w:t>IFRS Accounting Standards</w:t>
                        </w:r>
                      </w:p>
                    </w:txbxContent>
                  </v:textbox>
                </v:shape>
                <v:shape id="Надпись 22" o:spid="_x0000_s1054" type="#_x0000_t202" style="position:absolute;left:30480;top:23012;width:15316;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1C5AF5B4" w14:textId="77777777" w:rsidR="00B83AA2" w:rsidRPr="00ED7961" w:rsidRDefault="00B83AA2" w:rsidP="00B83AA2">
                        <w:pPr>
                          <w:jc w:val="center"/>
                          <w:rPr>
                            <w:rFonts w:ascii="Times New Roman" w:hAnsi="Times New Roman" w:cs="Times New Roman"/>
                            <w:sz w:val="24"/>
                            <w:lang w:val="en-US"/>
                          </w:rPr>
                        </w:pPr>
                        <w:r>
                          <w:rPr>
                            <w:rFonts w:ascii="Times New Roman" w:hAnsi="Times New Roman" w:cs="Times New Roman"/>
                            <w:lang w:val="en-US"/>
                          </w:rPr>
                          <w:t>IFRS Sustainability Disclosure Standards</w:t>
                        </w:r>
                      </w:p>
                    </w:txbxContent>
                  </v:textbox>
                </v:shape>
                <v:shape id="Надпись 23" o:spid="_x0000_s1055" type="#_x0000_t202" style="position:absolute;left:48615;top:12725;width:10160;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" fillcolor="#c45911 [2405]" strokecolor="#c45911 [2405]" strokeweight=".5pt">
                  <v:textbox>
                    <w:txbxContent>
                      <w:p w14:paraId="15CBFCE3" w14:textId="77777777" w:rsidR="00B83AA2" w:rsidRPr="007D209C" w:rsidRDefault="00B83AA2" w:rsidP="00B83AA2">
                        <w:pPr>
                          <w:jc w:val="center"/>
                          <w:rPr>
                            <w:rFonts w:ascii="Times New Roman" w:hAnsi="Times New Roman" w:cs="Times New Roman"/>
                            <w:color w:val="FFFFFF" w:themeColor="background1"/>
                            <w:sz w:val="28"/>
                            <w:lang w:val="en-US"/>
                          </w:rPr>
                        </w:pPr>
                        <w:r>
                          <w:rPr>
                            <w:rFonts w:ascii="Times New Roman" w:hAnsi="Times New Roman" w:cs="Times New Roman"/>
                            <w:color w:val="FFFFFF" w:themeColor="background1"/>
                            <w:sz w:val="28"/>
                            <w:lang w:val="en-US"/>
                          </w:rPr>
                          <w:t>IFRS Advisory Council</w:t>
                        </w:r>
                      </w:p>
                    </w:txbxContent>
                  </v:textbox>
                </v:shape>
              </v:group>
            </w:pict>
          </mc:Fallback>
        </mc:AlternateContent>
      </w:r>
    </w:p>
    <w:sectPr w:rsidR="00B83AA2" w:rsidRPr="00B83AA2" w:rsidSect="003B272F">
      <w:headerReference w:type="default" r:id="rId21"/>
      <w:pgSz w:w="11906" w:h="16838"/>
      <w:pgMar w:top="1418"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B636" w16cex:dateUtc="2022-11-25T18:46:00Z"/>
  <w16cex:commentExtensible w16cex:durableId="272BB69F" w16cex:dateUtc="2022-11-25T18:48:00Z"/>
  <w16cex:commentExtensible w16cex:durableId="272BB6D9" w16cex:dateUtc="2022-11-25T18:49:00Z"/>
  <w16cex:commentExtensible w16cex:durableId="272BB6BC" w16cex:dateUtc="2022-11-25T18:48:00Z"/>
  <w16cex:commentExtensible w16cex:durableId="272BB6FE" w16cex:dateUtc="2022-11-25T18:49:00Z"/>
  <w16cex:commentExtensible w16cex:durableId="272BB70F" w16cex:dateUtc="2022-11-25T18:50:00Z"/>
  <w16cex:commentExtensible w16cex:durableId="272BB734" w16cex:dateUtc="2022-11-25T18:50:00Z"/>
  <w16cex:commentExtensible w16cex:durableId="272BB74A" w16cex:dateUtc="2022-11-25T18:51:00Z"/>
  <w16cex:commentExtensible w16cex:durableId="272BB79D" w16cex:dateUtc="2022-11-25T18:52:00Z"/>
  <w16cex:commentExtensible w16cex:durableId="272BB7B6" w16cex:dateUtc="2022-11-25T18:52:00Z"/>
  <w16cex:commentExtensible w16cex:durableId="272BB7D8" w16cex:dateUtc="2022-11-25T18:53:00Z"/>
  <w16cex:commentExtensible w16cex:durableId="272BB7F9" w16cex:dateUtc="2022-11-25T18:54:00Z"/>
  <w16cex:commentExtensible w16cex:durableId="272BB824" w16cex:dateUtc="2022-11-25T18:54:00Z"/>
  <w16cex:commentExtensible w16cex:durableId="272BB83C" w16cex:dateUtc="2022-11-25T18:55:00Z"/>
  <w16cex:commentExtensible w16cex:durableId="272BB85A" w16cex:dateUtc="2022-11-25T18:55:00Z"/>
  <w16cex:commentExtensible w16cex:durableId="272BB879" w16cex:dateUtc="2022-11-25T18:56:00Z"/>
  <w16cex:commentExtensible w16cex:durableId="272BB88B" w16cex:dateUtc="2022-11-25T18:56:00Z"/>
  <w16cex:commentExtensible w16cex:durableId="272BB8C0" w16cex:dateUtc="2022-11-25T18:57:00Z"/>
  <w16cex:commentExtensible w16cex:durableId="272BB8D5" w16cex:dateUtc="2022-11-25T18:57:00Z"/>
  <w16cex:commentExtensible w16cex:durableId="272BB904" w16cex:dateUtc="2022-11-25T18:58:00Z"/>
  <w16cex:commentExtensible w16cex:durableId="272BB923" w16cex:dateUtc="2022-11-25T18:58:00Z"/>
  <w16cex:commentExtensible w16cex:durableId="272BB948" w16cex:dateUtc="2022-11-25T18:59:00Z"/>
  <w16cex:commentExtensible w16cex:durableId="272BB97A" w16cex:dateUtc="2022-11-25T19:00:00Z"/>
  <w16cex:commentExtensible w16cex:durableId="272BB986" w16cex:dateUtc="2022-11-25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2B214" w16cid:durableId="272BB636"/>
  <w16cid:commentId w16cid:paraId="1A24C068" w16cid:durableId="272BB69F"/>
  <w16cid:commentId w16cid:paraId="6F1DFD97" w16cid:durableId="272BB6D9"/>
  <w16cid:commentId w16cid:paraId="5B1E58E7" w16cid:durableId="272BB6BC"/>
  <w16cid:commentId w16cid:paraId="7BBE78B0" w16cid:durableId="272BB6FE"/>
  <w16cid:commentId w16cid:paraId="040A8E7A" w16cid:durableId="272BB70F"/>
  <w16cid:commentId w16cid:paraId="1B11C080" w16cid:durableId="272BB734"/>
  <w16cid:commentId w16cid:paraId="25F46BC2" w16cid:durableId="272BB74A"/>
  <w16cid:commentId w16cid:paraId="274E5B9E" w16cid:durableId="272BB79D"/>
  <w16cid:commentId w16cid:paraId="1B1BF53E" w16cid:durableId="272BB7B6"/>
  <w16cid:commentId w16cid:paraId="521E3F3C" w16cid:durableId="272BB7D8"/>
  <w16cid:commentId w16cid:paraId="32A74451" w16cid:durableId="272BB7F9"/>
  <w16cid:commentId w16cid:paraId="49A0CA8D" w16cid:durableId="272BB824"/>
  <w16cid:commentId w16cid:paraId="0847547F" w16cid:durableId="272BB83C"/>
  <w16cid:commentId w16cid:paraId="1D9ECE2C" w16cid:durableId="272BB85A"/>
  <w16cid:commentId w16cid:paraId="08F19A72" w16cid:durableId="272BB879"/>
  <w16cid:commentId w16cid:paraId="7E889AD2" w16cid:durableId="272BB88B"/>
  <w16cid:commentId w16cid:paraId="662CA536" w16cid:durableId="272BB8C0"/>
  <w16cid:commentId w16cid:paraId="2CCE62EB" w16cid:durableId="272BB8D5"/>
  <w16cid:commentId w16cid:paraId="043B9E53" w16cid:durableId="272BB904"/>
  <w16cid:commentId w16cid:paraId="09FB4133" w16cid:durableId="272BB923"/>
  <w16cid:commentId w16cid:paraId="31734328" w16cid:durableId="272BB948"/>
  <w16cid:commentId w16cid:paraId="1564DB3E" w16cid:durableId="272BB97A"/>
  <w16cid:commentId w16cid:paraId="410AFCF1" w16cid:durableId="272BB9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C5D27" w14:textId="77777777" w:rsidR="006C0C83" w:rsidRDefault="006C0C83" w:rsidP="00B246E1">
      <w:pPr>
        <w:spacing w:after="0" w:line="240" w:lineRule="auto"/>
      </w:pPr>
      <w:r>
        <w:separator/>
      </w:r>
    </w:p>
  </w:endnote>
  <w:endnote w:type="continuationSeparator" w:id="0">
    <w:p w14:paraId="0FE5E66C" w14:textId="77777777" w:rsidR="006C0C83" w:rsidRDefault="006C0C83" w:rsidP="00B2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9E46" w14:textId="77777777" w:rsidR="006C0C83" w:rsidRDefault="006C0C83" w:rsidP="00B246E1">
      <w:pPr>
        <w:spacing w:after="0" w:line="240" w:lineRule="auto"/>
      </w:pPr>
      <w:r>
        <w:separator/>
      </w:r>
    </w:p>
  </w:footnote>
  <w:footnote w:type="continuationSeparator" w:id="0">
    <w:p w14:paraId="53CCE02A" w14:textId="77777777" w:rsidR="006C0C83" w:rsidRDefault="006C0C83" w:rsidP="00B24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85DAD" w14:textId="77777777" w:rsidR="00B246E1" w:rsidRDefault="00B246E1">
    <w:pPr>
      <w:pStyle w:val="a9"/>
    </w:pPr>
  </w:p>
  <w:p w14:paraId="766EB659" w14:textId="77777777" w:rsidR="00B246E1" w:rsidRDefault="00B246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D97"/>
    <w:multiLevelType w:val="hybridMultilevel"/>
    <w:tmpl w:val="135ABE4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27C84"/>
    <w:multiLevelType w:val="hybridMultilevel"/>
    <w:tmpl w:val="290644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7A13C84"/>
    <w:multiLevelType w:val="hybridMultilevel"/>
    <w:tmpl w:val="BA640A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8B928C7"/>
    <w:multiLevelType w:val="hybridMultilevel"/>
    <w:tmpl w:val="7C30C7B4"/>
    <w:lvl w:ilvl="0" w:tplc="CCD80EC2">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1955FC2"/>
    <w:multiLevelType w:val="hybridMultilevel"/>
    <w:tmpl w:val="40EABE30"/>
    <w:lvl w:ilvl="0" w:tplc="B5C00E5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8C6721"/>
    <w:multiLevelType w:val="hybridMultilevel"/>
    <w:tmpl w:val="51F23C5C"/>
    <w:lvl w:ilvl="0" w:tplc="B5FAB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0F21406"/>
    <w:multiLevelType w:val="hybridMultilevel"/>
    <w:tmpl w:val="925E9356"/>
    <w:lvl w:ilvl="0" w:tplc="CD827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790995"/>
    <w:multiLevelType w:val="hybridMultilevel"/>
    <w:tmpl w:val="A69C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250A7D"/>
    <w:multiLevelType w:val="hybridMultilevel"/>
    <w:tmpl w:val="7714A8A0"/>
    <w:lvl w:ilvl="0" w:tplc="637A9BD2">
      <w:start w:val="1"/>
      <w:numFmt w:val="decimal"/>
      <w:lvlText w:val="%1."/>
      <w:lvlJc w:val="left"/>
      <w:pPr>
        <w:ind w:left="720" w:hanging="360"/>
      </w:pPr>
      <w:rPr>
        <w:rFonts w:ascii="Times New Roman" w:eastAsia="Times New Roman" w:hAnsi="Times New Roman" w:cs="Times New Roman"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D174B2"/>
    <w:multiLevelType w:val="multilevel"/>
    <w:tmpl w:val="2586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
  </w:num>
  <w:num w:numId="4">
    <w:abstractNumId w:val="8"/>
  </w:num>
  <w:num w:numId="5">
    <w:abstractNumId w:val="5"/>
  </w:num>
  <w:num w:numId="6">
    <w:abstractNumId w:val="0"/>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6F"/>
    <w:rsid w:val="0000129B"/>
    <w:rsid w:val="0001129E"/>
    <w:rsid w:val="00027DAE"/>
    <w:rsid w:val="00050A46"/>
    <w:rsid w:val="00052E1D"/>
    <w:rsid w:val="000771A5"/>
    <w:rsid w:val="00095487"/>
    <w:rsid w:val="000A1F91"/>
    <w:rsid w:val="000A2124"/>
    <w:rsid w:val="000A44EE"/>
    <w:rsid w:val="000D2C39"/>
    <w:rsid w:val="000E1DB5"/>
    <w:rsid w:val="000E281F"/>
    <w:rsid w:val="000E36B6"/>
    <w:rsid w:val="000E4D98"/>
    <w:rsid w:val="000F5522"/>
    <w:rsid w:val="00113691"/>
    <w:rsid w:val="00115832"/>
    <w:rsid w:val="00125941"/>
    <w:rsid w:val="001270BD"/>
    <w:rsid w:val="00134566"/>
    <w:rsid w:val="0013669D"/>
    <w:rsid w:val="00142611"/>
    <w:rsid w:val="00157FBA"/>
    <w:rsid w:val="00161A09"/>
    <w:rsid w:val="00163C16"/>
    <w:rsid w:val="001643C2"/>
    <w:rsid w:val="001B0330"/>
    <w:rsid w:val="001B7C66"/>
    <w:rsid w:val="001E49EB"/>
    <w:rsid w:val="001E4FDA"/>
    <w:rsid w:val="001F6B3A"/>
    <w:rsid w:val="001F78B1"/>
    <w:rsid w:val="0020065C"/>
    <w:rsid w:val="00204CA4"/>
    <w:rsid w:val="00212267"/>
    <w:rsid w:val="002663FA"/>
    <w:rsid w:val="00272265"/>
    <w:rsid w:val="002773BD"/>
    <w:rsid w:val="00296788"/>
    <w:rsid w:val="002A28DB"/>
    <w:rsid w:val="002B797F"/>
    <w:rsid w:val="002B7FCC"/>
    <w:rsid w:val="002C074D"/>
    <w:rsid w:val="002D2A3F"/>
    <w:rsid w:val="002E544D"/>
    <w:rsid w:val="002F117E"/>
    <w:rsid w:val="00335EE2"/>
    <w:rsid w:val="00344186"/>
    <w:rsid w:val="00352DA9"/>
    <w:rsid w:val="00353902"/>
    <w:rsid w:val="00362488"/>
    <w:rsid w:val="00364DC5"/>
    <w:rsid w:val="00373C03"/>
    <w:rsid w:val="003777F9"/>
    <w:rsid w:val="00386168"/>
    <w:rsid w:val="003A020B"/>
    <w:rsid w:val="003A0332"/>
    <w:rsid w:val="003B272F"/>
    <w:rsid w:val="003B4E42"/>
    <w:rsid w:val="003E767F"/>
    <w:rsid w:val="004138C0"/>
    <w:rsid w:val="00413C21"/>
    <w:rsid w:val="00424005"/>
    <w:rsid w:val="004278F5"/>
    <w:rsid w:val="004366FB"/>
    <w:rsid w:val="00446FCC"/>
    <w:rsid w:val="00451864"/>
    <w:rsid w:val="00451F4C"/>
    <w:rsid w:val="00457570"/>
    <w:rsid w:val="00460D88"/>
    <w:rsid w:val="00473904"/>
    <w:rsid w:val="00476248"/>
    <w:rsid w:val="0048679E"/>
    <w:rsid w:val="00491083"/>
    <w:rsid w:val="004A4529"/>
    <w:rsid w:val="004B7305"/>
    <w:rsid w:val="004C7065"/>
    <w:rsid w:val="004E0DF1"/>
    <w:rsid w:val="004E35BC"/>
    <w:rsid w:val="004E63D5"/>
    <w:rsid w:val="0051624C"/>
    <w:rsid w:val="005200AD"/>
    <w:rsid w:val="00527E3C"/>
    <w:rsid w:val="00543870"/>
    <w:rsid w:val="0055231E"/>
    <w:rsid w:val="005525C5"/>
    <w:rsid w:val="00552E89"/>
    <w:rsid w:val="00555E93"/>
    <w:rsid w:val="00556921"/>
    <w:rsid w:val="00582C1D"/>
    <w:rsid w:val="0058367E"/>
    <w:rsid w:val="005843F9"/>
    <w:rsid w:val="005938D4"/>
    <w:rsid w:val="005B5A9F"/>
    <w:rsid w:val="005D44FA"/>
    <w:rsid w:val="005E0C04"/>
    <w:rsid w:val="005E0F5E"/>
    <w:rsid w:val="005E78F0"/>
    <w:rsid w:val="0061176D"/>
    <w:rsid w:val="0061349C"/>
    <w:rsid w:val="00615A89"/>
    <w:rsid w:val="00624042"/>
    <w:rsid w:val="00625BB1"/>
    <w:rsid w:val="00626982"/>
    <w:rsid w:val="0063443C"/>
    <w:rsid w:val="00643352"/>
    <w:rsid w:val="00646D84"/>
    <w:rsid w:val="00657FCA"/>
    <w:rsid w:val="00661F25"/>
    <w:rsid w:val="006730AD"/>
    <w:rsid w:val="006755F8"/>
    <w:rsid w:val="006851AB"/>
    <w:rsid w:val="00693C54"/>
    <w:rsid w:val="00694297"/>
    <w:rsid w:val="006B1000"/>
    <w:rsid w:val="006C0C83"/>
    <w:rsid w:val="006D5643"/>
    <w:rsid w:val="006F1DD7"/>
    <w:rsid w:val="006F2472"/>
    <w:rsid w:val="007010D3"/>
    <w:rsid w:val="0071593D"/>
    <w:rsid w:val="007204D1"/>
    <w:rsid w:val="007325C6"/>
    <w:rsid w:val="00740E52"/>
    <w:rsid w:val="0075734C"/>
    <w:rsid w:val="00760EBA"/>
    <w:rsid w:val="007660F1"/>
    <w:rsid w:val="007941F6"/>
    <w:rsid w:val="007A2109"/>
    <w:rsid w:val="007A686F"/>
    <w:rsid w:val="007B703A"/>
    <w:rsid w:val="007C25DA"/>
    <w:rsid w:val="007D28AE"/>
    <w:rsid w:val="0081252B"/>
    <w:rsid w:val="008351FE"/>
    <w:rsid w:val="0086576A"/>
    <w:rsid w:val="00872528"/>
    <w:rsid w:val="00873B8F"/>
    <w:rsid w:val="00881CEC"/>
    <w:rsid w:val="00892923"/>
    <w:rsid w:val="00895441"/>
    <w:rsid w:val="008B306D"/>
    <w:rsid w:val="008B41CE"/>
    <w:rsid w:val="008B4B43"/>
    <w:rsid w:val="008C3095"/>
    <w:rsid w:val="008C7B7C"/>
    <w:rsid w:val="008E7A20"/>
    <w:rsid w:val="008F367A"/>
    <w:rsid w:val="008F5E6A"/>
    <w:rsid w:val="009125AA"/>
    <w:rsid w:val="00913A2D"/>
    <w:rsid w:val="00954D1B"/>
    <w:rsid w:val="0095766D"/>
    <w:rsid w:val="009613FA"/>
    <w:rsid w:val="0096191E"/>
    <w:rsid w:val="00967244"/>
    <w:rsid w:val="00985B11"/>
    <w:rsid w:val="009D43E0"/>
    <w:rsid w:val="009E7B14"/>
    <w:rsid w:val="00A02EA3"/>
    <w:rsid w:val="00A21B94"/>
    <w:rsid w:val="00A40AD8"/>
    <w:rsid w:val="00A460CD"/>
    <w:rsid w:val="00A5130F"/>
    <w:rsid w:val="00A5444B"/>
    <w:rsid w:val="00A554D4"/>
    <w:rsid w:val="00A85B07"/>
    <w:rsid w:val="00A85C12"/>
    <w:rsid w:val="00A90C63"/>
    <w:rsid w:val="00AB1778"/>
    <w:rsid w:val="00AD0F1D"/>
    <w:rsid w:val="00AD5C73"/>
    <w:rsid w:val="00AD715D"/>
    <w:rsid w:val="00AE1E40"/>
    <w:rsid w:val="00AF5DD2"/>
    <w:rsid w:val="00B10B9D"/>
    <w:rsid w:val="00B1193C"/>
    <w:rsid w:val="00B20321"/>
    <w:rsid w:val="00B21588"/>
    <w:rsid w:val="00B246E1"/>
    <w:rsid w:val="00B401A1"/>
    <w:rsid w:val="00B63F84"/>
    <w:rsid w:val="00B725B8"/>
    <w:rsid w:val="00B737A9"/>
    <w:rsid w:val="00B82788"/>
    <w:rsid w:val="00B83AA2"/>
    <w:rsid w:val="00B924BD"/>
    <w:rsid w:val="00B973DD"/>
    <w:rsid w:val="00BA721B"/>
    <w:rsid w:val="00BB0409"/>
    <w:rsid w:val="00BC3B11"/>
    <w:rsid w:val="00BD3F35"/>
    <w:rsid w:val="00BD4342"/>
    <w:rsid w:val="00BE1D87"/>
    <w:rsid w:val="00C0060A"/>
    <w:rsid w:val="00C05E50"/>
    <w:rsid w:val="00C07AF5"/>
    <w:rsid w:val="00C120BA"/>
    <w:rsid w:val="00C163E1"/>
    <w:rsid w:val="00C24B7D"/>
    <w:rsid w:val="00C61D45"/>
    <w:rsid w:val="00C62BCD"/>
    <w:rsid w:val="00C67135"/>
    <w:rsid w:val="00C70395"/>
    <w:rsid w:val="00C71D23"/>
    <w:rsid w:val="00C72727"/>
    <w:rsid w:val="00C84BE8"/>
    <w:rsid w:val="00C85E13"/>
    <w:rsid w:val="00C92334"/>
    <w:rsid w:val="00C9617E"/>
    <w:rsid w:val="00C9641F"/>
    <w:rsid w:val="00CA27B8"/>
    <w:rsid w:val="00CB7815"/>
    <w:rsid w:val="00CC15E7"/>
    <w:rsid w:val="00CD2123"/>
    <w:rsid w:val="00CE1ED8"/>
    <w:rsid w:val="00CE4656"/>
    <w:rsid w:val="00CF5303"/>
    <w:rsid w:val="00D06F09"/>
    <w:rsid w:val="00D10C6E"/>
    <w:rsid w:val="00D2359D"/>
    <w:rsid w:val="00D267F5"/>
    <w:rsid w:val="00D30279"/>
    <w:rsid w:val="00D44C5D"/>
    <w:rsid w:val="00D539A8"/>
    <w:rsid w:val="00D63614"/>
    <w:rsid w:val="00D65DEB"/>
    <w:rsid w:val="00D737B2"/>
    <w:rsid w:val="00D86280"/>
    <w:rsid w:val="00D87CDC"/>
    <w:rsid w:val="00D92FB3"/>
    <w:rsid w:val="00DA4BAD"/>
    <w:rsid w:val="00DC1878"/>
    <w:rsid w:val="00DE7847"/>
    <w:rsid w:val="00DF2953"/>
    <w:rsid w:val="00DF507D"/>
    <w:rsid w:val="00DF537C"/>
    <w:rsid w:val="00E0218E"/>
    <w:rsid w:val="00E06D11"/>
    <w:rsid w:val="00E17FD6"/>
    <w:rsid w:val="00E45B82"/>
    <w:rsid w:val="00E626CF"/>
    <w:rsid w:val="00E66C70"/>
    <w:rsid w:val="00E84BE1"/>
    <w:rsid w:val="00E96891"/>
    <w:rsid w:val="00EA2526"/>
    <w:rsid w:val="00EC0767"/>
    <w:rsid w:val="00EC0821"/>
    <w:rsid w:val="00EC3C9A"/>
    <w:rsid w:val="00EC7006"/>
    <w:rsid w:val="00ED5F3B"/>
    <w:rsid w:val="00ED7B37"/>
    <w:rsid w:val="00EE0C9C"/>
    <w:rsid w:val="00EE6191"/>
    <w:rsid w:val="00EE6923"/>
    <w:rsid w:val="00F1017A"/>
    <w:rsid w:val="00F40A82"/>
    <w:rsid w:val="00F410A7"/>
    <w:rsid w:val="00F46F55"/>
    <w:rsid w:val="00F5145B"/>
    <w:rsid w:val="00F52775"/>
    <w:rsid w:val="00F528FC"/>
    <w:rsid w:val="00F52A81"/>
    <w:rsid w:val="00F62D87"/>
    <w:rsid w:val="00F76822"/>
    <w:rsid w:val="00F81559"/>
    <w:rsid w:val="00F83306"/>
    <w:rsid w:val="00F87C9C"/>
    <w:rsid w:val="00FB512A"/>
    <w:rsid w:val="00FB61C8"/>
    <w:rsid w:val="00FC100C"/>
    <w:rsid w:val="00FC6DCC"/>
    <w:rsid w:val="00FD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41E1"/>
  <w15:docId w15:val="{FA598390-B722-4521-B981-17073AF8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3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6B10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703A"/>
    <w:rPr>
      <w:color w:val="0563C1" w:themeColor="hyperlink"/>
      <w:u w:val="single"/>
    </w:rPr>
  </w:style>
  <w:style w:type="paragraph" w:styleId="a4">
    <w:name w:val="Normal (Web)"/>
    <w:basedOn w:val="a"/>
    <w:uiPriority w:val="99"/>
    <w:semiHidden/>
    <w:unhideWhenUsed/>
    <w:rsid w:val="00794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41F6"/>
    <w:rPr>
      <w:b/>
      <w:bCs/>
    </w:rPr>
  </w:style>
  <w:style w:type="paragraph" w:styleId="a6">
    <w:name w:val="List Paragraph"/>
    <w:basedOn w:val="a"/>
    <w:uiPriority w:val="34"/>
    <w:qFormat/>
    <w:rsid w:val="00451F4C"/>
    <w:pPr>
      <w:ind w:left="720"/>
      <w:contextualSpacing/>
    </w:pPr>
  </w:style>
  <w:style w:type="paragraph" w:styleId="a7">
    <w:name w:val="caption"/>
    <w:basedOn w:val="a"/>
    <w:next w:val="a"/>
    <w:uiPriority w:val="35"/>
    <w:unhideWhenUsed/>
    <w:qFormat/>
    <w:rsid w:val="0020065C"/>
    <w:pPr>
      <w:spacing w:after="200" w:line="240" w:lineRule="auto"/>
    </w:pPr>
    <w:rPr>
      <w:i/>
      <w:iCs/>
      <w:color w:val="44546A" w:themeColor="text2"/>
      <w:sz w:val="18"/>
      <w:szCs w:val="18"/>
    </w:rPr>
  </w:style>
  <w:style w:type="table" w:styleId="a8">
    <w:name w:val="Table Grid"/>
    <w:basedOn w:val="a1"/>
    <w:uiPriority w:val="39"/>
    <w:rsid w:val="006B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B1000"/>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6B1000"/>
    <w:rPr>
      <w:i/>
      <w:iCs/>
    </w:rPr>
  </w:style>
  <w:style w:type="paragraph" w:styleId="a9">
    <w:name w:val="header"/>
    <w:basedOn w:val="a"/>
    <w:link w:val="aa"/>
    <w:uiPriority w:val="99"/>
    <w:unhideWhenUsed/>
    <w:rsid w:val="00B246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46E1"/>
  </w:style>
  <w:style w:type="paragraph" w:styleId="ab">
    <w:name w:val="footer"/>
    <w:basedOn w:val="a"/>
    <w:link w:val="ac"/>
    <w:uiPriority w:val="99"/>
    <w:unhideWhenUsed/>
    <w:rsid w:val="00B246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46E1"/>
  </w:style>
  <w:style w:type="character" w:customStyle="1" w:styleId="10">
    <w:name w:val="Заголовок 1 Знак"/>
    <w:basedOn w:val="a0"/>
    <w:link w:val="1"/>
    <w:uiPriority w:val="9"/>
    <w:rsid w:val="00163C16"/>
    <w:rPr>
      <w:rFonts w:asciiTheme="majorHAnsi" w:eastAsiaTheme="majorEastAsia" w:hAnsiTheme="majorHAnsi" w:cstheme="majorBidi"/>
      <w:color w:val="2E74B5" w:themeColor="accent1" w:themeShade="BF"/>
      <w:sz w:val="32"/>
      <w:szCs w:val="32"/>
    </w:rPr>
  </w:style>
  <w:style w:type="paragraph" w:styleId="ad">
    <w:name w:val="Balloon Text"/>
    <w:basedOn w:val="a"/>
    <w:link w:val="ae"/>
    <w:uiPriority w:val="99"/>
    <w:semiHidden/>
    <w:unhideWhenUsed/>
    <w:rsid w:val="00364DC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4DC5"/>
    <w:rPr>
      <w:rFonts w:ascii="Tahoma" w:hAnsi="Tahoma" w:cs="Tahoma"/>
      <w:sz w:val="16"/>
      <w:szCs w:val="16"/>
    </w:rPr>
  </w:style>
  <w:style w:type="paragraph" w:styleId="af">
    <w:name w:val="Revision"/>
    <w:hidden/>
    <w:uiPriority w:val="99"/>
    <w:semiHidden/>
    <w:rsid w:val="00D267F5"/>
    <w:pPr>
      <w:spacing w:after="0" w:line="240" w:lineRule="auto"/>
    </w:pPr>
  </w:style>
  <w:style w:type="character" w:styleId="af0">
    <w:name w:val="annotation reference"/>
    <w:basedOn w:val="a0"/>
    <w:uiPriority w:val="99"/>
    <w:semiHidden/>
    <w:unhideWhenUsed/>
    <w:rsid w:val="00CB7815"/>
    <w:rPr>
      <w:sz w:val="16"/>
      <w:szCs w:val="16"/>
    </w:rPr>
  </w:style>
  <w:style w:type="paragraph" w:styleId="af1">
    <w:name w:val="annotation text"/>
    <w:basedOn w:val="a"/>
    <w:link w:val="af2"/>
    <w:uiPriority w:val="99"/>
    <w:semiHidden/>
    <w:unhideWhenUsed/>
    <w:rsid w:val="00CB7815"/>
    <w:pPr>
      <w:spacing w:line="240" w:lineRule="auto"/>
    </w:pPr>
    <w:rPr>
      <w:sz w:val="20"/>
      <w:szCs w:val="20"/>
    </w:rPr>
  </w:style>
  <w:style w:type="character" w:customStyle="1" w:styleId="af2">
    <w:name w:val="Текст примечания Знак"/>
    <w:basedOn w:val="a0"/>
    <w:link w:val="af1"/>
    <w:uiPriority w:val="99"/>
    <w:semiHidden/>
    <w:rsid w:val="00CB7815"/>
    <w:rPr>
      <w:sz w:val="20"/>
      <w:szCs w:val="20"/>
    </w:rPr>
  </w:style>
  <w:style w:type="paragraph" w:styleId="af3">
    <w:name w:val="annotation subject"/>
    <w:basedOn w:val="af1"/>
    <w:next w:val="af1"/>
    <w:link w:val="af4"/>
    <w:uiPriority w:val="99"/>
    <w:semiHidden/>
    <w:unhideWhenUsed/>
    <w:rsid w:val="00CB7815"/>
    <w:rPr>
      <w:b/>
      <w:bCs/>
    </w:rPr>
  </w:style>
  <w:style w:type="character" w:customStyle="1" w:styleId="af4">
    <w:name w:val="Тема примечания Знак"/>
    <w:basedOn w:val="af2"/>
    <w:link w:val="af3"/>
    <w:uiPriority w:val="99"/>
    <w:semiHidden/>
    <w:rsid w:val="00CB7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7061">
      <w:bodyDiv w:val="1"/>
      <w:marLeft w:val="0"/>
      <w:marRight w:val="0"/>
      <w:marTop w:val="0"/>
      <w:marBottom w:val="0"/>
      <w:divBdr>
        <w:top w:val="none" w:sz="0" w:space="0" w:color="auto"/>
        <w:left w:val="none" w:sz="0" w:space="0" w:color="auto"/>
        <w:bottom w:val="none" w:sz="0" w:space="0" w:color="auto"/>
        <w:right w:val="none" w:sz="0" w:space="0" w:color="auto"/>
      </w:divBdr>
      <w:divsChild>
        <w:div w:id="1480421878">
          <w:marLeft w:val="0"/>
          <w:marRight w:val="0"/>
          <w:marTop w:val="0"/>
          <w:marBottom w:val="0"/>
          <w:divBdr>
            <w:top w:val="none" w:sz="0" w:space="0" w:color="auto"/>
            <w:left w:val="none" w:sz="0" w:space="0" w:color="auto"/>
            <w:bottom w:val="none" w:sz="0" w:space="0" w:color="auto"/>
            <w:right w:val="none" w:sz="0" w:space="0" w:color="auto"/>
          </w:divBdr>
        </w:div>
      </w:divsChild>
    </w:div>
    <w:div w:id="900360354">
      <w:bodyDiv w:val="1"/>
      <w:marLeft w:val="0"/>
      <w:marRight w:val="0"/>
      <w:marTop w:val="0"/>
      <w:marBottom w:val="0"/>
      <w:divBdr>
        <w:top w:val="none" w:sz="0" w:space="0" w:color="auto"/>
        <w:left w:val="none" w:sz="0" w:space="0" w:color="auto"/>
        <w:bottom w:val="none" w:sz="0" w:space="0" w:color="auto"/>
        <w:right w:val="none" w:sz="0" w:space="0" w:color="auto"/>
      </w:divBdr>
    </w:div>
    <w:div w:id="1404986590">
      <w:bodyDiv w:val="1"/>
      <w:marLeft w:val="0"/>
      <w:marRight w:val="0"/>
      <w:marTop w:val="0"/>
      <w:marBottom w:val="0"/>
      <w:divBdr>
        <w:top w:val="none" w:sz="0" w:space="0" w:color="auto"/>
        <w:left w:val="none" w:sz="0" w:space="0" w:color="auto"/>
        <w:bottom w:val="none" w:sz="0" w:space="0" w:color="auto"/>
        <w:right w:val="none" w:sz="0" w:space="0" w:color="auto"/>
      </w:divBdr>
    </w:div>
    <w:div w:id="1459180355">
      <w:bodyDiv w:val="1"/>
      <w:marLeft w:val="0"/>
      <w:marRight w:val="0"/>
      <w:marTop w:val="0"/>
      <w:marBottom w:val="0"/>
      <w:divBdr>
        <w:top w:val="none" w:sz="0" w:space="0" w:color="auto"/>
        <w:left w:val="none" w:sz="0" w:space="0" w:color="auto"/>
        <w:bottom w:val="none" w:sz="0" w:space="0" w:color="auto"/>
        <w:right w:val="none" w:sz="0" w:space="0" w:color="auto"/>
      </w:divBdr>
    </w:div>
    <w:div w:id="1491561003">
      <w:bodyDiv w:val="1"/>
      <w:marLeft w:val="0"/>
      <w:marRight w:val="0"/>
      <w:marTop w:val="0"/>
      <w:marBottom w:val="0"/>
      <w:divBdr>
        <w:top w:val="none" w:sz="0" w:space="0" w:color="auto"/>
        <w:left w:val="none" w:sz="0" w:space="0" w:color="auto"/>
        <w:bottom w:val="none" w:sz="0" w:space="0" w:color="auto"/>
        <w:right w:val="none" w:sz="0" w:space="0" w:color="auto"/>
      </w:divBdr>
    </w:div>
    <w:div w:id="16907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generalova@spbu.ru" TargetMode="External"/><Relationship Id="rId13" Type="http://schemas.openxmlformats.org/officeDocument/2006/relationships/hyperlink" Target="https://www.ifrs.org/content/ifrs/home/projects/work-plan/general-sustainability-related-disclosures.html" TargetMode="External"/><Relationship Id="rId18" Type="http://schemas.openxmlformats.org/officeDocument/2006/relationships/hyperlink" Target="https://doi.org/10.26794/2408-9303-2020-7-3-18-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rs.org/content/ifrs/home/projects/work-plan/climate-related-disclosures.html" TargetMode="External"/><Relationship Id="rId17" Type="http://schemas.openxmlformats.org/officeDocument/2006/relationships/hyperlink" Target="https://doi.org/10.21603/2308-4057-2021-1-135-145" TargetMode="External"/><Relationship Id="rId2" Type="http://schemas.openxmlformats.org/officeDocument/2006/relationships/numbering" Target="numbering.xml"/><Relationship Id="rId16" Type="http://schemas.openxmlformats.org/officeDocument/2006/relationships/hyperlink" Target="https://www.cdsb.net/" TargetMode="External"/><Relationship Id="rId20" Type="http://schemas.openxmlformats.org/officeDocument/2006/relationships/hyperlink" Target="https://www.elibrary.ru/author_items.asp?refid=891222787&amp;fam=%D0%A0%D0%BE%D0%B6%D0%BD%D0%BE%D0%B2%D0%B0&amp;init=%D0%9E+%D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rs.org/groups/international-sustainability-standards-board/issb-frequently-asked-questions/" TargetMode="External"/><Relationship Id="rId5" Type="http://schemas.openxmlformats.org/officeDocument/2006/relationships/webSettings" Target="webSettings.xml"/><Relationship Id="rId15" Type="http://schemas.openxmlformats.org/officeDocument/2006/relationships/hyperlink" Target="https://www.ifrs.org/content/ifrs/home/projects/work-plan/issb-consultation-on-agenda-priorities.html"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www.elibrary.ru/author_items.asp?refid=891222787&amp;fam=%D0%95%D1%84%D0%B8%D0%BC%D0%BE%D0%B2%D0%B0&amp;init=%D0%9E+%D0%92"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n.v.generalova@spbu.ru" TargetMode="External"/><Relationship Id="rId14" Type="http://schemas.openxmlformats.org/officeDocument/2006/relationships/hyperlink" Target="https://www.ifrs.org/content/ifrs/home/projects/work-plan/ifrs-sustainability-disclosure-taxonomy.html"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компаний S&amp;P 500, публикующих ESG отчетность?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20</c:v>
                </c:pt>
                <c:pt idx="1">
                  <c:v>53</c:v>
                </c:pt>
                <c:pt idx="2">
                  <c:v>72</c:v>
                </c:pt>
                <c:pt idx="3">
                  <c:v>75</c:v>
                </c:pt>
                <c:pt idx="4">
                  <c:v>81</c:v>
                </c:pt>
                <c:pt idx="5">
                  <c:v>82</c:v>
                </c:pt>
                <c:pt idx="6">
                  <c:v>85</c:v>
                </c:pt>
                <c:pt idx="7">
                  <c:v>86</c:v>
                </c:pt>
                <c:pt idx="8">
                  <c:v>90</c:v>
                </c:pt>
                <c:pt idx="9">
                  <c:v>92</c:v>
                </c:pt>
              </c:numCache>
            </c:numRef>
          </c:val>
          <c:extLst>
            <c:ext xmlns:c16="http://schemas.microsoft.com/office/drawing/2014/chart" uri="{C3380CC4-5D6E-409C-BE32-E72D297353CC}">
              <c16:uniqueId val="{00000000-C584-4BA9-A3C7-D8623C4A065B}"/>
            </c:ext>
          </c:extLst>
        </c:ser>
        <c:dLbls>
          <c:dLblPos val="outEnd"/>
          <c:showLegendKey val="0"/>
          <c:showVal val="1"/>
          <c:showCatName val="0"/>
          <c:showSerName val="0"/>
          <c:showPercent val="0"/>
          <c:showBubbleSize val="0"/>
        </c:dLbls>
        <c:gapWidth val="219"/>
        <c:overlap val="-27"/>
        <c:axId val="374689792"/>
        <c:axId val="374692480"/>
      </c:barChart>
      <c:catAx>
        <c:axId val="37468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692480"/>
        <c:crosses val="autoZero"/>
        <c:auto val="1"/>
        <c:lblAlgn val="ctr"/>
        <c:lblOffset val="100"/>
        <c:noMultiLvlLbl val="0"/>
      </c:catAx>
      <c:valAx>
        <c:axId val="37469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68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C867-C1A1-4220-A031-D4AF477F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4759</Words>
  <Characters>27129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 Алина Андреевна</dc:creator>
  <cp:lastModifiedBy>Сивкова Алина Андреевна</cp:lastModifiedBy>
  <cp:revision>5</cp:revision>
  <dcterms:created xsi:type="dcterms:W3CDTF">2023-02-13T07:52:00Z</dcterms:created>
  <dcterms:modified xsi:type="dcterms:W3CDTF">2023-02-13T19:32:00Z</dcterms:modified>
</cp:coreProperties>
</file>